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Drainage Plan</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principal contractor name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Introduction and Purpose</w:t>
      </w:r>
    </w:p>
    <w:p>
      <w:pPr>
        <w:spacing w:after="60" w:before="60"/>
      </w:pPr>
      <w:r>
        <w:rPr>
          <w:rFonts w:ascii="Arial" w:cs="Arial" w:eastAsia="Arial" w:hAnsi="Arial"/>
          <w:i/>
          <w:iCs/>
          <w:color w:val="888888"/>
          <w:sz w:val="22"/>
          <w:szCs w:val="22"/>
        </w:rPr>
        <w:t xml:space="preserve">This Temporary Drainage Plan sets out the arrangements for managing surface water, groundwater, and construction run-off during the construction phase. The plan aims to prevent pollution of watercourses, groundwater, and drainage systems, and to manage flood risk during the works.</w:t>
      </w:r>
    </w:p>
    <w:p>
      <w:pPr>
        <w:spacing w:after="60" w:before="60"/>
      </w:pPr>
      <w:r>
        <w:rPr>
          <w:rFonts w:ascii="Arial" w:cs="Arial" w:eastAsia="Arial" w:hAnsi="Arial"/>
          <w:i/>
          <w:iCs/>
          <w:color w:val="888888"/>
          <w:sz w:val="22"/>
          <w:szCs w:val="22"/>
        </w:rPr>
        <w:t xml:space="preserve">The plan has been prepared in accordance with the Construction Environmental Management Plan (CEMP), Environment Agency Pollution Prevention Guidance (where still applicable), CIRIA C753 (The SuDS Manual), CIRIA C532 (Control of Water Pollution from Construction Sites), and relevant planning conditions.</w:t>
      </w:r>
    </w:p>
    <w:p>
      <w:pPr>
        <w:spacing w:after="60" w:before="60"/>
      </w:pPr>
      <w:r>
        <w:rPr>
          <w:rFonts w:ascii="Arial" w:cs="Arial" w:eastAsia="Arial" w:hAnsi="Arial"/>
          <w:i/>
          <w:iCs/>
          <w:color w:val="888888"/>
          <w:sz w:val="22"/>
          <w:szCs w:val="22"/>
        </w:rPr>
        <w:t xml:space="preserve">This plan must be reviewed and updated as site activities, phasing, and drainage arrangements change throughout the construction programme.</w:t>
      </w:r>
    </w:p>
    <w:p>
      <w:pPr>
        <w:pStyle w:val="Heading1"/>
        <w:spacing w:after="160" w:before="300"/>
      </w:pPr>
      <w:r>
        <w:rPr>
          <w:rFonts w:ascii="Arial" w:cs="Arial" w:eastAsia="Arial" w:hAnsi="Arial"/>
          <w:b/>
          <w:bCs/>
          <w:color w:val="1B2A4A"/>
          <w:sz w:val="32"/>
          <w:szCs w:val="32"/>
        </w:rPr>
        <w:t xml:space="preserve">2. Site Description and Existing Drainage</w:t>
      </w:r>
    </w:p>
    <w:p>
      <w:pPr>
        <w:spacing w:after="60" w:before="60"/>
      </w:pPr>
      <w:r>
        <w:rPr>
          <w:rFonts w:ascii="Arial" w:cs="Arial" w:eastAsia="Arial" w:hAnsi="Arial"/>
          <w:i/>
          <w:iCs/>
          <w:color w:val="888888"/>
          <w:sz w:val="22"/>
          <w:szCs w:val="22"/>
        </w:rPr>
        <w:t xml:space="preserve">Describe the site characteristics relevant to drainage, including topography, geology, hydrogeology, existing drainage infrastructure, and receiving watercourses.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Area (hectares):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site area</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Topography: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general fall of the site, high and low points, natural drainage paths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Geology / Soil Type: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Clay, sand, gravel, chalk, made ground</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Permeability: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infiltration capacity – reference BRE 365 soakaway tests if available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Groundwater Level:</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depth to groundwater (m BGL) and source of information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Flood Risk Zone: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Zone 1 / Zone 2 / Zone 3a / Zone 3b</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Nearest Watercourse: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distance from site, and flow direction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Existing Surface Water Drainage: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existing drainage infrastructure, outfalls, and discharge points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Existing Foul Drainage: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existing foul drainage and connection points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Discharge Consents / Permits: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existing or required discharge consents, trade effluent consents, or environmental permits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Water Company: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of water/sewerage company</w:t>
            </w:r>
          </w:p>
        </w:tc>
      </w:tr>
    </w:tbl>
    <w:p>
      <w:pPr>
        <w:pStyle w:val="Heading1"/>
        <w:spacing w:after="160" w:before="300"/>
      </w:pPr>
      <w:r>
        <w:rPr>
          <w:rFonts w:ascii="Arial" w:cs="Arial" w:eastAsia="Arial" w:hAnsi="Arial"/>
          <w:b/>
          <w:bCs/>
          <w:color w:val="1B2A4A"/>
          <w:sz w:val="32"/>
          <w:szCs w:val="32"/>
        </w:rPr>
        <w:t xml:space="preserve">3. Regulatory Requirements and Consents</w:t>
      </w:r>
    </w:p>
    <w:p>
      <w:pPr>
        <w:spacing w:after="60" w:before="60"/>
      </w:pPr>
      <w:r>
        <w:rPr>
          <w:rFonts w:ascii="Arial" w:cs="Arial" w:eastAsia="Arial" w:hAnsi="Arial"/>
          <w:i/>
          <w:iCs/>
          <w:color w:val="888888"/>
          <w:sz w:val="22"/>
          <w:szCs w:val="22"/>
        </w:rPr>
        <w:t xml:space="preserve">Identify all regulatory requirements, consents, and permit conditions relevant to temporary drainage and discharge from the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2000"/>
        <w:gridCol w:w="2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 Consent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Issuing Authority</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 Number</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Conditions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Environmental Permit, Discharge Consent, Planning Condition, FRAP</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Environmental Permit, Discharge Consent, Planning Condition, FRAP</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Environmental Permit, Discharge Consent, Planning Condition, FRAP</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Environmental Permit, Discharge Consent, Planning Condition, FRAP</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Environmental Permit, Discharge Consent, Planning Condition, FRAP</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4. Temporary Drainage Strategy</w:t>
      </w:r>
    </w:p>
    <w:p>
      <w:pPr>
        <w:spacing w:after="60" w:before="60"/>
      </w:pPr>
      <w:r>
        <w:rPr>
          <w:rFonts w:ascii="Arial" w:cs="Arial" w:eastAsia="Arial" w:hAnsi="Arial"/>
          <w:i/>
          <w:iCs/>
          <w:color w:val="888888"/>
          <w:sz w:val="22"/>
          <w:szCs w:val="22"/>
        </w:rPr>
        <w:t xml:space="preserve">Describe the overall temporary drainage strategy for the construction phase. This should address how clean water is separated from contaminated water, the treatment train for construction run-off, and the discharge arrangements.</w:t>
      </w:r>
    </w:p>
    <w:p>
      <w:pPr>
        <w:pStyle w:val="Heading2"/>
        <w:spacing w:after="120" w:before="200"/>
      </w:pPr>
      <w:r>
        <w:rPr>
          <w:rFonts w:ascii="Arial" w:cs="Arial" w:eastAsia="Arial" w:hAnsi="Arial"/>
          <w:b/>
          <w:bCs/>
          <w:color w:val="333333"/>
          <w:sz w:val="26"/>
          <w:szCs w:val="26"/>
        </w:rPr>
        <w:t xml:space="preserve">4.1 Clean Water Management</w:t>
      </w:r>
    </w:p>
    <w:p>
      <w:pPr>
        <w:spacing w:after="60" w:before="60"/>
      </w:pPr>
      <w:r>
        <w:rPr>
          <w:rFonts w:ascii="Arial" w:cs="Arial" w:eastAsia="Arial" w:hAnsi="Arial"/>
          <w:i/>
          <w:iCs/>
          <w:color w:val="888888"/>
          <w:sz w:val="22"/>
          <w:szCs w:val="22"/>
        </w:rPr>
        <w:t xml:space="preserve">Describe how clean water (rainwater from undisturbed areas, roof water, clean groundwater) will be collected and managed separately from construction run-off. Include details of temporary cut-off drains, diversion channels, and direct discharge arrangements.</w:t>
      </w:r>
    </w:p>
    <w:p>
      <w:pPr>
        <w:pStyle w:val="Heading2"/>
        <w:spacing w:after="120" w:before="200"/>
      </w:pPr>
      <w:r>
        <w:rPr>
          <w:rFonts w:ascii="Arial" w:cs="Arial" w:eastAsia="Arial" w:hAnsi="Arial"/>
          <w:b/>
          <w:bCs/>
          <w:color w:val="333333"/>
          <w:sz w:val="26"/>
          <w:szCs w:val="26"/>
        </w:rPr>
        <w:t xml:space="preserve">4.2 Construction Run-Off Management</w:t>
      </w:r>
    </w:p>
    <w:p>
      <w:pPr>
        <w:spacing w:after="60" w:before="60"/>
      </w:pPr>
      <w:r>
        <w:rPr>
          <w:rFonts w:ascii="Arial" w:cs="Arial" w:eastAsia="Arial" w:hAnsi="Arial"/>
          <w:i/>
          <w:iCs/>
          <w:color w:val="888888"/>
          <w:sz w:val="22"/>
          <w:szCs w:val="22"/>
        </w:rPr>
        <w:t xml:space="preserve">Describe how silt-laden and potentially contaminated surface water from active construction areas will be collected, treated, and discharged. Include details of the treatment train (e.g. settlement lagoons, silt traps, silt fencing, oil interceptors, pH correction).</w:t>
      </w:r>
    </w:p>
    <w:p>
      <w:pPr>
        <w:pStyle w:val="Heading2"/>
        <w:spacing w:after="120" w:before="200"/>
      </w:pPr>
      <w:r>
        <w:rPr>
          <w:rFonts w:ascii="Arial" w:cs="Arial" w:eastAsia="Arial" w:hAnsi="Arial"/>
          <w:b/>
          <w:bCs/>
          <w:color w:val="333333"/>
          <w:sz w:val="26"/>
          <w:szCs w:val="26"/>
        </w:rPr>
        <w:t xml:space="preserve">4.3 Groundwater Management</w:t>
      </w:r>
    </w:p>
    <w:p>
      <w:pPr>
        <w:spacing w:after="60" w:before="60"/>
      </w:pPr>
      <w:r>
        <w:rPr>
          <w:rFonts w:ascii="Arial" w:cs="Arial" w:eastAsia="Arial" w:hAnsi="Arial"/>
          <w:i/>
          <w:iCs/>
          <w:color w:val="888888"/>
          <w:sz w:val="22"/>
          <w:szCs w:val="22"/>
        </w:rPr>
        <w:t xml:space="preserve">Describe arrangements for managing groundwater encountered during excavations. Include dewatering methods, treatment requirements, discharge route, and any abstraction licence or discharge consent requirements.</w:t>
      </w:r>
    </w:p>
    <w:p>
      <w:pPr>
        <w:pStyle w:val="Heading2"/>
        <w:spacing w:after="120" w:before="200"/>
      </w:pPr>
      <w:r>
        <w:rPr>
          <w:rFonts w:ascii="Arial" w:cs="Arial" w:eastAsia="Arial" w:hAnsi="Arial"/>
          <w:b/>
          <w:bCs/>
          <w:color w:val="333333"/>
          <w:sz w:val="26"/>
          <w:szCs w:val="26"/>
        </w:rPr>
        <w:t xml:space="preserve">4.4 Foul Drainage</w:t>
      </w:r>
    </w:p>
    <w:p>
      <w:pPr>
        <w:spacing w:after="60" w:before="60"/>
      </w:pPr>
      <w:r>
        <w:rPr>
          <w:rFonts w:ascii="Arial" w:cs="Arial" w:eastAsia="Arial" w:hAnsi="Arial"/>
          <w:i/>
          <w:iCs/>
          <w:color w:val="888888"/>
          <w:sz w:val="22"/>
          <w:szCs w:val="22"/>
        </w:rPr>
        <w:t xml:space="preserve">Describe temporary foul drainage arrangements for welfare facilities and any process water. Include connection to existing foul sewer, temporary treatment (if required), and trade effluent consent details.</w:t>
      </w:r>
    </w:p>
    <w:p>
      <w:pPr>
        <w:pStyle w:val="Heading1"/>
        <w:spacing w:after="160" w:before="300"/>
      </w:pPr>
      <w:r>
        <w:rPr>
          <w:rFonts w:ascii="Arial" w:cs="Arial" w:eastAsia="Arial" w:hAnsi="Arial"/>
          <w:b/>
          <w:bCs/>
          <w:color w:val="1B2A4A"/>
          <w:sz w:val="32"/>
          <w:szCs w:val="32"/>
        </w:rPr>
        <w:t xml:space="preserve">5. Temporary Drainage Infrastructure</w:t>
      </w:r>
    </w:p>
    <w:p>
      <w:pPr>
        <w:spacing w:after="60" w:before="60"/>
      </w:pPr>
      <w:r>
        <w:rPr>
          <w:rFonts w:ascii="Arial" w:cs="Arial" w:eastAsia="Arial" w:hAnsi="Arial"/>
          <w:i/>
          <w:iCs/>
          <w:color w:val="888888"/>
          <w:sz w:val="22"/>
          <w:szCs w:val="22"/>
        </w:rPr>
        <w:t xml:space="preserve">Record all temporary drainage infrastructure installed on site. This table should be updated as the drainage system is modified throughout the construction programme.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1600"/>
        <w:gridCol w:w="16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Infrastructure Item</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Installed Date</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Frequency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Settlement lagoon / tank</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Silt trap / silt busters</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Oil interceptor / separator</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Cut-off drain (clean water)</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Perimeter ditch / swale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Silt fencing</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Straw bale check dams</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attenuation storage</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Pumping station / sump</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 correction dosing unit</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Discharge monitoring point</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outfall</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6. Discharge Quality Standards</w:t>
      </w:r>
    </w:p>
    <w:p>
      <w:pPr>
        <w:spacing w:after="60" w:before="60"/>
      </w:pPr>
      <w:r>
        <w:rPr>
          <w:rFonts w:ascii="Arial" w:cs="Arial" w:eastAsia="Arial" w:hAnsi="Arial"/>
          <w:i/>
          <w:iCs/>
          <w:color w:val="888888"/>
          <w:sz w:val="22"/>
          <w:szCs w:val="22"/>
        </w:rPr>
        <w:t xml:space="preserve">Record the discharge quality limits applicable to site discharges. These may be set by environmental permit conditions, planning conditions, or agreed with the Environment Agency or local sewerage undertaker.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Limit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Method</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Monitoring Frequency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Suspended Solids (SS)</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&lt;30 mg/l</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Turbidity meter / lab sample</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6.0 – 9.0</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pH meter / test strips</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Total Petroleum Hydrocarbons (TPH)</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No visible sheen</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Visual inspection / lab sample</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Chemical Oxygen Demand (COD)</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limit</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Lab sample</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Dissolved Oxygen (DO)</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limit</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DO meter</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Temperature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limit if applicable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Thermometer</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Flow Rate</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Max X l/s</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Flow meter / weir</w:t>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7. Monitoring and Inspection</w:t>
      </w:r>
    </w:p>
    <w:p>
      <w:pPr>
        <w:spacing w:after="60" w:before="60"/>
      </w:pPr>
      <w:r>
        <w:rPr>
          <w:rFonts w:ascii="Arial" w:cs="Arial" w:eastAsia="Arial" w:hAnsi="Arial"/>
          <w:i/>
          <w:iCs/>
          <w:color w:val="888888"/>
          <w:sz w:val="22"/>
          <w:szCs w:val="22"/>
        </w:rPr>
        <w:t xml:space="preserve">Describe the monitoring and inspection regime for the temporary drainage system. Include visual inspections, water quality monitoring, and maintenance schedules.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200"/>
        <w:gridCol w:w="1000"/>
        <w:gridCol w:w="1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Inspection / Monitoring Item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By Whom</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Visual inspection of all settlement lagoons, silt traps, and oil interceptors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Check and clear silt fencing, straw bales, and check dams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discharge quality at designated monitoring points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Inspect and clear temporary drains, ditches, and channels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Check pumps and dewatering equipment are operational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Inspect bunds and containment for fuel and chemical storage areas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weather forecast and prepare for heavy rainfall events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Check for signs of erosion, scour, or uncontrolled run-off</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5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Inspect drain covers and pollution prevention equipment at vulnerable drains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50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Record all monitoring results and maintain water quality log</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Daily / Weekly</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8. Emergency Response – Drainage Failure or Pollution</w:t>
      </w:r>
    </w:p>
    <w:p>
      <w:pPr>
        <w:spacing w:after="60" w:before="60"/>
      </w:pPr>
      <w:r>
        <w:rPr>
          <w:rFonts w:ascii="Arial" w:cs="Arial" w:eastAsia="Arial" w:hAnsi="Arial"/>
          <w:i/>
          <w:iCs/>
          <w:color w:val="888888"/>
          <w:sz w:val="22"/>
          <w:szCs w:val="22"/>
        </w:rPr>
        <w:t xml:space="preserve">Describe the emergency response procedures in the event of drainage system failure, uncontrolled discharge, or pollution of watercourses. Cross-reference the site Environmental Emergency Response Procedure.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Trigger for Emergency Response: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Discharge exceeds quality limits, settlement lagoon overflows, uncontrolled discharge to watercourse, pump failure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Immediate Actions: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Stop discharge, deploy additional silt control, isolate affected drains, deploy spill response equipment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Notification: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Notify Environmental Manager, Site Manager, and Environment Agency (0800 80 70 60) if pollution enters controlled waters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Spill Kit Locations: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locations of nearest spill kits and drain covers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Additional Pumping Capacity:</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arrangements for emergency pumping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Emergency Drainage Contact: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24-hour emergency contact details</w:t>
            </w:r>
          </w:p>
        </w:tc>
      </w:tr>
    </w:tbl>
    <w:p>
      <w:r>
        <w:br w:type="page"/>
      </w:r>
    </w:p>
    <w:p>
      <w:pPr>
        <w:pStyle w:val="Heading1"/>
        <w:spacing w:after="160" w:before="300"/>
      </w:pPr>
      <w:r>
        <w:rPr>
          <w:rFonts w:ascii="Arial" w:cs="Arial" w:eastAsia="Arial" w:hAnsi="Arial"/>
          <w:b/>
          <w:bCs/>
          <w:color w:val="1B2A4A"/>
          <w:sz w:val="32"/>
          <w:szCs w:val="32"/>
        </w:rPr>
        <w:t xml:space="preserve">9. Phased Drainage Arrangements</w:t>
      </w:r>
    </w:p>
    <w:p>
      <w:pPr>
        <w:spacing w:after="60" w:before="60"/>
      </w:pPr>
      <w:r>
        <w:rPr>
          <w:rFonts w:ascii="Arial" w:cs="Arial" w:eastAsia="Arial" w:hAnsi="Arial"/>
          <w:i/>
          <w:iCs/>
          <w:color w:val="888888"/>
          <w:sz w:val="22"/>
          <w:szCs w:val="22"/>
        </w:rPr>
        <w:t xml:space="preserve">Describe how the temporary drainage system will change through the construction phases. Reference the construction programme and phasing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200"/>
        <w:gridCol w:w="2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Programme Dates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Drainage Changes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New Infrastructure Required</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Infrastructure to be Removed</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10. Decommissioning of Temporary Drainage</w:t>
      </w:r>
    </w:p>
    <w:p>
      <w:pPr>
        <w:spacing w:after="60" w:before="60"/>
      </w:pPr>
      <w:r>
        <w:rPr>
          <w:rFonts w:ascii="Arial" w:cs="Arial" w:eastAsia="Arial" w:hAnsi="Arial"/>
          <w:i/>
          <w:iCs/>
          <w:color w:val="888888"/>
          <w:sz w:val="22"/>
          <w:szCs w:val="22"/>
        </w:rPr>
        <w:t xml:space="preserve">Describe the arrangements for decommissioning the temporary drainage system at the end of construction or when the permanent drainage system becomes operational. Include removal of temporary infrastructure, reinstatement of disturbed areas, and final water quality sampling.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decommissioning strategy, including sequence of removal, final inspection, reinstatement requirements, and handover to permanent drainage system.</w:t>
            </w:r>
          </w:p>
        </w:tc>
      </w:tr>
    </w:tbl>
    <w:p>
      <w:pPr>
        <w:pStyle w:val="Heading1"/>
        <w:spacing w:after="160" w:before="300"/>
      </w:pPr>
      <w:r>
        <w:rPr>
          <w:rFonts w:ascii="Arial" w:cs="Arial" w:eastAsia="Arial" w:hAnsi="Arial"/>
          <w:b/>
          <w:bCs/>
          <w:color w:val="1B2A4A"/>
          <w:sz w:val="32"/>
          <w:szCs w:val="32"/>
        </w:rPr>
        <w:t xml:space="preserve">11. Related Documents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5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Title</w:t>
            </w:r>
          </w:p>
        </w:tc>
        <w:tc>
          <w:tcPr>
            <w:tcW w:type="dxa" w:w="4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Construction Environmental Management Plan (CEMP)</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Silt Management Plan</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Pollution Prevention Method Statement</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Emergency Response Procedure</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Flood Risk Assessment</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44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Drainage Layout Drawing</w:t>
            </w:r>
          </w:p>
        </w:tc>
        <w:tc>
          <w:tcPr>
            <w:tcW w:type="dxa" w:w="4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12. Approval and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Accepted:</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13.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any additional notes here.</w:t>
            </w:r>
          </w:p>
        </w:tc>
      </w:tr>
    </w:tbl>
    <w:p>
      <w:pPr>
        <w:pStyle w:val="Heading1"/>
        <w:spacing w:after="160" w:before="300"/>
      </w:pPr>
      <w:r>
        <w:rPr>
          <w:rFonts w:ascii="Arial" w:cs="Arial" w:eastAsia="Arial" w:hAnsi="Arial"/>
          <w:b/>
          <w:bCs/>
          <w:color w:val="1B2A4A"/>
          <w:sz w:val="32"/>
          <w:szCs w:val="32"/>
        </w:rPr>
        <w:t xml:space="preserve">14.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Temporary Drainage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Drainage Plan</dc:title>
  <dc:subject>UK Construction Template</dc:subject>
  <dc:creator>ebrora.com</dc:creator>
  <cp:keywords>construction, template, UK, temporary drainage, plan, surface water, silt, pollution prevention, CIRIA, discharge, dewatering</cp:keywords>
  <dc:description>Free UK construction template by Ebrora. Download more at ebrora.com</dc:description>
  <cp:lastModifiedBy>ebrora.com</cp:lastModifiedBy>
  <cp:revision>1</cp:revision>
  <dcterms:created xsi:type="dcterms:W3CDTF">2026-04-02T20:26:48.885Z</dcterms:created>
  <dcterms:modified xsi:type="dcterms:W3CDTF">2026-04-02T20:26:48.886Z</dcterms:modified>
</cp:coreProperties>
</file>

<file path=docProps/custom.xml><?xml version="1.0" encoding="utf-8"?>
<Properties xmlns="http://schemas.openxmlformats.org/officeDocument/2006/custom-properties" xmlns:vt="http://schemas.openxmlformats.org/officeDocument/2006/docPropsVTypes"/>
</file>