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Drug and Alcohol Policy</w:t>
      </w:r>
    </w:p>
    <w:p>
      <w:pPr>
        <w:pBdr>
          <w:bottom w:val="single" w:color="2E75B6" w:sz="6" w:space="1"/>
        </w:pBd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Reference:</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 (or Company-Wide)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Number:</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spacing w:after="200" w:before="1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00"/>
      </w:pPr>
      <w:r>
        <w:rPr>
          <w:rFonts w:ascii="Arial" w:cs="Arial" w:eastAsia="Arial" w:hAnsi="Arial"/>
          <w:b/>
          <w:bCs/>
          <w:color w:val="1B2A4A"/>
          <w:sz w:val="32"/>
          <w:szCs w:val="32"/>
        </w:rPr>
        <w:t xml:space="preserve">1. Policy Statement</w:t>
      </w:r>
    </w:p>
    <w:p>
      <w:pPr>
        <w:spacing w:after="60" w:before="60"/>
      </w:pPr>
      <w:r>
        <w:rPr>
          <w:rFonts w:ascii="Arial" w:cs="Arial" w:eastAsia="Arial" w:hAnsi="Arial"/>
          <w:i/>
          <w:iCs/>
          <w:color w:val="888888"/>
          <w:sz w:val="22"/>
          <w:szCs w:val="22"/>
        </w:rPr>
        <w:t xml:space="preserve">This organisation is committed to providing a safe and healthy working environment for all employees, subcontractors, and visitors. The misuse of drugs and alcohol poses a serious risk to the health and safety of individuals and those working around them, particularly in the construction industry where operating plant, working at height, and other high-risk activities are routine.</w:t>
      </w:r>
    </w:p>
    <w:p>
      <w:pPr>
        <w:spacing w:after="60" w:before="60"/>
      </w:pPr>
      <w:r>
        <w:rPr>
          <w:rFonts w:ascii="Arial" w:cs="Arial" w:eastAsia="Arial" w:hAnsi="Arial"/>
          <w:i/>
          <w:iCs/>
          <w:color w:val="888888"/>
          <w:sz w:val="22"/>
          <w:szCs w:val="22"/>
        </w:rPr>
        <w:t xml:space="preserve">This policy sets out the organisation’s position on drug and alcohol misuse and the procedures that will be followed to ensure compliance. It applies to all persons working on or visiting any site or premises under the control of the organisation.</w:t>
      </w:r>
    </w:p>
    <w:p>
      <w:pPr>
        <w:spacing w:after="60" w:before="60"/>
      </w:pPr>
      <w:r>
        <w:rPr>
          <w:rFonts w:ascii="Arial" w:cs="Arial" w:eastAsia="Arial" w:hAnsi="Arial"/>
          <w:i/>
          <w:iCs/>
          <w:color w:val="888888"/>
          <w:sz w:val="22"/>
          <w:szCs w:val="22"/>
        </w:rPr>
        <w:t xml:space="preserve">This policy has been developed with reference to the Health and Safety at Work etc. Act 1974, the Misuse of Drugs Act 1971, the Road Traffic Act 1988, the Transport and Works Act 1992, and HSE guidance ‘Don’t Mix It’.</w:t>
      </w:r>
    </w:p>
    <w:p>
      <w:pPr>
        <w:pStyle w:val="Heading1"/>
        <w:spacing w:after="160" w:before="300"/>
      </w:pPr>
      <w:r>
        <w:rPr>
          <w:rFonts w:ascii="Arial" w:cs="Arial" w:eastAsia="Arial" w:hAnsi="Arial"/>
          <w:b/>
          <w:bCs/>
          <w:color w:val="1B2A4A"/>
          <w:sz w:val="32"/>
          <w:szCs w:val="32"/>
        </w:rPr>
        <w:t xml:space="preserve">2. Scope</w:t>
      </w:r>
    </w:p>
    <w:p>
      <w:pPr>
        <w:spacing w:after="60" w:before="60"/>
      </w:pPr>
      <w:r>
        <w:rPr>
          <w:rFonts w:ascii="Arial" w:cs="Arial" w:eastAsia="Arial" w:hAnsi="Arial"/>
          <w:i/>
          <w:iCs/>
          <w:color w:val="888888"/>
          <w:sz w:val="22"/>
          <w:szCs w:val="22"/>
        </w:rPr>
        <w:t xml:space="preserve">This policy applies to:</w:t>
      </w:r>
    </w:p>
    <w:p>
      <w:pPr>
        <w:pStyle w:val="ListParagraph"/>
        <w:numPr>
          <w:ilvl w:val="0"/>
          <w:numId w:val="2"/>
        </w:numPr>
        <w:spacing w:after="40" w:before="40"/>
      </w:pPr>
      <w:r>
        <w:rPr>
          <w:rFonts w:ascii="Arial" w:cs="Arial" w:eastAsia="Arial" w:hAnsi="Arial"/>
          <w:color w:val="000000"/>
          <w:sz w:val="22"/>
          <w:szCs w:val="22"/>
        </w:rPr>
        <w:t xml:space="preserve">All direct employees at all levels</w:t>
      </w:r>
    </w:p>
    <w:p>
      <w:pPr>
        <w:pStyle w:val="ListParagraph"/>
        <w:numPr>
          <w:ilvl w:val="0"/>
          <w:numId w:val="2"/>
        </w:numPr>
        <w:spacing w:after="40" w:before="40"/>
      </w:pPr>
      <w:r>
        <w:rPr>
          <w:rFonts w:ascii="Arial" w:cs="Arial" w:eastAsia="Arial" w:hAnsi="Arial"/>
          <w:color w:val="000000"/>
          <w:sz w:val="22"/>
          <w:szCs w:val="22"/>
        </w:rPr>
        <w:t xml:space="preserve">Agency and temporary workers</w:t>
      </w:r>
    </w:p>
    <w:p>
      <w:pPr>
        <w:pStyle w:val="ListParagraph"/>
        <w:numPr>
          <w:ilvl w:val="0"/>
          <w:numId w:val="2"/>
        </w:numPr>
        <w:spacing w:after="40" w:before="40"/>
      </w:pPr>
      <w:r>
        <w:rPr>
          <w:rFonts w:ascii="Arial" w:cs="Arial" w:eastAsia="Arial" w:hAnsi="Arial"/>
          <w:color w:val="000000"/>
          <w:sz w:val="22"/>
          <w:szCs w:val="22"/>
        </w:rPr>
        <w:t xml:space="preserve">Subcontractors and their employees</w:t>
      </w:r>
    </w:p>
    <w:p>
      <w:pPr>
        <w:pStyle w:val="ListParagraph"/>
        <w:numPr>
          <w:ilvl w:val="0"/>
          <w:numId w:val="2"/>
        </w:numPr>
        <w:spacing w:after="40" w:before="40"/>
      </w:pPr>
      <w:r>
        <w:rPr>
          <w:rFonts w:ascii="Arial" w:cs="Arial" w:eastAsia="Arial" w:hAnsi="Arial"/>
          <w:color w:val="000000"/>
          <w:sz w:val="22"/>
          <w:szCs w:val="22"/>
        </w:rPr>
        <w:t xml:space="preserve">Self-employed persons working on site</w:t>
      </w:r>
    </w:p>
    <w:p>
      <w:pPr>
        <w:pStyle w:val="ListParagraph"/>
        <w:numPr>
          <w:ilvl w:val="0"/>
          <w:numId w:val="2"/>
        </w:numPr>
        <w:spacing w:after="40" w:before="40"/>
      </w:pPr>
      <w:r>
        <w:rPr>
          <w:rFonts w:ascii="Arial" w:cs="Arial" w:eastAsia="Arial" w:hAnsi="Arial"/>
          <w:color w:val="000000"/>
          <w:sz w:val="22"/>
          <w:szCs w:val="22"/>
        </w:rPr>
        <w:t xml:space="preserve">Consultants and professional advisors visiting site</w:t>
      </w:r>
    </w:p>
    <w:p>
      <w:pPr>
        <w:pStyle w:val="ListParagraph"/>
        <w:numPr>
          <w:ilvl w:val="0"/>
          <w:numId w:val="2"/>
        </w:numPr>
        <w:spacing w:after="40" w:before="40"/>
      </w:pPr>
      <w:r>
        <w:rPr>
          <w:rFonts w:ascii="Arial" w:cs="Arial" w:eastAsia="Arial" w:hAnsi="Arial"/>
          <w:color w:val="000000"/>
          <w:sz w:val="22"/>
          <w:szCs w:val="22"/>
        </w:rPr>
        <w:t xml:space="preserve">Visitors and delivery drivers</w:t>
      </w:r>
    </w:p>
    <w:p>
      <w:pPr>
        <w:spacing w:after="60" w:before="60"/>
      </w:pPr>
      <w:r>
        <w:rPr>
          <w:rFonts w:ascii="Arial" w:cs="Arial" w:eastAsia="Arial" w:hAnsi="Arial"/>
          <w:i/>
          <w:iCs/>
          <w:color w:val="888888"/>
          <w:sz w:val="22"/>
          <w:szCs w:val="22"/>
        </w:rPr>
        <w:t xml:space="preserve">The policy applies at all times when individuals are on company or project premises, including during breaks and when travelling in company vehicles.</w:t>
      </w:r>
    </w:p>
    <w:p>
      <w:pPr>
        <w:pStyle w:val="Heading1"/>
        <w:spacing w:after="160" w:before="300"/>
      </w:pPr>
      <w:r>
        <w:rPr>
          <w:rFonts w:ascii="Arial" w:cs="Arial" w:eastAsia="Arial" w:hAnsi="Arial"/>
          <w:b/>
          <w:bCs/>
          <w:color w:val="1B2A4A"/>
          <w:sz w:val="32"/>
          <w:szCs w:val="32"/>
        </w:rPr>
        <w:t xml:space="preserve">3. Definitions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Term</w:t>
            </w:r>
          </w:p>
        </w:tc>
        <w:tc>
          <w:tcPr>
            <w:tcW w:type="dxa" w:w="7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Drugs</w:t>
            </w:r>
          </w:p>
        </w:tc>
        <w:tc>
          <w:tcPr>
            <w:tcW w:type="dxa" w:w="7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Any controlled substance under the Misuse of Drugs Act 1971, any novel psychoactive substance (NPS), and any over-the-counter or prescription medication that may impair an individual’s ability to work safely.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Alcohol</w:t>
            </w:r>
          </w:p>
        </w:tc>
        <w:tc>
          <w:tcPr>
            <w:tcW w:type="dxa" w:w="7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Any beverage or substance containing ethanol. The policy threshold is a blood alcohol concentration of zero (0 mg/100ml) or the equivalent in breath, urine, or oral fluid.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Under the Influence</w:t>
            </w:r>
          </w:p>
        </w:tc>
        <w:tc>
          <w:tcPr>
            <w:tcW w:type="dxa" w:w="7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 state where an individual’s normal faculties are impaired due to the consumption of drugs or alcohol, as evidenced by behaviour, appearance, or a positive test result.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Positive Test</w:t>
            </w:r>
          </w:p>
        </w:tc>
        <w:tc>
          <w:tcPr>
            <w:tcW w:type="dxa" w:w="7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 screening or confirmation test result indicating the presence of drugs or alcohol at or above the laboratory’s designated cut-off levels.</w:t>
            </w:r>
          </w:p>
        </w:tc>
      </w:tr>
    </w:tbl>
    <w:p>
      <w:pPr>
        <w:pStyle w:val="Heading1"/>
        <w:spacing w:after="160" w:before="300"/>
      </w:pPr>
      <w:r>
        <w:rPr>
          <w:rFonts w:ascii="Arial" w:cs="Arial" w:eastAsia="Arial" w:hAnsi="Arial"/>
          <w:b/>
          <w:bCs/>
          <w:color w:val="1B2A4A"/>
          <w:sz w:val="32"/>
          <w:szCs w:val="32"/>
        </w:rPr>
        <w:t xml:space="preserve">4. Policy Rules</w:t>
      </w:r>
    </w:p>
    <w:p>
      <w:pPr>
        <w:pStyle w:val="Heading2"/>
        <w:spacing w:after="120" w:before="200"/>
      </w:pPr>
      <w:r>
        <w:rPr>
          <w:rFonts w:ascii="Arial" w:cs="Arial" w:eastAsia="Arial" w:hAnsi="Arial"/>
          <w:b/>
          <w:bCs/>
          <w:color w:val="333333"/>
          <w:sz w:val="26"/>
          <w:szCs w:val="26"/>
        </w:rPr>
        <w:t xml:space="preserve">4.1 Prohibited Activities</w:t>
      </w:r>
    </w:p>
    <w:p>
      <w:pPr>
        <w:pStyle w:val="ListParagraph"/>
        <w:numPr>
          <w:ilvl w:val="0"/>
          <w:numId w:val="2"/>
        </w:numPr>
        <w:spacing w:after="40" w:before="40"/>
      </w:pPr>
      <w:r>
        <w:rPr>
          <w:rFonts w:ascii="Arial" w:cs="Arial" w:eastAsia="Arial" w:hAnsi="Arial"/>
          <w:color w:val="000000"/>
          <w:sz w:val="22"/>
          <w:szCs w:val="22"/>
        </w:rPr>
        <w:t xml:space="preserve">The possession, use, supply, or distribution of illegal drugs on company premises or project sites is strictly prohibited and will be treated as gross misconduct</w:t>
      </w:r>
    </w:p>
    <w:p>
      <w:pPr>
        <w:pStyle w:val="ListParagraph"/>
        <w:numPr>
          <w:ilvl w:val="0"/>
          <w:numId w:val="2"/>
        </w:numPr>
        <w:spacing w:after="40" w:before="40"/>
      </w:pPr>
      <w:r>
        <w:rPr>
          <w:rFonts w:ascii="Arial" w:cs="Arial" w:eastAsia="Arial" w:hAnsi="Arial"/>
          <w:color w:val="000000"/>
          <w:sz w:val="22"/>
          <w:szCs w:val="22"/>
        </w:rPr>
        <w:t xml:space="preserve">Attending work or remaining at work whilst under the influence of drugs or alcohol is strictly prohibited</w:t>
      </w:r>
    </w:p>
    <w:p>
      <w:pPr>
        <w:pStyle w:val="ListParagraph"/>
        <w:numPr>
          <w:ilvl w:val="0"/>
          <w:numId w:val="2"/>
        </w:numPr>
        <w:spacing w:after="40" w:before="40"/>
      </w:pPr>
      <w:r>
        <w:rPr>
          <w:rFonts w:ascii="Arial" w:cs="Arial" w:eastAsia="Arial" w:hAnsi="Arial"/>
          <w:color w:val="000000"/>
          <w:sz w:val="22"/>
          <w:szCs w:val="22"/>
        </w:rPr>
        <w:t xml:space="preserve">Consuming alcohol on site or on company premises during working hours (including breaks) is strictly prohibited</w:t>
      </w:r>
    </w:p>
    <w:p>
      <w:pPr>
        <w:pStyle w:val="ListParagraph"/>
        <w:numPr>
          <w:ilvl w:val="0"/>
          <w:numId w:val="2"/>
        </w:numPr>
        <w:spacing w:after="40" w:before="40"/>
      </w:pPr>
      <w:r>
        <w:rPr>
          <w:rFonts w:ascii="Arial" w:cs="Arial" w:eastAsia="Arial" w:hAnsi="Arial"/>
          <w:color w:val="000000"/>
          <w:sz w:val="22"/>
          <w:szCs w:val="22"/>
        </w:rPr>
        <w:t xml:space="preserve">Consuming alcohol in the hours immediately preceding a shift such that it may affect fitness for duty</w:t>
      </w:r>
    </w:p>
    <w:p>
      <w:pPr>
        <w:pStyle w:val="ListParagraph"/>
        <w:numPr>
          <w:ilvl w:val="0"/>
          <w:numId w:val="2"/>
        </w:numPr>
        <w:spacing w:after="40" w:before="40"/>
      </w:pPr>
      <w:r>
        <w:rPr>
          <w:rFonts w:ascii="Arial" w:cs="Arial" w:eastAsia="Arial" w:hAnsi="Arial"/>
          <w:color w:val="000000"/>
          <w:sz w:val="22"/>
          <w:szCs w:val="22"/>
        </w:rPr>
        <w:t xml:space="preserve">Storing drugs or alcohol in personal lockers, vehicles, or anywhere on site</w:t>
      </w:r>
    </w:p>
    <w:p>
      <w:pPr>
        <w:pStyle w:val="Heading2"/>
        <w:spacing w:after="120" w:before="200"/>
      </w:pPr>
      <w:r>
        <w:rPr>
          <w:rFonts w:ascii="Arial" w:cs="Arial" w:eastAsia="Arial" w:hAnsi="Arial"/>
          <w:b/>
          <w:bCs/>
          <w:color w:val="333333"/>
          <w:sz w:val="26"/>
          <w:szCs w:val="26"/>
        </w:rPr>
        <w:t xml:space="preserve">4.2 Prescription and Over-the-Counter Medication</w:t>
      </w:r>
    </w:p>
    <w:p>
      <w:pPr>
        <w:spacing w:after="60" w:before="60"/>
      </w:pPr>
      <w:r>
        <w:rPr>
          <w:rFonts w:ascii="Arial" w:cs="Arial" w:eastAsia="Arial" w:hAnsi="Arial"/>
          <w:i/>
          <w:iCs/>
          <w:color w:val="888888"/>
          <w:sz w:val="22"/>
          <w:szCs w:val="22"/>
        </w:rPr>
        <w:t xml:space="preserve">Individuals taking prescription or over-the-counter medication that may cause drowsiness, impair judgement, or affect ability to work safely must:</w:t>
      </w:r>
    </w:p>
    <w:p>
      <w:pPr>
        <w:pStyle w:val="ListParagraph"/>
        <w:numPr>
          <w:ilvl w:val="0"/>
          <w:numId w:val="2"/>
        </w:numPr>
        <w:spacing w:after="40" w:before="40"/>
      </w:pPr>
      <w:r>
        <w:rPr>
          <w:rFonts w:ascii="Arial" w:cs="Arial" w:eastAsia="Arial" w:hAnsi="Arial"/>
          <w:color w:val="000000"/>
          <w:sz w:val="22"/>
          <w:szCs w:val="22"/>
        </w:rPr>
        <w:t xml:space="preserve">Inform their supervisor or site manager before starting work</w:t>
      </w:r>
    </w:p>
    <w:p>
      <w:pPr>
        <w:pStyle w:val="ListParagraph"/>
        <w:numPr>
          <w:ilvl w:val="0"/>
          <w:numId w:val="2"/>
        </w:numPr>
        <w:spacing w:after="40" w:before="40"/>
      </w:pPr>
      <w:r>
        <w:rPr>
          <w:rFonts w:ascii="Arial" w:cs="Arial" w:eastAsia="Arial" w:hAnsi="Arial"/>
          <w:color w:val="000000"/>
          <w:sz w:val="22"/>
          <w:szCs w:val="22"/>
        </w:rPr>
        <w:t xml:space="preserve">Provide details of the medication and potential side effects</w:t>
      </w:r>
    </w:p>
    <w:p>
      <w:pPr>
        <w:pStyle w:val="ListParagraph"/>
        <w:numPr>
          <w:ilvl w:val="0"/>
          <w:numId w:val="2"/>
        </w:numPr>
        <w:spacing w:after="40" w:before="40"/>
      </w:pPr>
      <w:r>
        <w:rPr>
          <w:rFonts w:ascii="Arial" w:cs="Arial" w:eastAsia="Arial" w:hAnsi="Arial"/>
          <w:color w:val="000000"/>
          <w:sz w:val="22"/>
          <w:szCs w:val="22"/>
        </w:rPr>
        <w:t xml:space="preserve">Carry evidence of the prescription (doctor’s letter or pharmacy label)</w:t>
      </w:r>
    </w:p>
    <w:p>
      <w:pPr>
        <w:pStyle w:val="ListParagraph"/>
        <w:numPr>
          <w:ilvl w:val="0"/>
          <w:numId w:val="2"/>
        </w:numPr>
        <w:spacing w:after="40" w:before="40"/>
      </w:pPr>
      <w:r>
        <w:rPr>
          <w:rFonts w:ascii="Arial" w:cs="Arial" w:eastAsia="Arial" w:hAnsi="Arial"/>
          <w:color w:val="000000"/>
          <w:sz w:val="22"/>
          <w:szCs w:val="22"/>
        </w:rPr>
        <w:t xml:space="preserve">Accept that they may be restricted from safety-critical tasks until the medication course is complete</w:t>
      </w:r>
    </w:p>
    <w:p>
      <w:pPr>
        <w:spacing w:after="60" w:before="60"/>
      </w:pPr>
      <w:r>
        <w:rPr>
          <w:rFonts w:ascii="Arial" w:cs="Arial" w:eastAsia="Arial" w:hAnsi="Arial"/>
          <w:i/>
          <w:iCs/>
          <w:color w:val="888888"/>
          <w:sz w:val="22"/>
          <w:szCs w:val="22"/>
        </w:rPr>
        <w:t xml:space="preserve">The organisation will treat such disclosures in confidence and will not penalise individuals for responsible reporting.</w:t>
      </w:r>
    </w:p>
    <w:p>
      <w:pPr>
        <w:pStyle w:val="Heading1"/>
        <w:spacing w:after="160" w:before="300"/>
      </w:pPr>
      <w:r>
        <w:rPr>
          <w:rFonts w:ascii="Arial" w:cs="Arial" w:eastAsia="Arial" w:hAnsi="Arial"/>
          <w:b/>
          <w:bCs/>
          <w:color w:val="1B2A4A"/>
          <w:sz w:val="32"/>
          <w:szCs w:val="32"/>
        </w:rPr>
        <w:t xml:space="preserve">5. Drug and Alcohol Testing</w:t>
      </w:r>
    </w:p>
    <w:p>
      <w:pPr>
        <w:spacing w:after="60" w:before="60"/>
      </w:pPr>
      <w:r>
        <w:rPr>
          <w:rFonts w:ascii="Arial" w:cs="Arial" w:eastAsia="Arial" w:hAnsi="Arial"/>
          <w:i/>
          <w:iCs/>
          <w:color w:val="888888"/>
          <w:sz w:val="22"/>
          <w:szCs w:val="22"/>
        </w:rPr>
        <w:t xml:space="preserve">The organisation reserves the right to conduct drug and alcohol testing in the following circumstances:</w:t>
      </w:r>
    </w:p>
    <w:p>
      <w:pPr>
        <w:pStyle w:val="Heading2"/>
        <w:spacing w:after="120" w:before="200"/>
      </w:pPr>
      <w:r>
        <w:rPr>
          <w:rFonts w:ascii="Arial" w:cs="Arial" w:eastAsia="Arial" w:hAnsi="Arial"/>
          <w:b/>
          <w:bCs/>
          <w:color w:val="333333"/>
          <w:sz w:val="26"/>
          <w:szCs w:val="26"/>
        </w:rPr>
        <w:t xml:space="preserve">5.1 Types of Testing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7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Pre-employment / Pre-access</w:t>
            </w:r>
          </w:p>
        </w:tc>
        <w:tc>
          <w:tcPr>
            <w:tcW w:type="dxa" w:w="7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Testing prior to commencing work on site. May be required as a condition of site access.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Random / Unannounced</w:t>
            </w:r>
          </w:p>
        </w:tc>
        <w:tc>
          <w:tcPr>
            <w:tcW w:type="dxa" w:w="7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Testing of randomly selected individuals at any time without prior notice. Selection is genuinely random and non-discriminatory.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For Cause / Reasonable Suspicion</w:t>
            </w:r>
          </w:p>
        </w:tc>
        <w:tc>
          <w:tcPr>
            <w:tcW w:type="dxa" w:w="7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Testing where a supervisor or manager has reasonable grounds to suspect that an individual is under the influence of drugs or alcohol.</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Post-Incident</w:t>
            </w:r>
          </w:p>
        </w:tc>
        <w:tc>
          <w:tcPr>
            <w:tcW w:type="dxa" w:w="7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Testing following any accident, incident, near miss, or dangerous occurrence, including vehicle incidents.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Follow-up / Return to Work</w:t>
            </w:r>
          </w:p>
        </w:tc>
        <w:tc>
          <w:tcPr>
            <w:tcW w:type="dxa" w:w="7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Testing as a condition of returning to work following a positive test, rehabilitation, or treatment programme.</w:t>
            </w:r>
          </w:p>
        </w:tc>
      </w:tr>
    </w:tbl>
    <w:p>
      <w:pPr>
        <w:pStyle w:val="Heading2"/>
        <w:spacing w:after="120" w:before="200"/>
      </w:pPr>
      <w:r>
        <w:rPr>
          <w:rFonts w:ascii="Arial" w:cs="Arial" w:eastAsia="Arial" w:hAnsi="Arial"/>
          <w:b/>
          <w:bCs/>
          <w:color w:val="333333"/>
          <w:sz w:val="26"/>
          <w:szCs w:val="26"/>
        </w:rPr>
        <w:t xml:space="preserve">5.2 Testing Procedures</w:t>
      </w:r>
    </w:p>
    <w:p>
      <w:pPr>
        <w:pStyle w:val="ListParagraph"/>
        <w:numPr>
          <w:ilvl w:val="0"/>
          <w:numId w:val="2"/>
        </w:numPr>
        <w:spacing w:after="40" w:before="40"/>
      </w:pPr>
      <w:r>
        <w:rPr>
          <w:rFonts w:ascii="Arial" w:cs="Arial" w:eastAsia="Arial" w:hAnsi="Arial"/>
          <w:color w:val="000000"/>
          <w:sz w:val="22"/>
          <w:szCs w:val="22"/>
        </w:rPr>
        <w:t xml:space="preserve">All testing will be conducted by a trained and competent collector using approved collection kits</w:t>
      </w:r>
    </w:p>
    <w:p>
      <w:pPr>
        <w:pStyle w:val="ListParagraph"/>
        <w:numPr>
          <w:ilvl w:val="0"/>
          <w:numId w:val="2"/>
        </w:numPr>
        <w:spacing w:after="40" w:before="40"/>
      </w:pPr>
      <w:r>
        <w:rPr>
          <w:rFonts w:ascii="Arial" w:cs="Arial" w:eastAsia="Arial" w:hAnsi="Arial"/>
          <w:color w:val="000000"/>
          <w:sz w:val="22"/>
          <w:szCs w:val="22"/>
        </w:rPr>
        <w:t xml:space="preserve">Chain of custody procedures will be followed at all times</w:t>
      </w:r>
    </w:p>
    <w:p>
      <w:pPr>
        <w:pStyle w:val="ListParagraph"/>
        <w:numPr>
          <w:ilvl w:val="0"/>
          <w:numId w:val="2"/>
        </w:numPr>
        <w:spacing w:after="40" w:before="40"/>
      </w:pPr>
      <w:r>
        <w:rPr>
          <w:rFonts w:ascii="Arial" w:cs="Arial" w:eastAsia="Arial" w:hAnsi="Arial"/>
          <w:color w:val="000000"/>
          <w:sz w:val="22"/>
          <w:szCs w:val="22"/>
        </w:rPr>
        <w:t xml:space="preserve">Screening tests (oral fluid, urine, or breath) will be conducted initially</w:t>
      </w:r>
    </w:p>
    <w:p>
      <w:pPr>
        <w:pStyle w:val="ListParagraph"/>
        <w:numPr>
          <w:ilvl w:val="0"/>
          <w:numId w:val="2"/>
        </w:numPr>
        <w:spacing w:after="40" w:before="40"/>
      </w:pPr>
      <w:r>
        <w:rPr>
          <w:rFonts w:ascii="Arial" w:cs="Arial" w:eastAsia="Arial" w:hAnsi="Arial"/>
          <w:color w:val="000000"/>
          <w:sz w:val="22"/>
          <w:szCs w:val="22"/>
        </w:rPr>
        <w:t xml:space="preserve">Any non-negative screening result will be sent to a UKAS-accredited laboratory for confirmation</w:t>
      </w:r>
    </w:p>
    <w:p>
      <w:pPr>
        <w:pStyle w:val="ListParagraph"/>
        <w:numPr>
          <w:ilvl w:val="0"/>
          <w:numId w:val="2"/>
        </w:numPr>
        <w:spacing w:after="40" w:before="40"/>
      </w:pPr>
      <w:r>
        <w:rPr>
          <w:rFonts w:ascii="Arial" w:cs="Arial" w:eastAsia="Arial" w:hAnsi="Arial"/>
          <w:color w:val="000000"/>
          <w:sz w:val="22"/>
          <w:szCs w:val="22"/>
        </w:rPr>
        <w:t xml:space="preserve">Individuals will be suspended from safety-critical duties pending laboratory confirmation results</w:t>
      </w:r>
    </w:p>
    <w:p>
      <w:pPr>
        <w:pStyle w:val="ListParagraph"/>
        <w:numPr>
          <w:ilvl w:val="0"/>
          <w:numId w:val="2"/>
        </w:numPr>
        <w:spacing w:after="40" w:before="40"/>
      </w:pPr>
      <w:r>
        <w:rPr>
          <w:rFonts w:ascii="Arial" w:cs="Arial" w:eastAsia="Arial" w:hAnsi="Arial"/>
          <w:color w:val="000000"/>
          <w:sz w:val="22"/>
          <w:szCs w:val="22"/>
        </w:rPr>
        <w:t xml:space="preserve">A Medical Review Officer (MRO) will review all confirmed positive results before any disciplinary action</w:t>
      </w:r>
    </w:p>
    <w:p>
      <w:pPr>
        <w:pStyle w:val="ListParagraph"/>
        <w:numPr>
          <w:ilvl w:val="0"/>
          <w:numId w:val="2"/>
        </w:numPr>
        <w:spacing w:after="40" w:before="40"/>
      </w:pPr>
      <w:r>
        <w:rPr>
          <w:rFonts w:ascii="Arial" w:cs="Arial" w:eastAsia="Arial" w:hAnsi="Arial"/>
          <w:color w:val="000000"/>
          <w:sz w:val="22"/>
          <w:szCs w:val="22"/>
        </w:rPr>
        <w:t xml:space="preserve">Individuals have the right to request that a split sample (B sample) be tested at an independent laboratory at their own cost</w:t>
      </w:r>
    </w:p>
    <w:p>
      <w:r>
        <w:br w:type="page"/>
      </w:r>
    </w:p>
    <w:p>
      <w:pPr>
        <w:pStyle w:val="Heading1"/>
        <w:spacing w:after="160" w:before="300"/>
      </w:pPr>
      <w:r>
        <w:rPr>
          <w:rFonts w:ascii="Arial" w:cs="Arial" w:eastAsia="Arial" w:hAnsi="Arial"/>
          <w:b/>
          <w:bCs/>
          <w:color w:val="1B2A4A"/>
          <w:sz w:val="32"/>
          <w:szCs w:val="32"/>
        </w:rPr>
        <w:t xml:space="preserve">6. Consequences of a Positive Test or Policy Breach</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Situation</w:t>
            </w:r>
          </w:p>
        </w:tc>
        <w:tc>
          <w:tcPr>
            <w:tcW w:type="dxa" w:w="6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Consequence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Positive drug test (illegal substance)</w:t>
            </w:r>
          </w:p>
        </w:tc>
        <w:tc>
          <w:tcPr>
            <w:tcW w:type="dxa" w:w="63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Immediate removal from site. Gross misconduct. Disciplinary procedure initiated. Potential prosecution referral.</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Positive alcohol test</w:t>
            </w:r>
          </w:p>
        </w:tc>
        <w:tc>
          <w:tcPr>
            <w:tcW w:type="dxa" w:w="63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Immediate removal from site. Disciplinary procedure initiated. First offence may be managed through support if voluntarily disclosed.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Refusal to be tested</w:t>
            </w:r>
          </w:p>
        </w:tc>
        <w:tc>
          <w:tcPr>
            <w:tcW w:type="dxa" w:w="63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Treated as a positive test result. Immediate removal from site. Disciplinary procedure.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Attempting to tamper with or substitute a sample</w:t>
            </w:r>
          </w:p>
        </w:tc>
        <w:tc>
          <w:tcPr>
            <w:tcW w:type="dxa" w:w="63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Treated as gross misconduct. Immediate removal from site.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Possession or supply of drugs on site</w:t>
            </w:r>
          </w:p>
        </w:tc>
        <w:tc>
          <w:tcPr>
            <w:tcW w:type="dxa" w:w="63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Immediate removal from site. Police informed. Gross misconduct.</w:t>
            </w:r>
          </w:p>
        </w:tc>
      </w:tr>
    </w:tbl>
    <w:p>
      <w:pPr>
        <w:pStyle w:val="Heading1"/>
        <w:spacing w:after="160" w:before="300"/>
      </w:pPr>
      <w:r>
        <w:rPr>
          <w:rFonts w:ascii="Arial" w:cs="Arial" w:eastAsia="Arial" w:hAnsi="Arial"/>
          <w:b/>
          <w:bCs/>
          <w:color w:val="1B2A4A"/>
          <w:sz w:val="32"/>
          <w:szCs w:val="32"/>
        </w:rPr>
        <w:t xml:space="preserve">7. Support and Assistance</w:t>
      </w:r>
    </w:p>
    <w:p>
      <w:pPr>
        <w:spacing w:after="60" w:before="60"/>
      </w:pPr>
      <w:r>
        <w:rPr>
          <w:rFonts w:ascii="Arial" w:cs="Arial" w:eastAsia="Arial" w:hAnsi="Arial"/>
          <w:i/>
          <w:iCs/>
          <w:color w:val="888888"/>
          <w:sz w:val="22"/>
          <w:szCs w:val="22"/>
        </w:rPr>
        <w:t xml:space="preserve">The organisation recognises that drug and alcohol dependency is a health condition. Individuals who voluntarily disclose a problem before it results in a policy breach or positive test will be supported as follows:</w:t>
      </w:r>
    </w:p>
    <w:p>
      <w:pPr>
        <w:pStyle w:val="ListParagraph"/>
        <w:numPr>
          <w:ilvl w:val="0"/>
          <w:numId w:val="2"/>
        </w:numPr>
        <w:spacing w:after="40" w:before="40"/>
      </w:pPr>
      <w:r>
        <w:rPr>
          <w:rFonts w:ascii="Arial" w:cs="Arial" w:eastAsia="Arial" w:hAnsi="Arial"/>
          <w:color w:val="000000"/>
          <w:sz w:val="22"/>
          <w:szCs w:val="22"/>
        </w:rPr>
        <w:t xml:space="preserve">Confidential referral to occupational health or an Employee Assistance Programme (EAP)</w:t>
      </w:r>
    </w:p>
    <w:p>
      <w:pPr>
        <w:pStyle w:val="ListParagraph"/>
        <w:numPr>
          <w:ilvl w:val="0"/>
          <w:numId w:val="2"/>
        </w:numPr>
        <w:spacing w:after="40" w:before="40"/>
      </w:pPr>
      <w:r>
        <w:rPr>
          <w:rFonts w:ascii="Arial" w:cs="Arial" w:eastAsia="Arial" w:hAnsi="Arial"/>
          <w:color w:val="000000"/>
          <w:sz w:val="22"/>
          <w:szCs w:val="22"/>
        </w:rPr>
        <w:t xml:space="preserve">Reasonable time off for treatment or counselling (subject to occupational health advice)</w:t>
      </w:r>
    </w:p>
    <w:p>
      <w:pPr>
        <w:pStyle w:val="ListParagraph"/>
        <w:numPr>
          <w:ilvl w:val="0"/>
          <w:numId w:val="2"/>
        </w:numPr>
        <w:spacing w:after="40" w:before="40"/>
      </w:pPr>
      <w:r>
        <w:rPr>
          <w:rFonts w:ascii="Arial" w:cs="Arial" w:eastAsia="Arial" w:hAnsi="Arial"/>
          <w:color w:val="000000"/>
          <w:sz w:val="22"/>
          <w:szCs w:val="22"/>
        </w:rPr>
        <w:t xml:space="preserve">Phased return to work with appropriate support and monitoring</w:t>
      </w:r>
    </w:p>
    <w:p>
      <w:pPr>
        <w:pStyle w:val="ListParagraph"/>
        <w:numPr>
          <w:ilvl w:val="0"/>
          <w:numId w:val="2"/>
        </w:numPr>
        <w:spacing w:after="40" w:before="40"/>
      </w:pPr>
      <w:r>
        <w:rPr>
          <w:rFonts w:ascii="Arial" w:cs="Arial" w:eastAsia="Arial" w:hAnsi="Arial"/>
          <w:color w:val="000000"/>
          <w:sz w:val="22"/>
          <w:szCs w:val="22"/>
        </w:rPr>
        <w:t xml:space="preserve">Regular follow-up testing as a condition of continued employment</w:t>
      </w:r>
    </w:p>
    <w:p>
      <w:pPr>
        <w:spacing w:after="60" w:before="60"/>
      </w:pPr>
      <w:r>
        <w:rPr>
          <w:rFonts w:ascii="Arial" w:cs="Arial" w:eastAsia="Arial" w:hAnsi="Arial"/>
          <w:i/>
          <w:iCs/>
          <w:color w:val="888888"/>
          <w:sz w:val="22"/>
          <w:szCs w:val="22"/>
        </w:rPr>
        <w:t xml:space="preserve">Voluntary disclosure does not exempt an individual from the consequences of a positive test conducted under the testing programme. Support is offered in addition to, not as an alternative to, the disciplinary procedure where a policy breach has occurred.</w:t>
      </w:r>
    </w:p>
    <w:p>
      <w:pPr>
        <w:spacing w:after="60" w:before="60"/>
      </w:pPr>
      <w:r>
        <w:rPr>
          <w:rFonts w:ascii="Arial" w:cs="Arial" w:eastAsia="Arial" w:hAnsi="Arial"/>
          <w:i/>
          <w:iCs/>
          <w:color w:val="888888"/>
          <w:sz w:val="22"/>
          <w:szCs w:val="22"/>
        </w:rPr>
        <w:t xml:space="preserve">Confidential support contacts: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Employee Assistance Programme:</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provider name and telephone number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Occupational Health Provider:</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provider name and telephone number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Frank (National Drug Helpline):</w:t>
            </w:r>
          </w:p>
        </w:tc>
        <w:tc>
          <w:tcPr>
            <w:tcW w:type="dxa" w:w="63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0300 123 6600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Drinkline:</w:t>
            </w:r>
          </w:p>
        </w:tc>
        <w:tc>
          <w:tcPr>
            <w:tcW w:type="dxa" w:w="63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0300 123 1110</w:t>
            </w:r>
          </w:p>
        </w:tc>
      </w:tr>
    </w:tbl>
    <w:p>
      <w:pPr>
        <w:pStyle w:val="Heading1"/>
        <w:spacing w:after="160" w:before="300"/>
      </w:pPr>
      <w:r>
        <w:rPr>
          <w:rFonts w:ascii="Arial" w:cs="Arial" w:eastAsia="Arial" w:hAnsi="Arial"/>
          <w:b/>
          <w:bCs/>
          <w:color w:val="1B2A4A"/>
          <w:sz w:val="32"/>
          <w:szCs w:val="32"/>
        </w:rPr>
        <w:t xml:space="preserve">8. Responsibilities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7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Responsibilities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Directors / Senior Management</w:t>
            </w:r>
          </w:p>
        </w:tc>
        <w:tc>
          <w:tcPr>
            <w:tcW w:type="dxa" w:w="7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Ensure this policy is communicated, implemented, and enforced. Allocate resources for testing and support. Review policy annually.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Managers / Supervisors</w:t>
            </w:r>
          </w:p>
        </w:tc>
        <w:tc>
          <w:tcPr>
            <w:tcW w:type="dxa" w:w="7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Enforce the policy. Identify signs of impairment. Initiate for-cause testing where reasonable suspicion exists. Manage individuals off site safely.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All Workers</w:t>
            </w:r>
          </w:p>
        </w:tc>
        <w:tc>
          <w:tcPr>
            <w:tcW w:type="dxa" w:w="7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Comply with the policy. Report for work fit for duty. Disclose medication that may affect safety. Report concerns about colleagues’ fitness for duty.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H&amp;S Manager</w:t>
            </w:r>
          </w:p>
        </w:tc>
        <w:tc>
          <w:tcPr>
            <w:tcW w:type="dxa" w:w="7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Coordinate the testing programme. Maintain records confidentially. Liaise with occupational health and testing providers.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Subcontractors</w:t>
            </w:r>
          </w:p>
        </w:tc>
        <w:tc>
          <w:tcPr>
            <w:tcW w:type="dxa" w:w="7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Ensure their employees comply with this policy. Cooperate with the testing programme. Remove non-compliant personnel from site.</w:t>
            </w:r>
          </w:p>
        </w:tc>
      </w:tr>
    </w:tbl>
    <w:p>
      <w:pPr>
        <w:pStyle w:val="Heading1"/>
        <w:spacing w:after="160" w:before="300"/>
      </w:pPr>
      <w:r>
        <w:rPr>
          <w:rFonts w:ascii="Arial" w:cs="Arial" w:eastAsia="Arial" w:hAnsi="Arial"/>
          <w:b/>
          <w:bCs/>
          <w:color w:val="1B2A4A"/>
          <w:sz w:val="32"/>
          <w:szCs w:val="32"/>
        </w:rPr>
        <w:t xml:space="preserve">9. Confidentiality and Data Protection</w:t>
      </w:r>
    </w:p>
    <w:p>
      <w:pPr>
        <w:spacing w:after="60" w:before="60"/>
      </w:pPr>
      <w:r>
        <w:rPr>
          <w:rFonts w:ascii="Arial" w:cs="Arial" w:eastAsia="Arial" w:hAnsi="Arial"/>
          <w:i/>
          <w:iCs/>
          <w:color w:val="888888"/>
          <w:sz w:val="22"/>
          <w:szCs w:val="22"/>
        </w:rPr>
        <w:t xml:space="preserve">All information relating to drug and alcohol testing, test results, and any support or treatment will be treated as confidential medical data in accordance with the Data Protection Act 2018 and UK GDPR. Records will be stored securely, accessible only to authorised personnel, and retained for the period required by the organisation’s data retention policy.</w:t>
      </w:r>
    </w:p>
    <w:p>
      <w:pPr>
        <w:pStyle w:val="Heading1"/>
        <w:spacing w:after="160" w:before="300"/>
      </w:pPr>
      <w:r>
        <w:rPr>
          <w:rFonts w:ascii="Arial" w:cs="Arial" w:eastAsia="Arial" w:hAnsi="Arial"/>
          <w:b/>
          <w:bCs/>
          <w:color w:val="1B2A4A"/>
          <w:sz w:val="32"/>
          <w:szCs w:val="32"/>
        </w:rPr>
        <w:t xml:space="preserve">10. Policy Review</w:t>
      </w:r>
    </w:p>
    <w:p>
      <w:pPr>
        <w:spacing w:after="60" w:before="60"/>
      </w:pPr>
      <w:r>
        <w:rPr>
          <w:rFonts w:ascii="Arial" w:cs="Arial" w:eastAsia="Arial" w:hAnsi="Arial"/>
          <w:i/>
          <w:iCs/>
          <w:color w:val="888888"/>
          <w:sz w:val="22"/>
          <w:szCs w:val="22"/>
        </w:rPr>
        <w:t xml:space="preserve">This policy will be reviewed at least annually, or sooner if there is a significant change in legislation, a serious incident, or feedback from the testing programme indicates a need for revision.</w:t>
      </w:r>
    </w:p>
    <w:p>
      <w:pPr>
        <w:pStyle w:val="Heading1"/>
        <w:spacing w:after="160" w:before="300"/>
      </w:pPr>
      <w:r>
        <w:rPr>
          <w:rFonts w:ascii="Arial" w:cs="Arial" w:eastAsia="Arial" w:hAnsi="Arial"/>
          <w:b/>
          <w:bCs/>
          <w:color w:val="1B2A4A"/>
          <w:sz w:val="32"/>
          <w:szCs w:val="32"/>
        </w:rPr>
        <w:t xml:space="preserve">11. Approval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H&amp;S Director / Manager:</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Managing Director:</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pStyle w:val="Heading1"/>
        <w:spacing w:after="160" w:before="300"/>
      </w:pPr>
      <w:r>
        <w:rPr>
          <w:rFonts w:ascii="Arial" w:cs="Arial" w:eastAsia="Arial" w:hAnsi="Arial"/>
          <w:b/>
          <w:bCs/>
          <w:color w:val="1B2A4A"/>
          <w:sz w:val="32"/>
          <w:szCs w:val="32"/>
        </w:rPr>
        <w:t xml:space="preserve">12.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600"/>
        <w:gridCol w:w="2000"/>
        <w:gridCol w:w="2106"/>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Free Construction Template – Download more at ebrora.com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1B2A4A"/>
        <w:sz w:val="16"/>
        <w:szCs w:val="16"/>
      </w:rPr>
      <w:t xml:space="preserve">ebrora.com</w:t>
    </w:r>
    <w:r>
      <w:rPr>
        <w:rFonts w:ascii="Arial" w:cs="Arial" w:eastAsia="Arial" w:hAnsi="Arial"/>
        <w:color w:val="1B2A4A"/>
        <w:sz w:val="16"/>
        <w:szCs w:val="16"/>
      </w:rPr>
      <w:t xml:space="preserve">	Drug and Alcohol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Drug and Alcohol Policy</dc:title>
  <dc:subject>UK Construction Template</dc:subject>
  <dc:creator>ebrora.com</dc:creator>
  <cp:keywords>construction, template, UK, drug, alcohol, policy, testing, random, for cause, post incident, misuse, CSCS, CDM</cp:keywords>
  <dc:description>Free UK construction template by Ebrora. Download more at ebrora.com</dc:description>
  <cp:lastModifiedBy>ebrora.com</cp:lastModifiedBy>
  <cp:revision>1</cp:revision>
  <dcterms:created xsi:type="dcterms:W3CDTF">2026-04-03T04:06:44.164Z</dcterms:created>
  <dcterms:modified xsi:type="dcterms:W3CDTF">2026-04-03T04:06:44.165Z</dcterms:modified>
</cp:coreProperties>
</file>

<file path=docProps/custom.xml><?xml version="1.0" encoding="utf-8"?>
<Properties xmlns="http://schemas.openxmlformats.org/officeDocument/2006/custom-properties" xmlns:vt="http://schemas.openxmlformats.org/officeDocument/2006/docPropsVTypes"/>
</file>