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 Traceability Register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Master register for tracking the traceability of all materials used in fabrication, installation, and construction. Links each material item to its heat/cast number, material test certificate (MTC), supplier, and the specific component or weld joint in which it was used. Maintained as a permanent quality record in accordance with BS EN ISO 3834 (Quality requirements for fusion welding), BS EN 1090-2, BS EN 13480, and the project material traceability requirements.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Area: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system, fabrication batch, or area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MTC Requirement: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EN 10204 Type 3.1 (specific inspection), Type 2.2 (test report)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Legend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MTC Type per BS EN 10204: Type 2.1 = Declaration of compliance; Type 2.2 = Test report; Type 3.1 = Inspection certificate (specific inspection by manufacturer); Type 3.2 = Inspection certificate (independent inspection body).</w:t>
      </w:r>
    </w:p>
    <w:p>
      <w:pPr>
        <w:spacing w:after="1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Material descriptions should include form (plate, pipe, section, fitting, flange, bar, etc.) and nominal size. Heat/cast numbers must be transferred to cut pieces before the original marking is lost.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Material Traceability Register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400"/>
        <w:gridCol w:w="1000"/>
        <w:gridCol w:w="700"/>
        <w:gridCol w:w="900"/>
        <w:gridCol w:w="1000"/>
        <w:gridCol w:w="650"/>
        <w:gridCol w:w="900"/>
        <w:gridCol w:w="1000"/>
        <w:gridCol w:w="550"/>
        <w:gridCol w:w="900"/>
        <w:gridCol w:w="800"/>
        <w:gridCol w:w="1200"/>
        <w:gridCol w:w="850"/>
        <w:gridCol w:w="750"/>
        <w:gridCol w:w="1358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Size / Dims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Heat / Cast No.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MTC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MTC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Supplier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Delivery Note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 Recd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Used In (Item / Weld)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Verified By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 Verified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Comments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All materials with specified MTC requirements must be verified against the MTC before being released for fabrication. Check chemical composition, mechanical properties, and heat treatment condition match the specification.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Heat / cast numbers must be physically marked on the material (hard stamp, paint marker, or engraving) and transferred to cut pieces before the original marking is removed by cutting.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Positive Material Identification (PMI) testing may be required for alloy steels and stainless steels per the project specification or BS EN 1090-2 EXC3/EXC4.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Any material substitution requires prior engineering approval and must be documented with an approved concession or material change request.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This register should be cross-referenced with the weld map, pipe spool fabrication records, and structural steelwork records for full traceability from raw material to installed component.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Retain all original MTCs as part of the project quality records and handover documentation.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Controller / Store Keeper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Coordinator (IWE / IWT)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Project Engineer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PMI test results, material substitution concession references, or MTC filing location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Material Traceability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Traceability Register</dc:title>
  <dc:subject>UK Construction Template</dc:subject>
  <dc:creator>ebrora.com</dc:creator>
  <cp:keywords>construction, template, UK, material traceability, heat number, MTC, EN 10204, material certificate, quality, welding</cp:keywords>
  <dc:description>Free UK construction template by Ebrora. Download more at ebrora.com</dc:description>
  <cp:lastModifiedBy>ebrora.com</cp:lastModifiedBy>
  <cp:revision>1</cp:revision>
  <dcterms:created xsi:type="dcterms:W3CDTF">2026-03-26T10:43:54.870Z</dcterms:created>
  <dcterms:modified xsi:type="dcterms:W3CDTF">2026-03-26T10:43:54.872Z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