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esting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carried out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on the NetAcquire test database. Most tests coming across. A few tests are not. 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See below for detail on what needs to be fixed: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Combined FLU/RSV/Assay Anomaly: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000000"/>
        </w:rPr>
      </w:pPr>
      <w:r>
        <w:rPr>
          <w:rFonts w:ascii="Symbol" w:hAnsi="Symbol" w:cs="Arial"/>
          <w:color w:val="1F497D"/>
          <w:sz w:val="22"/>
          <w:szCs w:val="22"/>
          <w:bdr w:val="none" w:sz="0" w:space="0" w:color="auto" w:frame="1"/>
        </w:rPr>
        <w:t></w:t>
      </w:r>
      <w:r>
        <w:rPr>
          <w:color w:val="1F497D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SCV-2 Virus 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Result status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 not coming across to test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netacquire</w:t>
      </w:r>
      <w:proofErr w:type="spellEnd"/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I have codes entered on the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Gx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server database as below. These match what is entered into current live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Gx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interface for Cl2 laboratory which is functioning properly. This needs to be replicated for this interface for all assays.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6C5758B" wp14:editId="36581391">
            <wp:extent cx="3181350" cy="2314575"/>
            <wp:effectExtent l="0" t="0" r="0" b="9525"/>
            <wp:docPr id="5" name="Picture 5" descr="C:\Users\michelle.dunne\AppData\Local\Microsoft\Windows\INetCache\Content.MSO\562090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.dunne\AppData\Local\Microsoft\Windows\INetCache\Content.MSO\5620900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03B2599" wp14:editId="3886B503">
            <wp:extent cx="9239250" cy="5010150"/>
            <wp:effectExtent l="0" t="0" r="0" b="0"/>
            <wp:docPr id="6" name="Picture 6" descr="C:\Users\michelle.dunne\AppData\Local\Microsoft\Windows\INetCache\Content.MSO\3D352A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le.dunne\AppData\Local\Microsoft\Windows\INetCache\Content.MSO\3D352AA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Clostridium difficile Assay Anomaly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lastRenderedPageBreak/>
        <w:t xml:space="preserve">The result below circled should be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C.diff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Tox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Pos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027 Strain) </w:t>
      </w:r>
      <w:r>
        <w:rPr>
          <w:rFonts w:ascii="Calibri" w:hAnsi="Calibri" w:cs="Calibri"/>
          <w:b/>
          <w:bCs/>
          <w:color w:val="1F497D"/>
          <w:sz w:val="22"/>
          <w:szCs w:val="22"/>
          <w:bdr w:val="none" w:sz="0" w:space="0" w:color="auto" w:frame="1"/>
        </w:rPr>
        <w:t>NOT 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C.diff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Tox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Pos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(non-027 Strain). The sample I used was positive for the 027 gene and should come across as 027 strain. All codes below are entered correctly into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Gx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database. Again the Live </w:t>
      </w:r>
      <w:proofErr w:type="spell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Gx</w:t>
      </w:r>
      <w:proofErr w:type="spell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Interface in the cl2 works perfectly. If all coding could be replicated from working interface to this test interface that would fix things I would say.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81E18BB" wp14:editId="5DCD6DD2">
            <wp:extent cx="3695700" cy="2362200"/>
            <wp:effectExtent l="0" t="0" r="0" b="0"/>
            <wp:docPr id="7" name="Picture 7" descr="C:\Users\michelle.dunne\AppData\Local\Microsoft\Windows\INetCache\Content.MSO\7C2D1F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.dunne\AppData\Local\Microsoft\Windows\INetCache\Content.MSO\7C2D1FA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55A76F9C" wp14:editId="434FFFC6">
            <wp:extent cx="8553450" cy="3887224"/>
            <wp:effectExtent l="0" t="0" r="0" b="0"/>
            <wp:docPr id="8" name="Picture 8" descr="C:\Users\michelle.dunne\AppData\Local\Microsoft\Windows\INetCache\Content.MSO\4D3C08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elle.dunne\AppData\Local\Microsoft\Windows\INetCache\Content.MSO\4D3C089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5243" cy="389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E4" w:rsidRDefault="001D0AE4" w:rsidP="001D0AE4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 </w:t>
      </w:r>
    </w:p>
    <w:p w:rsidR="008B51BF" w:rsidRDefault="008B51BF"/>
    <w:sectPr w:rsidR="008B51BF" w:rsidSect="001D0A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FF9" w:rsidRDefault="007D6FF9" w:rsidP="001D0AE4">
      <w:pPr>
        <w:spacing w:after="0" w:line="240" w:lineRule="auto"/>
      </w:pPr>
      <w:r>
        <w:separator/>
      </w:r>
    </w:p>
  </w:endnote>
  <w:endnote w:type="continuationSeparator" w:id="0">
    <w:p w:rsidR="007D6FF9" w:rsidRDefault="007D6FF9" w:rsidP="001D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E4" w:rsidRDefault="001D0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E4" w:rsidRDefault="001D0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E4" w:rsidRDefault="001D0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FF9" w:rsidRDefault="007D6FF9" w:rsidP="001D0AE4">
      <w:pPr>
        <w:spacing w:after="0" w:line="240" w:lineRule="auto"/>
      </w:pPr>
      <w:r>
        <w:separator/>
      </w:r>
    </w:p>
  </w:footnote>
  <w:footnote w:type="continuationSeparator" w:id="0">
    <w:p w:rsidR="007D6FF9" w:rsidRDefault="007D6FF9" w:rsidP="001D0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E4" w:rsidRDefault="001D0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E4" w:rsidRDefault="001D0AE4">
    <w:pPr>
      <w:pStyle w:val="Header"/>
    </w:pPr>
    <w:bookmarkStart w:id="0" w:name="_GoBack"/>
    <w:r>
      <w:t xml:space="preserve">Testing on Gene Expert interface – TEST SYSTEM   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AE4" w:rsidRDefault="001D0A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4"/>
    <w:rsid w:val="001D0AE4"/>
    <w:rsid w:val="007D6FF9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35BE"/>
  <w15:chartTrackingRefBased/>
  <w15:docId w15:val="{6A0F09AF-FB93-4567-ADB5-566AB885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D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xmsolistparagraph">
    <w:name w:val="x_msolistparagraph"/>
    <w:basedOn w:val="Normal"/>
    <w:rsid w:val="001D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D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E4"/>
  </w:style>
  <w:style w:type="paragraph" w:styleId="Footer">
    <w:name w:val="footer"/>
    <w:basedOn w:val="Normal"/>
    <w:link w:val="FooterChar"/>
    <w:uiPriority w:val="99"/>
    <w:unhideWhenUsed/>
    <w:rsid w:val="001D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2024-03-11T09:29:00Z</dcterms:created>
  <dcterms:modified xsi:type="dcterms:W3CDTF">2024-03-11T09:31:00Z</dcterms:modified>
</cp:coreProperties>
</file>