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Judul Utama</w:t>
      </w:r>
    </w:p>
    <w:p>
      <w:pPr>
        <w:pStyle w:val="Heading2"/>
      </w:pPr>
      <w:r>
        <w:t>Sub Bagian</w:t>
      </w:r>
    </w:p>
    <w:p>
      <w:r>
        <w:t xml:space="preserve">Awal </w:t>
      </w:r>
      <w:r>
        <w:rPr>
          <w:b/>
        </w:rPr>
        <w:t>tebal</w:t>
      </w:r>
      <w:r>
        <w:t xml:space="preserve">, </w:t>
      </w:r>
      <w:r>
        <w:rPr>
          <w:i/>
        </w:rPr>
        <w:t>miring</w:t>
      </w:r>
      <w:r>
        <w:t xml:space="preserve">, </w:t>
      </w:r>
      <w:r>
        <w:rPr>
          <w:u w:val="single"/>
        </w:rPr>
        <w:t>garis</w:t>
      </w:r>
      <w:r>
        <w:t>. Nilai 1.500.000 rupiah untuk 10 unit.</w:t>
      </w:r>
    </w:p>
    <w:p>
      <w:pPr>
        <w:jc w:val="both"/>
      </w:pPr>
      <w:r>
        <w:t xml:space="preserve">Rata penuh. Rata penuh. Rata penuh. Rata penuh. Rata penuh. Rata penuh. Rata penuh. Rata penuh. Rata penuh. Rata penuh. </w:t>
      </w:r>
    </w:p>
    <w:p>
      <w:pPr>
        <w:jc w:val="right"/>
      </w:pPr>
      <w:r>
        <w:t>Rata kanan.</w:t>
      </w:r>
    </w:p>
    <w:p>
      <w:pPr>
        <w:pStyle w:val="ListBullet"/>
      </w:pPr>
      <w:r>
        <w:t>Poin satu</w:t>
      </w:r>
    </w:p>
    <w:p>
      <w:pPr>
        <w:pStyle w:val="ListBullet"/>
      </w:pPr>
      <w:r>
        <w:t>Poin dua</w:t>
      </w:r>
    </w:p>
    <w:p>
      <w:pPr>
        <w:pStyle w:val="ListNumber"/>
      </w:pPr>
      <w:r>
        <w:t>Langkah satu</w:t>
      </w:r>
    </w:p>
    <w:p>
      <w:pPr>
        <w:pStyle w:val="ListNumber"/>
      </w:pPr>
      <w:r>
        <w:t>Langkah dua</w:t>
      </w:r>
    </w:p>
    <w:p>
      <w:pPr>
        <w:pStyle w:val="Quote"/>
      </w:pPr>
      <w:r>
        <w:t>Kutipan.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Paket</w:t>
            </w:r>
          </w:p>
        </w:tc>
        <w:tc>
          <w:tcPr>
            <w:tcW w:type="dxa" w:w="4320"/>
          </w:tcPr>
          <w:p>
            <w:r>
              <w:t>Biaya</w:t>
            </w:r>
          </w:p>
        </w:tc>
      </w:tr>
      <w:tr>
        <w:tc>
          <w:tcPr>
            <w:tcW w:type="dxa" w:w="4320"/>
          </w:tcPr>
          <w:p>
            <w:r>
              <w:t>Pro</w:t>
            </w:r>
          </w:p>
        </w:tc>
        <w:tc>
          <w:tcPr>
            <w:tcW w:type="dxa" w:w="4320"/>
          </w:tcPr>
          <w:p>
            <w:r>
              <w:t>Rp99.000</w:t>
            </w:r>
          </w:p>
        </w:tc>
      </w:tr>
    </w:tbl>
    <w:p>
      <w:r>
        <w:t>Unicode: ñ é ü “kutip” 日本語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Word Asli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