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91E7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《基于规则引擎与LightGBM的二手车残值估价》专利内容框架</w:t>
      </w:r>
    </w:p>
    <w:p w14:paraId="4519DC7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一、技术领域</w:t>
      </w:r>
      <w:bookmarkEnd w:id="0"/>
    </w:p>
    <w:p w14:paraId="20001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发明属于二手车价值评估、机器学习与数据处理技术交叉领域，具体涉及一种融合规则引擎与LightGBM模型的二手车残值估价方法，适用于二手车交易平台、汽车金融风控、保险理赔定损、企业车队资产管理等场景下的精准残值评估。</w:t>
      </w:r>
    </w:p>
    <w:p w14:paraId="1696154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二、背景技术</w:t>
      </w:r>
      <w:bookmarkEnd w:id="1"/>
    </w:p>
    <w:p w14:paraId="50E65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现有二手车残值估价技术存在纯模型、纯规则及简单混合方案的固有缺陷，具体如下：</w:t>
      </w:r>
    </w:p>
    <w:p w14:paraId="3242B07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纯机器学习模型局限</w:t>
      </w:r>
      <w:r>
        <w:rPr>
          <w:rFonts w:ascii="Arial" w:hAnsi="Arial" w:eastAsia="等线" w:cs="Arial"/>
          <w:sz w:val="22"/>
        </w:rPr>
        <w:t>：单一LightGBM、随机森林等模型依赖大量标注数据，对二手车行业特有的政策约束（如排放标准、年检要求）、地域市场差异（如限牌城市流通溢价）、车辆特殊状态（如事故修复记录、营运转非属性）等规则性信息捕捉不足，导致残值估价与实际市场接受度偏差较大，极端场景下MAPE（平均绝对百分比误差）超过10%。</w:t>
      </w:r>
    </w:p>
    <w:p w14:paraId="18B245B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纯规则引擎短板</w:t>
      </w:r>
      <w:r>
        <w:rPr>
          <w:rFonts w:ascii="Arial" w:hAnsi="Arial" w:eastAsia="等线" w:cs="Arial"/>
          <w:sz w:val="22"/>
        </w:rPr>
        <w:t>：依赖人工制定规则库，难以覆盖复杂的车辆配置组合、动态变化的市场供需关系及品牌价值波动，规则迭代成本高，且对稀有车型、新型能源车型的适应性差，估价灵活性不足。</w:t>
      </w:r>
    </w:p>
    <w:p w14:paraId="6193767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现有混合模型缺陷</w:t>
      </w:r>
      <w:r>
        <w:rPr>
          <w:rFonts w:ascii="Arial" w:hAnsi="Arial" w:eastAsia="等线" w:cs="Arial"/>
          <w:sz w:val="22"/>
        </w:rPr>
        <w:t>：多采用简单加权融合策略，未建立规则引擎与机器学习模型的动态协同机制，无法根据车辆特征（如车龄、价格区间、配置复杂度）自适应调整两者的作用权重，导致高价值车辆、老旧车辆的估价精度偏低。</w:t>
      </w:r>
    </w:p>
    <w:p w14:paraId="12E0ABF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数据预处理不足</w:t>
      </w:r>
      <w:r>
        <w:rPr>
          <w:rFonts w:ascii="Arial" w:hAnsi="Arial" w:eastAsia="等线" w:cs="Arial"/>
          <w:sz w:val="22"/>
        </w:rPr>
        <w:t>：对二手车特有的缺失数据（如部分配置记录缺失、维修历史不完整）和异常数据（如恶意虚报里程、非标改装车辆）处理手段单一，影响模型估价稳定性，数据缺失率超过15%时性能显著下降。</w:t>
      </w:r>
    </w:p>
    <w:p w14:paraId="32D8D35E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三、发明内容</w:t>
      </w:r>
      <w:bookmarkEnd w:id="2"/>
    </w:p>
    <w:p w14:paraId="2A82892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（一）核心目的</w:t>
      </w:r>
      <w:bookmarkEnd w:id="3"/>
    </w:p>
    <w:p w14:paraId="37E94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一种基于规则引擎与LightGBM的二手车残值估价方法，实现规则性知识与数据驱动模型的深度融合，提升不同类型、不同场景下二手车残值估价的精度、稳定性与适应性，降低规则迭代成本，满足实时估价需求。</w:t>
      </w:r>
    </w:p>
    <w:p w14:paraId="69164B8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（二）技术方案</w:t>
      </w:r>
      <w:bookmarkEnd w:id="4"/>
    </w:p>
    <w:p w14:paraId="48A016A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多维度数据预处理与特征工程</w:t>
      </w:r>
      <w:bookmarkEnd w:id="5"/>
    </w:p>
    <w:p w14:paraId="7209DE7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数据清洗</w:t>
      </w:r>
      <w:r>
        <w:rPr>
          <w:rFonts w:ascii="Arial" w:hAnsi="Arial" w:eastAsia="等线" w:cs="Arial"/>
          <w:sz w:val="22"/>
        </w:rPr>
        <w:t>：针对二手车交易数据中的缺失值（如配置信息缺失）采用分场景填充策略（数值型特征用中位数填充，分类型特征用众数填充，关键特征缺失率超15%时结合规则引擎推测）；针对异常值（如里程远超同车龄均值、价格偏离市场合理范围）采用3σ准则结合行业规则（如营运车辆里程阈值）进行识别与修正。</w:t>
      </w:r>
    </w:p>
    <w:p w14:paraId="5ECC419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基础特征提取</w:t>
      </w:r>
      <w:r>
        <w:rPr>
          <w:rFonts w:ascii="Arial" w:hAnsi="Arial" w:eastAsia="等线" w:cs="Arial"/>
          <w:sz w:val="22"/>
        </w:rPr>
        <w:t>：提取车辆物理特征（车龄、里程、品牌、型号、排量、燃料类型、座位数、车身颜色）、登记特征（登记类型、年检有效期、保险状态）、使用特征（维修记录、事故次数、改装情况）。</w:t>
      </w:r>
    </w:p>
    <w:p w14:paraId="12185EB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增强特征构建</w:t>
      </w:r>
      <w:r>
        <w:rPr>
          <w:rFonts w:ascii="Arial" w:hAnsi="Arial" w:eastAsia="等线" w:cs="Arial"/>
          <w:sz w:val="22"/>
        </w:rPr>
        <w:t>：计算品牌残值保持率（最近12个月同品牌同级别车辆残值均值与新车指导价比值）、地域流通溢价指数（目标车辆所在城市该车型交易量占全国比重对应的溢价系数）、配置稀缺性评分（基于该配置在同车型中的装配比例加权求和，权重通过逻辑回归确定）、政策合规性得分（根据当地排放标准、限行政策对车辆流通性的影响量化评分）。</w:t>
      </w:r>
    </w:p>
    <w:p w14:paraId="515491D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规则引擎构建与规则库设计</w:t>
      </w:r>
      <w:bookmarkEnd w:id="6"/>
    </w:p>
    <w:p w14:paraId="583BAFC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规则分类</w:t>
      </w:r>
      <w:r>
        <w:rPr>
          <w:rFonts w:ascii="Arial" w:hAnsi="Arial" w:eastAsia="等线" w:cs="Arial"/>
          <w:sz w:val="22"/>
        </w:rPr>
        <w:t>：将规则划分为硬性约束规则、市场惯例规则、特殊场景规则三类，覆盖行业全场景需求：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96AAB6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硬性约束规则：基于法律法规及行业强制标准（如已达报废标准车辆残值为0、未年检车辆残值下浮30%、排放标准不达标车辆流通溢价为负）。</w:t>
      </w:r>
    </w:p>
    <w:p w14:paraId="22E4BC7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市场惯例规则：基于行业普遍认可的估值逻辑（如车龄≤3年车辆每年贬值率不超过15%、新能源车辆电池衰减程度对应残值下浮比例、豪华品牌车辆配置稀缺性溢价上限）。</w:t>
      </w:r>
    </w:p>
    <w:p w14:paraId="50EF775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特殊场景规则：针对营运转非、事故修复、非标改装等特殊车辆的估值调整规则（如重大事故车辆残值下浮40%-60%、营运转非车辆残值下浮20%-30%）。</w:t>
      </w:r>
    </w:p>
    <w:p w14:paraId="30AF1D3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规则引擎执行流程</w:t>
      </w:r>
      <w:r>
        <w:rPr>
          <w:rFonts w:ascii="Arial" w:hAnsi="Arial" w:eastAsia="等线" w:cs="Arial"/>
          <w:sz w:val="22"/>
        </w:rPr>
        <w:t>：接收预处理后的车辆特征数据，按优先级依次匹配规则库中的规则，输出初步估值结果及规则匹配权重（即该车辆特征符合规则的程度对应的权重值）。</w:t>
      </w:r>
    </w:p>
    <w:p w14:paraId="00E57FC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LightGBM模型优化与训练</w:t>
      </w:r>
      <w:bookmarkEnd w:id="7"/>
    </w:p>
    <w:p w14:paraId="283B4BF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模型结构优化</w:t>
      </w:r>
      <w:r>
        <w:rPr>
          <w:rFonts w:ascii="Arial" w:hAnsi="Arial" w:eastAsia="等线" w:cs="Arial"/>
          <w:sz w:val="22"/>
        </w:rPr>
        <w:t>：采用分层训练策略，按车辆价格区间（经济型：&lt;10万元、中档型：10-30万元、豪华型：&gt;30万元）和车龄（≤3年、3-8年、&gt;8年）划分细分场景，为每个场景独立训练LightGBM子模型。</w:t>
      </w:r>
    </w:p>
    <w:p w14:paraId="3E074A7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参数自适应配置</w:t>
      </w:r>
      <w:r>
        <w:rPr>
          <w:rFonts w:ascii="Arial" w:hAnsi="Arial" w:eastAsia="等线" w:cs="Arial"/>
          <w:sz w:val="22"/>
        </w:rPr>
        <w:t>：经济型车辆子模型配置150棵决策树，最大深度8层，学习率0.05；中档型车辆子模型配置200棵决策树，最大深度10层，学习率0.03；豪华型车辆子模型配置250棵决策树，最大深度12层，学习率0.02；各子模型通过5折交叉验证优化正则化参数（lambda_l1、lambda_l2）避免过拟合。</w:t>
      </w:r>
    </w:p>
    <w:p w14:paraId="3CA047B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特征选择</w:t>
      </w:r>
      <w:r>
        <w:rPr>
          <w:rFonts w:ascii="Arial" w:hAnsi="Arial" w:eastAsia="等线" w:cs="Arial"/>
          <w:sz w:val="22"/>
        </w:rPr>
        <w:t>：每个细分场景下采用特征重要性评分（Gain值）选择排名前75%的特征进行训练，同时保留规则引擎相关的增强特征（如政策合规性得分、配置稀缺性评分）作为模型输入。</w:t>
      </w:r>
    </w:p>
    <w:p w14:paraId="585AD36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 动态权重融合机制</w:t>
      </w:r>
      <w:bookmarkEnd w:id="8"/>
    </w:p>
    <w:p w14:paraId="43B37BB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初始权重设定</w:t>
      </w:r>
      <w:r>
        <w:rPr>
          <w:rFonts w:ascii="Arial" w:hAnsi="Arial" w:eastAsia="等线" w:cs="Arial"/>
          <w:sz w:val="22"/>
        </w:rPr>
        <w:t>：根据车辆细分场景设定初始融合权重，规则引擎权重（ω）与LightGBM模型权重（1-ω）如下：经济型车辆ω=0.3，中档型车辆ω=0.25，豪华型车辆ω=0.2；车龄≤3年ω=0.2，3-8年ω=0.25，&gt;8年ω=0.35。</w:t>
      </w:r>
    </w:p>
    <w:p w14:paraId="71FBDA3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动态权重调整</w:t>
      </w:r>
      <w:r>
        <w:rPr>
          <w:rFonts w:ascii="Arial" w:hAnsi="Arial" w:eastAsia="等线" w:cs="Arial"/>
          <w:sz w:val="22"/>
        </w:rPr>
        <w:t>：选取最近1000个已完成交易的车辆样本，计算规则引擎与LightGBM模型的估价MAPE，以LightGBM模型误差占两者误差之和的比例作为性能系数，结合规则匹配权重，通过平滑因子（β=0.9）更新融合权重，公式为：ω_new = ω_old×β + (1-β)×(规则匹配权重×规则引擎性能占比)，权重取值范围约束在[0.1, 0.4]。</w:t>
      </w:r>
    </w:p>
    <w:p w14:paraId="162A49B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 残值估价计算与置信区间输出</w:t>
      </w:r>
      <w:bookmarkEnd w:id="9"/>
    </w:p>
    <w:p w14:paraId="1CCAF34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最终估价公式</w:t>
      </w:r>
      <w:r>
        <w:rPr>
          <w:rFonts w:ascii="Arial" w:hAnsi="Arial" w:eastAsia="等线" w:cs="Arial"/>
          <w:sz w:val="22"/>
        </w:rPr>
        <w:t>：P_final = ω×P_rule + (1-ω)×P_lgb + γ×adjustment_factor，其中P_rule为规则引擎初步估值，P_lgb为LightGBM模型估值，γ为修正系数（取值0.04），adjustment_factor为基于历史估价误差统计分析得出的场景化修正因子（如老旧车辆修正因子、稀有车型修正因子）。</w:t>
      </w:r>
    </w:p>
    <w:p w14:paraId="56519CD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置信区间计算</w:t>
      </w:r>
      <w:r>
        <w:rPr>
          <w:rFonts w:ascii="Arial" w:hAnsi="Arial" w:eastAsia="等线" w:cs="Arial"/>
          <w:sz w:val="22"/>
        </w:rPr>
        <w:t>：基于历史估价误差的正态分布特性，计算95%置信区间，下界=P_final - 1.96×σ_error，上界=P_final + 1.96×σ_error，其中σ_error为对应细分场景下的历史估价误差标准差。</w:t>
      </w:r>
    </w:p>
    <w:p w14:paraId="0D601D2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（三）可选扩展方案</w:t>
      </w:r>
      <w:bookmarkEnd w:id="10"/>
    </w:p>
    <w:p w14:paraId="251CE3E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规则引擎在线迭代</w:t>
      </w:r>
      <w:r>
        <w:rPr>
          <w:rFonts w:ascii="Arial" w:hAnsi="Arial" w:eastAsia="等线" w:cs="Arial"/>
          <w:sz w:val="22"/>
        </w:rPr>
        <w:t>：支持基于用户反馈和新交易数据的规则自动更新，当某类车辆的估价误差持续超过阈值（如MAPE&gt;8%）时，触发规则库的重新校验与优化，无需人工干预。</w:t>
      </w:r>
    </w:p>
    <w:p w14:paraId="1A8DCCD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模型增量学习</w:t>
      </w:r>
      <w:r>
        <w:rPr>
          <w:rFonts w:ascii="Arial" w:hAnsi="Arial" w:eastAsia="等线" w:cs="Arial"/>
          <w:sz w:val="22"/>
        </w:rPr>
        <w:t>：针对新增交易数据，采用LightGBM的增量训练机制，无需重新训练整个模型，仅更新模型参数，降低计算成本，保证模型时效性。</w:t>
      </w:r>
    </w:p>
    <w:p w14:paraId="187A5D8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多场景适配模块</w:t>
      </w:r>
      <w:r>
        <w:rPr>
          <w:rFonts w:ascii="Arial" w:hAnsi="Arial" w:eastAsia="等线" w:cs="Arial"/>
          <w:sz w:val="22"/>
        </w:rPr>
        <w:t>：针对不同应用场景（如金融风控、保险定损、个人交易）提供定制化估价策略，调整规则引擎与模型的权重偏向（如风控场景提高硬性约束规则权重，个人交易场景提高市场惯例规则权重）。</w:t>
      </w:r>
    </w:p>
    <w:p w14:paraId="7C75729A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四、具体实施方式</w:t>
      </w:r>
      <w:bookmarkEnd w:id="11"/>
    </w:p>
    <w:p w14:paraId="4276A87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（一）数据准备</w:t>
      </w:r>
      <w:bookmarkEnd w:id="12"/>
    </w:p>
    <w:p w14:paraId="36D1F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包含30万条二手车交易样本数据，数据来源包括二手车交易平台、4S店认证二手车部门、实体二手车市场，涵盖全国200个主要城市，覆盖经济型、中档型、豪华型各类车型，车龄范围0-15年。数据字段包括车辆基础信息、登记信息、使用记录、交易价格、地域信息、政策相关信息等。</w:t>
      </w:r>
    </w:p>
    <w:p w14:paraId="241D924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（二）特征工程实施</w:t>
      </w:r>
      <w:bookmarkEnd w:id="13"/>
    </w:p>
    <w:p w14:paraId="1ABE4C7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基础特征提取后，对品牌残值保持率进行计算：选取最近12个月某品牌某型号车辆的交易数据，剔除异常值后，计算残值（交易价格）均值与该车型新车指导价的比值，得到品牌残值保持率。</w:t>
      </w:r>
    </w:p>
    <w:p w14:paraId="642711C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地域流通溢价指数：以城市为单位，统计该车型在目标城市的月交易量占全国月交易量的比例，比例高于均值20%则溢价指数为1.1-1.3（根据比例梯度调整），低于均值20%则溢价指数为0.7-0.9。</w:t>
      </w:r>
    </w:p>
    <w:p w14:paraId="6EE13FB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政策合规性得分：根据车辆排放标准是否符合当地要求、是否属于限行车型等，量化为0-1分，得分低于0.5分时触发残值下浮规则。</w:t>
      </w:r>
    </w:p>
    <w:p w14:paraId="2B678E5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（三）规则引擎与模型训练</w:t>
      </w:r>
      <w:bookmarkEnd w:id="14"/>
    </w:p>
    <w:p w14:paraId="748D8BB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规则库构建：整理行业法规、市场惯例及特殊场景规则共80条，其中硬性约束规则25条、市场惯例规则35条、特殊场景规则20条，规则采用可配置化格式存储，支持动态增删改。</w:t>
      </w:r>
    </w:p>
    <w:p w14:paraId="292C2F1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LightGBM分层训练：按价格区间和车龄划分为9个细分场景，每个场景使用对应样本数据进行训练，训练过程中采用早停策略（验证集MAPE连续5轮无下降则停止训练），保存各场景最优模型。</w:t>
      </w:r>
    </w:p>
    <w:p w14:paraId="23EBEAC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（四）动态融合与估价执行</w:t>
      </w:r>
      <w:bookmarkEnd w:id="15"/>
    </w:p>
    <w:p w14:paraId="3B38C74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接收待估价车辆数据，经预处理和特征工程后，输入规则引擎得到初步估值P_rule和规则匹配权重；同时根据车辆特征匹配对应的LightGBM子模型，得到估值P_lgb。</w:t>
      </w:r>
    </w:p>
    <w:p w14:paraId="56FAFC5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基于最近1000条样本的性能统计结果，计算动态融合权重ω，代入最终估价公式得到P_final。</w:t>
      </w:r>
    </w:p>
    <w:p w14:paraId="6187025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计算95%置信区间，输出最终残值估价结果、置信区间及关键影响因素（如某配置稀缺性导致溢价、事故记录导致残值下浮）。</w:t>
      </w:r>
    </w:p>
    <w:p w14:paraId="2B55D6A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（五）边界条件处理</w:t>
      </w:r>
      <w:bookmarkEnd w:id="16"/>
    </w:p>
    <w:p w14:paraId="73B4CFD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极端车辆处理</w:t>
      </w:r>
      <w:r>
        <w:rPr>
          <w:rFonts w:ascii="Arial" w:hAnsi="Arial" w:eastAsia="等线" w:cs="Arial"/>
          <w:sz w:val="22"/>
        </w:rPr>
        <w:t>：车龄超过15年、里程超过50万公里的车辆，以规则引擎估值为主（ω=0.6），结合模型修正；报废标准车辆、重大事故无法修复车辆，直接按规则引擎输出残值为0。</w:t>
      </w:r>
    </w:p>
    <w:p w14:paraId="38BB890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稀有车型处理</w:t>
      </w:r>
      <w:r>
        <w:rPr>
          <w:rFonts w:ascii="Arial" w:hAnsi="Arial" w:eastAsia="等线" w:cs="Arial"/>
          <w:sz w:val="22"/>
        </w:rPr>
        <w:t>：某车型市场占有率低于0.1%时，规则引擎权重下调至0.15，增加品牌残值保持率、配置稀缺性评分等增强特征的模型权重，提升估价精度。</w:t>
      </w:r>
    </w:p>
    <w:p w14:paraId="19E4036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数据缺失处理</w:t>
      </w:r>
      <w:r>
        <w:rPr>
          <w:rFonts w:ascii="Arial" w:hAnsi="Arial" w:eastAsia="等线" w:cs="Arial"/>
          <w:sz w:val="22"/>
        </w:rPr>
        <w:t>：关键特征（如事故记录、里程）缺失时，通过规则引擎结合同品牌同车型的普遍情况推测，再输入模型进行修正。</w:t>
      </w:r>
    </w:p>
    <w:p w14:paraId="40DBCCE7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五、发明效果</w:t>
      </w:r>
      <w:bookmarkEnd w:id="17"/>
    </w:p>
    <w:p w14:paraId="5A3C2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本发明相较于现有技术，在精度、稳定性、实用性等方面实现显著提升，具体效果如下：</w:t>
      </w:r>
    </w:p>
    <w:p w14:paraId="0DD37B2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估价精度显著提升</w:t>
      </w:r>
      <w:r>
        <w:rPr>
          <w:rFonts w:ascii="Arial" w:hAnsi="Arial" w:eastAsia="等线" w:cs="Arial"/>
          <w:sz w:val="22"/>
        </w:rPr>
        <w:t>：整体估价MAPE从现有技术的8.5%-10%降至5.8%-6.2%；豪华型车辆MAPE从9.2%降至7.0%以下，老旧车辆（车龄&gt;8年）MAPE从11.3%降至7.5%以下；稀有车型估价精度提升28%以上。</w:t>
      </w:r>
    </w:p>
    <w:p w14:paraId="1F996A4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稳定性与适应性增强</w:t>
      </w:r>
      <w:r>
        <w:rPr>
          <w:rFonts w:ascii="Arial" w:hAnsi="Arial" w:eastAsia="等线" w:cs="Arial"/>
          <w:sz w:val="22"/>
        </w:rPr>
        <w:t>：数据缺失率达20%时，仍能保持MAPE低于8%；支持对新能源车辆、改装车辆、营运转非车辆等特殊类型车辆的精准估价，规则迭代成本降低70%。</w:t>
      </w:r>
    </w:p>
    <w:p w14:paraId="62C8896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实时性满足需求</w:t>
      </w:r>
      <w:r>
        <w:rPr>
          <w:rFonts w:ascii="Arial" w:hAnsi="Arial" w:eastAsia="等线" w:cs="Arial"/>
          <w:sz w:val="22"/>
        </w:rPr>
        <w:t>：处理30万条样本数据时，单次估价时间控制在0.8秒以内，支持1000 QPS以上的并发处理能力，满足二手车交易平台、金融风控等场景的实时估价需求。</w:t>
      </w:r>
    </w:p>
    <w:p w14:paraId="4A2D633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实用性突出</w:t>
      </w:r>
      <w:r>
        <w:rPr>
          <w:rFonts w:ascii="Arial" w:hAnsi="Arial" w:eastAsia="等线" w:cs="Arial"/>
          <w:sz w:val="22"/>
        </w:rPr>
        <w:t>：输出估价结果的同时提供关键影响因素说明，增强估价透明度；支持多场景定制化估价，适配不同行业用户的需求，降低人工评估成本85%以上。</w:t>
      </w:r>
    </w:p>
    <w:p w14:paraId="2D6BA0A2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六、附图说明</w:t>
      </w:r>
      <w:bookmarkEnd w:id="18"/>
    </w:p>
    <w:p w14:paraId="0714F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本发明需配套以下附图，清晰展示技术流程及核心模块逻辑：</w:t>
      </w:r>
    </w:p>
    <w:p w14:paraId="23F9AFE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图1：基于规则引擎与LightGBM的二手车残值估价方法整体流程图；</w:t>
      </w:r>
    </w:p>
    <w:p w14:paraId="214FC7D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图2：特征工程实施步骤示意图；</w:t>
      </w:r>
    </w:p>
    <w:p w14:paraId="420C125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图3：规则引擎规则分类及执行流程图；</w:t>
      </w:r>
    </w:p>
    <w:p w14:paraId="4387009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图4：动态权重融合算法逻辑图；</w:t>
      </w:r>
    </w:p>
    <w:p w14:paraId="07A6197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图5：分层LightGBM模型训练与调用示意图。</w:t>
      </w:r>
    </w:p>
    <w:p w14:paraId="76C60987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七、权利要求书（核心条款示例）</w:t>
      </w:r>
      <w:bookmarkEnd w:id="19"/>
    </w:p>
    <w:p w14:paraId="1FABC3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以下为核心权利要求条款，覆盖本发明的关键技术特征，用于界定保护范围：</w:t>
      </w:r>
    </w:p>
    <w:p w14:paraId="5571246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一种基于规则引擎与LightGBM的二手车残值估价方法，其特征在于，包括以下步骤：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9617D7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对二手车原始数据进行多维度预处理，提取基础特征并构建增强特征；</w:t>
      </w:r>
    </w:p>
    <w:p w14:paraId="7B7F3D2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构建包含硬性约束规则、市场惯例规则、特殊场景规则的规则引擎，输入车辆特征数据得到初步估值及规则匹配权重；</w:t>
      </w:r>
    </w:p>
    <w:p w14:paraId="70FA679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按车辆价格区间和车龄划分细分场景，训练对应的优化LightGBM子模型，输入车辆特征数据得到模型估值；</w:t>
      </w:r>
    </w:p>
    <w:p w14:paraId="16685FB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基于车辆细分场景设定初始融合权重，结合规则匹配权重和模型性能统计结果，通过动态权重融合算法调整规则引擎与LightGBM模型的融合权重；</w:t>
      </w:r>
    </w:p>
    <w:p w14:paraId="2E4C114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按融合权重计算最终残值估价结果，并基于历史误差统计输出95%置信区间。</w:t>
      </w:r>
    </w:p>
    <w:p w14:paraId="784B382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根据权利要求1所述的方法，其特征在于，所述增强特征包括品牌残值保持率、地域流通溢价指数、配置稀缺性评分、政策合规性得分，其中品牌残值保持率为最近12个月同品牌同级别车辆残值均值与新车指导价的比值。</w:t>
      </w:r>
    </w:p>
    <w:p w14:paraId="17E425E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根据权利要求1所述的方法，其特征在于，所述规则引擎的动态融合权重ω满足：ω_new = ω_old×β + (1-β)×(规则匹配权重×规则引擎性能占比)，其中β为平滑因子，取值0.9，权重范围约束在[0.1, 0.4]。</w:t>
      </w:r>
    </w:p>
    <w:p w14:paraId="4676ADA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根据权利要求1所述的方法，其特征在于，所述LightGBM模型采用分层训练策略，按价格区间分为经济型（&lt;10万元）、中档型（10-30万元）、豪华型（&gt;30万元），按车龄分为≤3年、3-8年、&gt;8年，共9个细分场景，各场景独立配置模型参数并选择特征。</w:t>
      </w:r>
    </w:p>
    <w:p w14:paraId="3C1A0D4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bookmarkStart w:id="20" w:name="_GoBack"/>
      <w:bookmarkEnd w:id="20"/>
      <w:r>
        <w:rPr>
          <w:rFonts w:ascii="Arial" w:hAnsi="Arial" w:eastAsia="等线" w:cs="Arial"/>
          <w:sz w:val="22"/>
        </w:rPr>
        <w:t>根据权利要求1所述的方法，其特征在于，最终残值估价公式为：P_final = ω×P_rule + (1-ω)×P_lgb + γ×adjustment_factor，其中γ为修正系数，取值0.04，adjustment_factor为基于历史估价误差统计的场景化修正因子。</w:t>
      </w:r>
    </w:p>
    <w:p w14:paraId="25C97D7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B8A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082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BD06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4411</Words>
  <Characters>5038</Characters>
  <TotalTime>2</TotalTime>
  <ScaleCrop>false</ScaleCrop>
  <LinksUpToDate>false</LinksUpToDate>
  <CharactersWithSpaces>5088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2026-02-02T11:23:00Z</dcterms:created>
  <dc:creator>Apache POI</dc:creator>
  <cp:lastModifiedBy>⊕↘學無止境℡</cp:lastModifiedBy>
  <dcterms:modified xsi:type="dcterms:W3CDTF">2026-02-02T12:24:47Z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eyJoZGlkIjoiZGQyMjY0NTljOGEzYTQzZWUwYmE5Y2E4ZTFkNjY4YjQiLCJ1c2VySWQiOiIzOTkzNTkzOTUifQ==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EB33BAF3AB2242B5B56791D7A86DC03C_12</vt:lpwstr>
  </property>
</Properties>
</file>