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《基于规则引擎与LightGBM的二手车残值估价》专利内容框架</w:t>
      </w:r>
    </w:p>
    <w:p>
      <w:pPr>
        <w:pStyle w:val="1"/>
        <w:spacing w:before="380" w:after="140" w:line="288" w:lineRule="auto"/>
        <w:ind w:left="0"/>
        <w:jc w:val="left"/>
        <w:outlineLvl w:val="0"/>
      </w:pPr>
      <w:bookmarkStart w:name="heading_0" w:id="0"/>
      <w:r>
        <w:rPr>
          <w:rFonts w:eastAsia="等线" w:ascii="Arial" w:cs="Arial" w:hAnsi="Arial"/>
          <w:b w:val="true"/>
          <w:sz w:val="36"/>
        </w:rPr>
        <w:t>一、技术领域</w:t>
      </w:r>
      <w:bookmarkEnd w:id="0"/>
    </w:p>
    <w:p>
      <w:pPr>
        <w:spacing w:before="120" w:after="120" w:line="288" w:lineRule="auto"/>
        <w:ind w:left="0"/>
        <w:jc w:val="left"/>
      </w:pPr>
      <w:r>
        <w:rPr>
          <w:rFonts w:eastAsia="等线" w:ascii="Arial" w:cs="Arial" w:hAnsi="Arial"/>
          <w:sz w:val="22"/>
        </w:rPr>
        <w:t>本发明属于二手车价值评估、机器学习与数据处理技术交叉领域，具体涉及一种融合规则引擎与LightGBM模型的二手车残值估价方法，适用于二手车交易平台的在线实时估价、汽车金融机构的风控审核定价、保险行业的车辆理赔定损核算、企业车队的资产折旧核算与处置定价等多类场景，可实现不同车况、不同品牌车型及不同市场环境下的精准残值评估，填补现有技术在规则与数据融合层面的适配空白。</w:t>
      </w:r>
    </w:p>
    <w:p>
      <w:pPr>
        <w:pStyle w:val="1"/>
        <w:spacing w:before="380" w:after="140" w:line="288" w:lineRule="auto"/>
        <w:ind w:left="0"/>
        <w:jc w:val="left"/>
        <w:outlineLvl w:val="0"/>
      </w:pPr>
      <w:bookmarkStart w:name="heading_1" w:id="1"/>
      <w:r>
        <w:rPr>
          <w:rFonts w:eastAsia="等线" w:ascii="Arial" w:cs="Arial" w:hAnsi="Arial"/>
          <w:b w:val="true"/>
          <w:sz w:val="36"/>
        </w:rPr>
        <w:t>二、背景技术</w:t>
      </w:r>
      <w:bookmarkEnd w:id="1"/>
    </w:p>
    <w:p>
      <w:pPr>
        <w:spacing w:before="120" w:after="120" w:line="288" w:lineRule="auto"/>
        <w:ind w:left="0"/>
        <w:jc w:val="left"/>
      </w:pPr>
      <w:r>
        <w:rPr>
          <w:rFonts w:eastAsia="等线" w:ascii="Arial" w:cs="Arial" w:hAnsi="Arial"/>
          <w:sz w:val="22"/>
        </w:rPr>
        <w:t>随着二手车交易市场的规模化发展及汽车金融、保险行业的精细化运营需求提升，二手车残值估价的精准度、稳定性与适配性成为行业核心痛点。现有二手车残值估价技术主要分为纯模型、纯规则及简单混合三类方案，均存在固有缺陷，难以满足全场景精准估价需求，具体如下：</w:t>
      </w:r>
    </w:p>
    <w:p>
      <w:pPr>
        <w:numPr>
          <w:numId w:val="1"/>
        </w:numPr>
        <w:spacing w:before="120" w:after="120" w:line="288" w:lineRule="auto"/>
        <w:ind w:left="0"/>
        <w:jc w:val="left"/>
      </w:pPr>
      <w:r>
        <w:rPr>
          <w:rFonts w:eastAsia="等线" w:ascii="Arial" w:cs="Arial" w:hAnsi="Arial"/>
          <w:b w:val="true"/>
          <w:sz w:val="22"/>
        </w:rPr>
        <w:t>纯机器学习模型局限</w:t>
      </w:r>
      <w:r>
        <w:rPr>
          <w:rFonts w:eastAsia="等线" w:ascii="Arial" w:cs="Arial" w:hAnsi="Arial"/>
          <w:sz w:val="22"/>
        </w:rPr>
        <w:t>：单一LightGBM、随机森林等机器学习模型高度依赖大规模高质量标注数据，而二手车行业特有的政策约束（如各地区差异化排放标准、年检周期要求、限行政策）、地域市场差异（如限牌城市的流通溢价、偏远地区的运输成本附加）、车辆特殊状态（如重大事故修复记录、营运转非属性、调表里程）等规则性信息具有强行业属性，难以通过数据训练被模型充分捕捉，导致残值估价结果与实际市场交易接受度偏差较大，极端场景下MAPE（平均绝对百分比误差）超过10%，无法满足金融风控等对精度要求较高的场景需求。</w:t>
      </w:r>
    </w:p>
    <w:p>
      <w:pPr>
        <w:numPr>
          <w:numId w:val="2"/>
        </w:numPr>
        <w:spacing w:before="120" w:after="120" w:line="288" w:lineRule="auto"/>
        <w:ind w:left="0"/>
        <w:jc w:val="left"/>
      </w:pPr>
      <w:r>
        <w:rPr>
          <w:rFonts w:eastAsia="等线" w:ascii="Arial" w:cs="Arial" w:hAnsi="Arial"/>
          <w:b w:val="true"/>
          <w:sz w:val="22"/>
        </w:rPr>
        <w:t>纯规则引擎短板</w:t>
      </w:r>
      <w:r>
        <w:rPr>
          <w:rFonts w:eastAsia="等线" w:ascii="Arial" w:cs="Arial" w:hAnsi="Arial"/>
          <w:sz w:val="22"/>
        </w:rPr>
        <w:t>：传统纯规则引擎估价方法完全依赖行业专家人工制定规则库，需逐一覆盖车辆品牌、配置、车况、市场供需等各类影响因素，但二手车配置组合繁杂、市场供需关系动态波动（如季度性促销、新能源车型迭代导致的残值波动）、品牌价值随口碑变化，人工规则难以全面覆盖，且规则迭代需投入大量专家人力成本，迭代效率低下；同时，对于稀有进口车型、新型新能源车型等小众场景，现有规则库缺乏适配性，估价灵活性严重不足，易出现估值失真。</w:t>
      </w:r>
    </w:p>
    <w:p>
      <w:pPr>
        <w:numPr>
          <w:numId w:val="3"/>
        </w:numPr>
        <w:spacing w:before="120" w:after="120" w:line="288" w:lineRule="auto"/>
        <w:ind w:left="0"/>
        <w:jc w:val="left"/>
      </w:pPr>
      <w:r>
        <w:rPr>
          <w:rFonts w:eastAsia="等线" w:ascii="Arial" w:cs="Arial" w:hAnsi="Arial"/>
          <w:b w:val="true"/>
          <w:sz w:val="22"/>
        </w:rPr>
        <w:t>现有混合模型缺陷</w:t>
      </w:r>
      <w:r>
        <w:rPr>
          <w:rFonts w:eastAsia="等线" w:ascii="Arial" w:cs="Arial" w:hAnsi="Arial"/>
          <w:sz w:val="22"/>
        </w:rPr>
        <w:t>：现有少数融合规则引擎与机器学习模型的方案，多采用固定比例加权的简单融合策略，未建立两者的动态协同机制，无法根据车辆核心特征（如车龄长短、价格区间高低、配置复杂程度、车型稀缺性）自适应调整规则引擎与机器学习模型的作用权重，导致高价值豪华车辆、老旧代步车辆等特殊品类的估价精度偏低，难以兼顾全品类车辆的估价需求。</w:t>
      </w:r>
    </w:p>
    <w:p>
      <w:pPr>
        <w:numPr>
          <w:numId w:val="4"/>
        </w:numPr>
        <w:spacing w:before="120" w:after="120" w:line="288" w:lineRule="auto"/>
        <w:ind w:left="0"/>
        <w:jc w:val="left"/>
      </w:pPr>
      <w:r>
        <w:rPr>
          <w:rFonts w:eastAsia="等线" w:ascii="Arial" w:cs="Arial" w:hAnsi="Arial"/>
          <w:b w:val="true"/>
          <w:sz w:val="22"/>
        </w:rPr>
        <w:t>数据预处理不足</w:t>
      </w:r>
      <w:r>
        <w:rPr>
          <w:rFonts w:eastAsia="等线" w:ascii="Arial" w:cs="Arial" w:hAnsi="Arial"/>
          <w:sz w:val="22"/>
        </w:rPr>
        <w:t>：二手车交易数据普遍存在碎片化问题，缺失数据（如部分配置记录缺失、维修历史不完整、保险记录断层）和异常数据（如恶意虚报里程、非标改装车辆虚报原厂配置、低价引流的虚假交易价格）频发，现有技术多采用统一化处理手段，未结合二手车行业特性设计针对性处理方案，导致模型估价稳定性较差，当关键数据缺失率超过15%时，模型估价性能会出现显著下降，无法适配实际数据场景。</w:t>
      </w:r>
    </w:p>
    <w:p>
      <w:pPr>
        <w:pStyle w:val="1"/>
        <w:spacing w:before="380" w:after="140" w:line="288" w:lineRule="auto"/>
        <w:ind w:left="0"/>
        <w:jc w:val="left"/>
        <w:outlineLvl w:val="0"/>
      </w:pPr>
      <w:bookmarkStart w:name="heading_2" w:id="2"/>
      <w:r>
        <w:rPr>
          <w:rFonts w:eastAsia="等线" w:ascii="Arial" w:cs="Arial" w:hAnsi="Arial"/>
          <w:b w:val="true"/>
          <w:sz w:val="36"/>
        </w:rPr>
        <w:t>三、发明内容</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（一）核心目的</w:t>
      </w:r>
      <w:bookmarkEnd w:id="3"/>
    </w:p>
    <w:p>
      <w:pPr>
        <w:spacing w:before="120" w:after="120" w:line="288" w:lineRule="auto"/>
        <w:ind w:left="0"/>
        <w:jc w:val="left"/>
      </w:pPr>
      <w:r>
        <w:rPr>
          <w:rFonts w:eastAsia="等线" w:ascii="Arial" w:cs="Arial" w:hAnsi="Arial"/>
          <w:sz w:val="22"/>
        </w:rPr>
        <w:t>针对现有二手车残值估价技术的上述缺陷，本发明提供一种基于规则引擎与LightGBM的二手车残值估价方法，核心目的是实现行业规则性知识与数据驱动模型的深度融合，构建动态协同机制，提升不同车型、不同车况、不同市场场景下二手车残值估价的精度与稳定性，同时降低规则迭代的人力与时间成本，实现快速响应市场变化的实时估价，适配二手车交易、金融风控、保险定损等多行业的差异化需求。</w:t>
      </w:r>
    </w:p>
    <w:p>
      <w:pPr>
        <w:pStyle w:val="2"/>
        <w:spacing w:before="320" w:after="120" w:line="288" w:lineRule="auto"/>
        <w:ind w:left="0"/>
        <w:jc w:val="left"/>
        <w:outlineLvl w:val="1"/>
      </w:pPr>
      <w:bookmarkStart w:name="heading_4" w:id="4"/>
      <w:r>
        <w:rPr>
          <w:rFonts w:eastAsia="等线" w:ascii="Arial" w:cs="Arial" w:hAnsi="Arial"/>
          <w:b w:val="true"/>
          <w:sz w:val="32"/>
        </w:rPr>
        <w:t>（二）技术方案</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1. 多维度数据预处理与特征工程</w:t>
      </w:r>
      <w:bookmarkEnd w:id="5"/>
    </w:p>
    <w:p>
      <w:pPr>
        <w:numPr>
          <w:numId w:val="5"/>
        </w:numPr>
        <w:spacing w:before="120" w:after="120" w:line="288" w:lineRule="auto"/>
        <w:ind w:left="0"/>
        <w:jc w:val="left"/>
      </w:pPr>
      <w:r>
        <w:rPr>
          <w:rFonts w:eastAsia="等线" w:ascii="Arial" w:cs="Arial" w:hAnsi="Arial"/>
          <w:b w:val="true"/>
          <w:sz w:val="22"/>
        </w:rPr>
        <w:t>数据清洗</w:t>
      </w:r>
      <w:r>
        <w:rPr>
          <w:rFonts w:eastAsia="等线" w:ascii="Arial" w:cs="Arial" w:hAnsi="Arial"/>
          <w:sz w:val="22"/>
        </w:rPr>
        <w:t>：针对二手车交易数据的碎片化特性，采用分场景、分类型的精细化清洗策略，兼顾数据完整性与真实性。对于缺失值，按特征类型差异化处理：数值型特征（如里程、车龄）采用同车型同车龄分组中位数填充，避免整体均值填充的偏差；分类型特征（如燃料类型、配置版本）采用同品牌同级别车型众数填充；关键特征（如事故记录、里程）缺失率超15%时，结合规则引擎调用同品牌同车型的普遍车况规则进行合理推测，确保缺失数据不影响核心估价逻辑。对于异常值，采用3σ准则结合二手车行业专属规则双重校验：针对里程异常，结合营运车辆与非营运车辆的里程阈值差异进行识别与修正；针对价格异常，结合地域市场均价、车型残值保持率进行筛选与校准，剔除虚假交易数据。</w:t>
      </w:r>
    </w:p>
    <w:p>
      <w:pPr>
        <w:numPr>
          <w:numId w:val="6"/>
        </w:numPr>
        <w:spacing w:before="120" w:after="120" w:line="288" w:lineRule="auto"/>
        <w:ind w:left="0"/>
        <w:jc w:val="left"/>
      </w:pPr>
      <w:r>
        <w:rPr>
          <w:rFonts w:eastAsia="等线" w:ascii="Arial" w:cs="Arial" w:hAnsi="Arial"/>
          <w:b w:val="true"/>
          <w:sz w:val="22"/>
        </w:rPr>
        <w:t>基础特征提取</w:t>
      </w:r>
      <w:r>
        <w:rPr>
          <w:rFonts w:eastAsia="等线" w:ascii="Arial" w:cs="Arial" w:hAnsi="Arial"/>
          <w:sz w:val="22"/>
        </w:rPr>
        <w:t>：全面覆盖车辆全生命周期特征，构建多维度基础特征体系，为后续估价提供数据支撑。具体包括车辆物理特征（车龄、行驶里程、品牌、具体车型、排量、燃料类型、座位数、车身颜色、车身结构）、登记特征（登记日期、登记类型、年检有效期、保险到期时间、过户次数）、使用特征（维修记录详细程度、事故次数及严重程度、改装部位及改装规格、保养频次），确保特征提取无遗漏，全面覆盖影响二手车残值的核心基础因素。</w:t>
      </w:r>
    </w:p>
    <w:p>
      <w:pPr>
        <w:numPr>
          <w:numId w:val="7"/>
        </w:numPr>
        <w:spacing w:before="120" w:after="120" w:line="288" w:lineRule="auto"/>
        <w:ind w:left="0"/>
        <w:jc w:val="left"/>
      </w:pPr>
      <w:r>
        <w:rPr>
          <w:rFonts w:eastAsia="等线" w:ascii="Arial" w:cs="Arial" w:hAnsi="Arial"/>
          <w:b w:val="true"/>
          <w:sz w:val="22"/>
        </w:rPr>
        <w:t>增强特征构建</w:t>
      </w:r>
      <w:r>
        <w:rPr>
          <w:rFonts w:eastAsia="等线" w:ascii="Arial" w:cs="Arial" w:hAnsi="Arial"/>
          <w:sz w:val="22"/>
        </w:rPr>
        <w:t>：在基础特征之上，构建4类行业专属增强特征，弥补基础特征对市场动态、政策影响的捕捉不足。包括品牌残值保持率（选取最近12个月同品牌同级别车辆的有效交易数据，剔除异常交易后，计算残值均值与新车指导价比值，量化品牌保值能力）、地域流通溢价指数（以城市为统计单位，计算目标车辆所在城市该车型月交易量占全国月交易量的比重，按比重梯度设定1.1-1.3的溢价区间或0.7-0.9的折价区间，适配地域市场差异）、配置稀缺性评分（统计该配置在同车型所有在售版本中的装配比例，通过逻辑回归确定各配置的权重，加权求和得到稀缺性评分，量化配置对残值的附加价值）、政策合规性得分（结合当地排放标准、限行政策、报废政策，对车辆流通性进行0-1分量化评分，直接关联残值溢价或折价幅度）。</w:t>
      </w:r>
    </w:p>
    <w:p>
      <w:pPr>
        <w:pStyle w:val="3"/>
        <w:spacing w:before="300" w:after="120" w:line="288" w:lineRule="auto"/>
        <w:ind w:left="0"/>
        <w:jc w:val="left"/>
        <w:outlineLvl w:val="2"/>
      </w:pPr>
      <w:bookmarkStart w:name="heading_6" w:id="6"/>
      <w:r>
        <w:rPr>
          <w:rFonts w:eastAsia="等线" w:ascii="Arial" w:cs="Arial" w:hAnsi="Arial"/>
          <w:b w:val="true"/>
          <w:sz w:val="30"/>
        </w:rPr>
        <w:t>2. 规则引擎构建与规则库设计</w:t>
      </w:r>
      <w:bookmarkEnd w:id="6"/>
    </w:p>
    <w:p>
      <w:pPr>
        <w:numPr>
          <w:numId w:val="8"/>
        </w:numPr>
        <w:spacing w:before="120" w:after="120" w:line="288" w:lineRule="auto"/>
        <w:ind w:left="0"/>
        <w:jc w:val="left"/>
      </w:pPr>
      <w:r>
        <w:rPr>
          <w:rFonts w:eastAsia="等线" w:ascii="Arial" w:cs="Arial" w:hAnsi="Arial"/>
          <w:b w:val="true"/>
          <w:sz w:val="22"/>
        </w:rPr>
        <w:t>规则分类</w:t>
      </w:r>
      <w:r>
        <w:rPr>
          <w:rFonts w:eastAsia="等线" w:ascii="Arial" w:cs="Arial" w:hAnsi="Arial"/>
          <w:sz w:val="22"/>
        </w:rPr>
        <w:t>：结合二手车行业法规、市场惯例及特殊场景需求，将规则划分为硬性约束规则、市场惯例规则、特殊场景规则三类，形成全覆盖、可配置的规则体系，兼顾合规性与市场适配性：</w:t>
        <w:br/>
        <w:t xml:space="preserve">      </w:t>
      </w:r>
    </w:p>
    <w:p>
      <w:pPr>
        <w:numPr>
          <w:numId w:val="9"/>
        </w:numPr>
        <w:spacing w:before="120" w:after="120" w:line="288" w:lineRule="auto"/>
        <w:ind w:left="0"/>
        <w:jc w:val="left"/>
      </w:pPr>
      <w:r>
        <w:rPr>
          <w:rFonts w:eastAsia="等线" w:ascii="Arial" w:cs="Arial" w:hAnsi="Arial"/>
          <w:sz w:val="22"/>
        </w:rPr>
        <w:t>硬性约束规则：基于国家及地方法律法规、行业强制标准制定，具有不可突破的约束性，直接决定车辆残值底线，例如已达报废标准车辆残值直接判定为0、未按规定完成年检车辆残值下浮30%、排放标准不满足当地流通要求车辆流通溢价为负且额外下浮15%-25%。</w:t>
      </w:r>
    </w:p>
    <w:p>
      <w:pPr>
        <w:numPr>
          <w:numId w:val="10"/>
        </w:numPr>
        <w:spacing w:before="120" w:after="120" w:line="288" w:lineRule="auto"/>
        <w:ind w:left="0"/>
        <w:jc w:val="left"/>
      </w:pPr>
      <w:r>
        <w:rPr>
          <w:rFonts w:eastAsia="等线" w:ascii="Arial" w:cs="Arial" w:hAnsi="Arial"/>
          <w:sz w:val="22"/>
        </w:rPr>
        <w:t>市场惯例规则：基于二手车行业长期形成的普遍估值逻辑，结合品牌保值特性、车况影响规律制定，例如车龄≤3年的优质车况车辆每年贬值率不超过15%、新能源车辆按电池衰减程度对应残值下浮5%-30%、豪华品牌核心配置的稀缺性溢价上限不超过车辆基础残值的10%。</w:t>
      </w:r>
    </w:p>
    <w:p>
      <w:pPr>
        <w:numPr>
          <w:numId w:val="11"/>
        </w:numPr>
        <w:spacing w:before="120" w:after="120" w:line="288" w:lineRule="auto"/>
        <w:ind w:left="0"/>
        <w:jc w:val="left"/>
      </w:pPr>
      <w:r>
        <w:rPr>
          <w:rFonts w:eastAsia="等线" w:ascii="Arial" w:cs="Arial" w:hAnsi="Arial"/>
          <w:sz w:val="22"/>
        </w:rPr>
        <w:t>特殊场景规则：针对营运转非、事故修复、非标改装等特殊车况及小众场景制定，填补常规规则的适配空白，例如重大事故（车身结构受损）车辆残值下浮40%-60%、营运转非车辆因使用强度高残值下浮20%-30%、非标改装且无法恢复原厂状态车辆残值下浮10%-20%。</w:t>
      </w:r>
    </w:p>
    <w:p>
      <w:pPr>
        <w:spacing w:before="120" w:after="120" w:line="288" w:lineRule="auto"/>
        <w:ind w:left="0"/>
        <w:jc w:val="left"/>
      </w:pPr>
      <w:r>
        <w:rPr>
          <w:rFonts w:eastAsia="等线" w:ascii="Arial" w:cs="Arial" w:hAnsi="Arial"/>
          <w:b w:val="true"/>
          <w:sz w:val="22"/>
        </w:rPr>
        <w:t>规则引擎执行流程</w:t>
      </w:r>
      <w:r>
        <w:rPr>
          <w:rFonts w:eastAsia="等线" w:ascii="Arial" w:cs="Arial" w:hAnsi="Arial"/>
          <w:sz w:val="22"/>
        </w:rPr>
        <w:t>：采用优先级排序机制，确保规则执行的合理性与高效性。首先接收预处理后的车辆全维度特征数据，按“硬性约束规则→市场惯例规则→特殊场景规则”的优先级依次匹配规则库中的对应规则，执行过程中记录每条规则的匹配程度，量化得到规则匹配权重（即该车辆特征符合对应规则的程度，取值0-1），最终输出初步估值结果及对应的规则匹配权重，为后续与LightGBM模型的融合提供基础。</w:t>
      </w:r>
    </w:p>
    <w:p>
      <w:pPr>
        <w:pStyle w:val="3"/>
        <w:spacing w:before="300" w:after="120" w:line="288" w:lineRule="auto"/>
        <w:ind w:left="0"/>
        <w:jc w:val="left"/>
        <w:outlineLvl w:val="2"/>
      </w:pPr>
      <w:bookmarkStart w:name="heading_7" w:id="7"/>
      <w:r>
        <w:rPr>
          <w:rFonts w:eastAsia="等线" w:ascii="Arial" w:cs="Arial" w:hAnsi="Arial"/>
          <w:b w:val="true"/>
          <w:sz w:val="30"/>
        </w:rPr>
        <w:t>3. LightGBM模型优化与训练</w:t>
      </w:r>
      <w:bookmarkEnd w:id="7"/>
    </w:p>
    <w:p>
      <w:pPr>
        <w:numPr>
          <w:numId w:val="12"/>
        </w:numPr>
        <w:spacing w:before="120" w:after="120" w:line="288" w:lineRule="auto"/>
        <w:ind w:left="0"/>
        <w:jc w:val="left"/>
      </w:pPr>
      <w:r>
        <w:rPr>
          <w:rFonts w:eastAsia="等线" w:ascii="Arial" w:cs="Arial" w:hAnsi="Arial"/>
          <w:b w:val="true"/>
          <w:sz w:val="22"/>
        </w:rPr>
        <w:t>模型结构优化</w:t>
      </w:r>
      <w:r>
        <w:rPr>
          <w:rFonts w:eastAsia="等线" w:ascii="Arial" w:cs="Arial" w:hAnsi="Arial"/>
          <w:sz w:val="22"/>
        </w:rPr>
        <w:t>：针对不同价格、不同车龄车辆的残值影响因素差异，采用分层训练策略，提升模型对细分场景的适配性。按车辆价格区间划分为经济型（&lt;10万元）、中档型（10-30万元）、豪华型（&gt;30万元）三类，按车龄划分为≤3年（准新车）、3-8年（常规用车）、&gt;8年（老旧车辆）三类，交叉组合形成9个细分场景，为每个场景独立训练LightGBM子模型，避免不同品类车辆数据混合训练导致的估值偏差。</w:t>
      </w:r>
    </w:p>
    <w:p>
      <w:pPr>
        <w:numPr>
          <w:numId w:val="13"/>
        </w:numPr>
        <w:spacing w:before="120" w:after="120" w:line="288" w:lineRule="auto"/>
        <w:ind w:left="0"/>
        <w:jc w:val="left"/>
      </w:pPr>
      <w:r>
        <w:rPr>
          <w:rFonts w:eastAsia="等线" w:ascii="Arial" w:cs="Arial" w:hAnsi="Arial"/>
          <w:b w:val="true"/>
          <w:sz w:val="22"/>
        </w:rPr>
        <w:t>参数自适应配置</w:t>
      </w:r>
      <w:r>
        <w:rPr>
          <w:rFonts w:eastAsia="等线" w:ascii="Arial" w:cs="Arial" w:hAnsi="Arial"/>
          <w:sz w:val="22"/>
        </w:rPr>
        <w:t>：结合各细分场景的样本特性，自适应配置模型参数，兼顾训练效率与估价精度。经济型车辆样本量大、配置相对简单，子模型配置150棵决策树，最大深度8层，学习率0.05，兼顾训练速度与基础精度；中档型车辆配置差异较大，子模型配置200棵决策树，最大深度10层，学习率0.03，提升对配置差异的捕捉能力；豪华型车辆样本量相对较少、残值影响因素复杂，子模型配置250棵决策树，最大深度12层，学习率0.02，提升模型拟合能力。各子模型均通过5折交叉验证优化正则化参数（lambda_l1、lambda_l2），有效避免模型过拟合，确保模型泛化能力。</w:t>
      </w:r>
    </w:p>
    <w:p>
      <w:pPr>
        <w:numPr>
          <w:numId w:val="14"/>
        </w:numPr>
        <w:spacing w:before="120" w:after="120" w:line="288" w:lineRule="auto"/>
        <w:ind w:left="0"/>
        <w:jc w:val="left"/>
      </w:pPr>
      <w:r>
        <w:rPr>
          <w:rFonts w:eastAsia="等线" w:ascii="Arial" w:cs="Arial" w:hAnsi="Arial"/>
          <w:b w:val="true"/>
          <w:sz w:val="22"/>
        </w:rPr>
        <w:t>特征选择</w:t>
      </w:r>
      <w:r>
        <w:rPr>
          <w:rFonts w:eastAsia="等线" w:ascii="Arial" w:cs="Arial" w:hAnsi="Arial"/>
          <w:sz w:val="22"/>
        </w:rPr>
        <w:t>：采用特征重要性评分（Gain值）结合行业经验的双重特征选择策略，提升模型训练效率与精度。每个细分场景下，通过LightGBM模型计算所有输入特征的Gain值，筛选排名前75%的高影响特征参与模型训练，剔除冗余特征；同时强制保留规则引擎相关的增强特征（如政策合规性得分、配置稀缺性评分）作为模型输入，确保模型能够捕捉规则性影响因素，实现与规则引擎的深度融合。</w:t>
      </w:r>
    </w:p>
    <w:p>
      <w:pPr>
        <w:pStyle w:val="3"/>
        <w:spacing w:before="300" w:after="120" w:line="288" w:lineRule="auto"/>
        <w:ind w:left="0"/>
        <w:jc w:val="left"/>
        <w:outlineLvl w:val="2"/>
      </w:pPr>
      <w:bookmarkStart w:name="heading_8" w:id="8"/>
      <w:r>
        <w:rPr>
          <w:rFonts w:eastAsia="等线" w:ascii="Arial" w:cs="Arial" w:hAnsi="Arial"/>
          <w:b w:val="true"/>
          <w:sz w:val="30"/>
        </w:rPr>
        <w:t>4. 动态权重融合机制</w:t>
      </w:r>
      <w:bookmarkEnd w:id="8"/>
    </w:p>
    <w:p>
      <w:pPr>
        <w:numPr>
          <w:numId w:val="15"/>
        </w:numPr>
        <w:spacing w:before="120" w:after="120" w:line="288" w:lineRule="auto"/>
        <w:ind w:left="0"/>
        <w:jc w:val="left"/>
      </w:pPr>
      <w:r>
        <w:rPr>
          <w:rFonts w:eastAsia="等线" w:ascii="Arial" w:cs="Arial" w:hAnsi="Arial"/>
          <w:b w:val="true"/>
          <w:sz w:val="22"/>
        </w:rPr>
        <w:t>初始权重设定</w:t>
      </w:r>
      <w:r>
        <w:rPr>
          <w:rFonts w:eastAsia="等线" w:ascii="Arial" w:cs="Arial" w:hAnsi="Arial"/>
          <w:sz w:val="22"/>
        </w:rPr>
        <w:t>：基于细分场景的特性，科学设定规则引擎与LightGBM模型的初始融合权重，兼顾规则约束与数据驱动的优势。规则引擎权重（ω）与LightGBM模型权重（1-ω）分配如下：经济型车辆受市场供需影响大，ω=0.3；中档型车辆兼顾规则与数据特性，ω=0.25；豪华型车辆受配置、品牌等规则影响更显著，ω=0.2；车龄≤3年的车辆数据完整性高，ω=0.2；3-8年的车辆兼顾数据与规则，ω=0.25；&gt;8年的车辆数据缺失率高，依赖规则约束，ω=0.35。</w:t>
      </w:r>
    </w:p>
    <w:p>
      <w:pPr>
        <w:numPr>
          <w:numId w:val="16"/>
        </w:numPr>
        <w:spacing w:before="120" w:after="120" w:line="288" w:lineRule="auto"/>
        <w:ind w:left="0"/>
        <w:jc w:val="left"/>
      </w:pPr>
      <w:r>
        <w:rPr>
          <w:rFonts w:eastAsia="等线" w:ascii="Arial" w:cs="Arial" w:hAnsi="Arial"/>
          <w:b w:val="true"/>
          <w:sz w:val="22"/>
        </w:rPr>
        <w:t>动态权重调整</w:t>
      </w:r>
      <w:r>
        <w:rPr>
          <w:rFonts w:eastAsia="等线" w:ascii="Arial" w:cs="Arial" w:hAnsi="Arial"/>
          <w:sz w:val="22"/>
        </w:rPr>
        <w:t>：构建基于样本性能反馈的动态调整机制，实现权重的自适应更新，避免固定权重的局限性。选取最近1000个已完成交易的车辆样本作为反馈数据集，分别计算规则引擎与LightGBM模型对该批样本的估价MAPE，以LightGBM模型误差占两者误差之和的比例作为性能系数，量化两者的估价性能；结合规则引擎输出的规则匹配权重，通过平滑因子（β=0.9，确保权重更新的稳定性）计算得到更新后的融合权重，公式为：ω_new = ω_old×β + (1-β)×(规则匹配权重×规则引擎性能占比)，同时将权重取值范围约束在[0.1, 0.4]，避免单一模块过度主导估价结果，确保融合稳定性。</w:t>
      </w:r>
    </w:p>
    <w:p>
      <w:pPr>
        <w:pStyle w:val="3"/>
        <w:spacing w:before="300" w:after="120" w:line="288" w:lineRule="auto"/>
        <w:ind w:left="0"/>
        <w:jc w:val="left"/>
        <w:outlineLvl w:val="2"/>
      </w:pPr>
      <w:bookmarkStart w:name="heading_9" w:id="9"/>
      <w:r>
        <w:rPr>
          <w:rFonts w:eastAsia="等线" w:ascii="Arial" w:cs="Arial" w:hAnsi="Arial"/>
          <w:b w:val="true"/>
          <w:sz w:val="30"/>
        </w:rPr>
        <w:t>5. 残值估价计算与置信区间输出</w:t>
      </w:r>
      <w:bookmarkEnd w:id="9"/>
    </w:p>
    <w:p>
      <w:pPr>
        <w:numPr>
          <w:numId w:val="17"/>
        </w:numPr>
        <w:spacing w:before="120" w:after="120" w:line="288" w:lineRule="auto"/>
        <w:ind w:left="0"/>
        <w:jc w:val="left"/>
      </w:pPr>
      <w:r>
        <w:rPr>
          <w:rFonts w:eastAsia="等线" w:ascii="Arial" w:cs="Arial" w:hAnsi="Arial"/>
          <w:b w:val="true"/>
          <w:sz w:val="22"/>
        </w:rPr>
        <w:t>最终估价公式</w:t>
      </w:r>
      <w:r>
        <w:rPr>
          <w:rFonts w:eastAsia="等线" w:ascii="Arial" w:cs="Arial" w:hAnsi="Arial"/>
          <w:sz w:val="22"/>
        </w:rPr>
        <w:t>：基于动态融合权重，结合场景化修正因子，构建精准的最终估价公式，兼顾融合精度与场景适配性。公式为：P_final = ω×P_rule + (1-ω)×P_lgb + γ×adjustment_factor，其中P_rule为规则引擎初步估值，P_lgb为LightGBM模型估值，γ为固定修正系数（取值0.04，用于校准整体估值偏差），adjustment_factor为基于历史估价误差统计分析得出的场景化修正因子，针对老旧车辆、稀有车型、新能源车型等特殊场景单独设定，进一步降低估价偏差。</w:t>
      </w:r>
    </w:p>
    <w:p>
      <w:pPr>
        <w:numPr>
          <w:numId w:val="18"/>
        </w:numPr>
        <w:spacing w:before="120" w:after="120" w:line="288" w:lineRule="auto"/>
        <w:ind w:left="0"/>
        <w:jc w:val="left"/>
      </w:pPr>
      <w:r>
        <w:rPr>
          <w:rFonts w:eastAsia="等线" w:ascii="Arial" w:cs="Arial" w:hAnsi="Arial"/>
          <w:b w:val="true"/>
          <w:sz w:val="22"/>
        </w:rPr>
        <w:t>置信区间计算</w:t>
      </w:r>
      <w:r>
        <w:rPr>
          <w:rFonts w:eastAsia="等线" w:ascii="Arial" w:cs="Arial" w:hAnsi="Arial"/>
          <w:sz w:val="22"/>
        </w:rPr>
        <w:t>：为提升估价结果的实用性，基于历史估价误差的正态分布特性，计算95%置信区间，量化估价结果的可靠性。具体计算方式为：下界=P_final - 1.96×σ_error，上界=P_final + 1.96×σ_error，其中σ_error为对应细分场景下的历史估价误差标准差，不同细分场景单独统计更新，确保置信区间能够真实反映该场景下的估价波动范围，为用户提供参考依据。</w:t>
      </w:r>
    </w:p>
    <w:p>
      <w:pPr>
        <w:pStyle w:val="3"/>
        <w:spacing w:before="300" w:after="120" w:line="288" w:lineRule="auto"/>
        <w:ind w:left="0"/>
        <w:jc w:val="left"/>
        <w:outlineLvl w:val="2"/>
      </w:pPr>
      <w:bookmarkStart w:name="heading_10" w:id="10"/>
      <w:r>
        <w:rPr>
          <w:rFonts w:eastAsia="等线" w:ascii="Arial" w:cs="Arial" w:hAnsi="Arial"/>
          <w:b w:val="true"/>
          <w:sz w:val="30"/>
        </w:rPr>
        <w:t>（三）可选扩展方案</w:t>
      </w:r>
      <w:bookmarkEnd w:id="10"/>
    </w:p>
    <w:p>
      <w:pPr>
        <w:numPr>
          <w:numId w:val="19"/>
        </w:numPr>
        <w:spacing w:before="120" w:after="120" w:line="288" w:lineRule="auto"/>
        <w:ind w:left="0"/>
        <w:jc w:val="left"/>
      </w:pPr>
      <w:r>
        <w:rPr>
          <w:rFonts w:eastAsia="等线" w:ascii="Arial" w:cs="Arial" w:hAnsi="Arial"/>
          <w:b w:val="true"/>
          <w:sz w:val="22"/>
        </w:rPr>
        <w:t>规则引擎在线迭代</w:t>
      </w:r>
      <w:r>
        <w:rPr>
          <w:rFonts w:eastAsia="等线" w:ascii="Arial" w:cs="Arial" w:hAnsi="Arial"/>
          <w:sz w:val="22"/>
        </w:rPr>
        <w:t>：新增规则自动迭代功能，降低人工维护成本，提升规则时效性。支持基于用户反馈数据与新增交易数据的实时监测，当某类车辆的估价误差持续3轮超过阈值（如MAPE&gt;8%）时，自动触发规则库的重新校验与优化流程，结合新增数据挖掘潜在规则，无需人工干预即可完成规则更新，适配市场动态变化。</w:t>
      </w:r>
    </w:p>
    <w:p>
      <w:pPr>
        <w:numPr>
          <w:numId w:val="20"/>
        </w:numPr>
        <w:spacing w:before="120" w:after="120" w:line="288" w:lineRule="auto"/>
        <w:ind w:left="0"/>
        <w:jc w:val="left"/>
      </w:pPr>
      <w:r>
        <w:rPr>
          <w:rFonts w:eastAsia="等线" w:ascii="Arial" w:cs="Arial" w:hAnsi="Arial"/>
          <w:b w:val="true"/>
          <w:sz w:val="22"/>
        </w:rPr>
        <w:t>模型增量学习</w:t>
      </w:r>
      <w:r>
        <w:rPr>
          <w:rFonts w:eastAsia="等线" w:ascii="Arial" w:cs="Arial" w:hAnsi="Arial"/>
          <w:sz w:val="22"/>
        </w:rPr>
        <w:t>：针对二手车交易数据持续新增的特性，采用LightGBM的增量训练机制，避免全量重新训练的高计算成本。当新增交易数据达到设定阈值（如新增样本量达到现有样本量的10%）时，仅基于新增数据更新模型参数，保留原有模型的有效训练成果，既降低计算资源消耗，又确保模型能够及时捕捉最新市场残值规律，保证模型时效性。</w:t>
      </w:r>
    </w:p>
    <w:p>
      <w:pPr>
        <w:numPr>
          <w:numId w:val="21"/>
        </w:numPr>
        <w:spacing w:before="120" w:after="120" w:line="288" w:lineRule="auto"/>
        <w:ind w:left="0"/>
        <w:jc w:val="left"/>
      </w:pPr>
      <w:r>
        <w:rPr>
          <w:rFonts w:eastAsia="等线" w:ascii="Arial" w:cs="Arial" w:hAnsi="Arial"/>
          <w:b w:val="true"/>
          <w:sz w:val="22"/>
        </w:rPr>
        <w:t>多场景适配模块</w:t>
      </w:r>
      <w:r>
        <w:rPr>
          <w:rFonts w:eastAsia="等线" w:ascii="Arial" w:cs="Arial" w:hAnsi="Arial"/>
          <w:sz w:val="22"/>
        </w:rPr>
        <w:t>：新增定制化适配功能，满足不同行业的差异化需求。针对金融风控场景，提高硬性约束规则（如合规性、事故记录）的权重，强化风险管控；针对保险定损场景，优化事故修复、车辆损耗相关的规则与特征权重，提升定损精度；针对个人交易场景，提高市场惯例规则（如地域溢价、配置稀缺性）的权重，贴合市场实际交易需求，实现多场景精准适配。</w:t>
      </w:r>
    </w:p>
    <w:p>
      <w:pPr>
        <w:pStyle w:val="1"/>
        <w:spacing w:before="380" w:after="140" w:line="288" w:lineRule="auto"/>
        <w:ind w:left="0"/>
        <w:jc w:val="left"/>
        <w:outlineLvl w:val="0"/>
      </w:pPr>
      <w:bookmarkStart w:name="heading_11" w:id="11"/>
      <w:r>
        <w:rPr>
          <w:rFonts w:eastAsia="等线" w:ascii="Arial" w:cs="Arial" w:hAnsi="Arial"/>
          <w:b w:val="true"/>
          <w:sz w:val="36"/>
        </w:rPr>
        <w:t>四、具体实施方式</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（一）数据准备</w:t>
      </w:r>
      <w:bookmarkEnd w:id="12"/>
    </w:p>
    <w:p>
      <w:pPr>
        <w:spacing w:before="120" w:after="120" w:line="288" w:lineRule="auto"/>
        <w:ind w:left="0"/>
        <w:jc w:val="left"/>
      </w:pPr>
      <w:r>
        <w:rPr>
          <w:rFonts w:eastAsia="等线" w:ascii="Arial" w:cs="Arial" w:hAnsi="Arial"/>
          <w:sz w:val="22"/>
        </w:rPr>
        <w:t>为确保模型训练与规则验证的可靠性，收集大规模、全维度的二手车交易样本数据，样本总量达30万条，覆盖全国200个主要城市，涵盖经济型、中档型、豪华型各类燃油及新能源车型，车龄范围覆盖0-15年，全面适配不同细分场景。数据来源包括主流二手车交易平台的公开交易数据、4S店认证二手车部门的官方记录、线下实体二手车市场的交易台账，数据字段全面，包括车辆基础配置信息、登记过户信息、全周期使用与维修保养记录、实际交易价格、地域市场信息、当地政策合规信息等，经过去重、初步筛选后，形成标准化训练与验证数据集。</w:t>
      </w:r>
    </w:p>
    <w:p>
      <w:pPr>
        <w:pStyle w:val="2"/>
        <w:spacing w:before="320" w:after="120" w:line="288" w:lineRule="auto"/>
        <w:ind w:left="0"/>
        <w:jc w:val="left"/>
        <w:outlineLvl w:val="1"/>
      </w:pPr>
      <w:bookmarkStart w:name="heading_13" w:id="13"/>
      <w:r>
        <w:rPr>
          <w:rFonts w:eastAsia="等线" w:ascii="Arial" w:cs="Arial" w:hAnsi="Arial"/>
          <w:b w:val="true"/>
          <w:sz w:val="32"/>
        </w:rPr>
        <w:t>（二）特征工程实施</w:t>
      </w:r>
      <w:bookmarkEnd w:id="13"/>
    </w:p>
    <w:p>
      <w:pPr>
        <w:numPr>
          <w:numId w:val="22"/>
        </w:numPr>
        <w:spacing w:before="120" w:after="120" w:line="288" w:lineRule="auto"/>
        <w:ind w:left="0"/>
        <w:jc w:val="left"/>
      </w:pPr>
      <w:r>
        <w:rPr>
          <w:rFonts w:eastAsia="等线" w:ascii="Arial" w:cs="Arial" w:hAnsi="Arial"/>
          <w:sz w:val="22"/>
        </w:rPr>
        <w:t>基础特征提取完成后，重点计算品牌残值保持率：选取最近12个月某品牌某型号车辆的有效交易数据，剔除调表、重大事故等异常交易样本，计算该车型的残值均值（即实际交易价格均值），与该车型新车指导价进行比值运算，得到品牌残值保持率，量化品牌的保值能力，作为核心增强特征之一。</w:t>
      </w:r>
    </w:p>
    <w:p>
      <w:pPr>
        <w:numPr>
          <w:numId w:val="23"/>
        </w:numPr>
        <w:spacing w:before="120" w:after="120" w:line="288" w:lineRule="auto"/>
        <w:ind w:left="0"/>
        <w:jc w:val="left"/>
      </w:pPr>
      <w:r>
        <w:rPr>
          <w:rFonts w:eastAsia="等线" w:ascii="Arial" w:cs="Arial" w:hAnsi="Arial"/>
          <w:sz w:val="22"/>
        </w:rPr>
        <w:t>地域流通溢价指数计算：以城市为单位，通过大数据统计工具统计目标车辆所在城市该车型的月交易量，与全国该车型月交易量进行占比计算；根据占比结果划分梯度，占比高于全国均值20%的城市，溢价指数设定为1.1-1.3（占比越高，溢价指数越高），体现流通性带来的残值提升；占比低于全国均值20%的城市，溢价指数设定为0.7-0.9（占比越低，折价幅度越大），适配流通不畅带来的残值下降。</w:t>
      </w:r>
    </w:p>
    <w:p>
      <w:pPr>
        <w:numPr>
          <w:numId w:val="24"/>
        </w:numPr>
        <w:spacing w:before="120" w:after="120" w:line="288" w:lineRule="auto"/>
        <w:ind w:left="0"/>
        <w:jc w:val="left"/>
      </w:pPr>
      <w:r>
        <w:rPr>
          <w:rFonts w:eastAsia="等线" w:ascii="Arial" w:cs="Arial" w:hAnsi="Arial"/>
          <w:sz w:val="22"/>
        </w:rPr>
        <w:t>政策合规性得分计算：结合当地最新排放标准、限行政策、报废政策，构建量化评分体系，对车辆流通性进行0-1分打分；其中，排放标准符合当地要求、无限行限制的车辆得分为0.8-1分，无残值折价；排放标准接近限值、有限行限制的车辆得分为0.5-0.8分，适度下浮残值；排放标准不满足当地要求、无法正常流通的车辆得分为0-0.5分，触发额外残值下浮规则。</w:t>
      </w:r>
    </w:p>
    <w:p>
      <w:pPr>
        <w:pStyle w:val="2"/>
        <w:spacing w:before="320" w:after="120" w:line="288" w:lineRule="auto"/>
        <w:ind w:left="0"/>
        <w:jc w:val="left"/>
        <w:outlineLvl w:val="1"/>
      </w:pPr>
      <w:bookmarkStart w:name="heading_14" w:id="14"/>
      <w:r>
        <w:rPr>
          <w:rFonts w:eastAsia="等线" w:ascii="Arial" w:cs="Arial" w:hAnsi="Arial"/>
          <w:b w:val="true"/>
          <w:sz w:val="32"/>
        </w:rPr>
        <w:t>（三）规则引擎与模型训练</w:t>
      </w:r>
      <w:bookmarkEnd w:id="14"/>
    </w:p>
    <w:p>
      <w:pPr>
        <w:numPr>
          <w:numId w:val="25"/>
        </w:numPr>
        <w:spacing w:before="120" w:after="120" w:line="288" w:lineRule="auto"/>
        <w:ind w:left="0"/>
        <w:jc w:val="left"/>
      </w:pPr>
      <w:r>
        <w:rPr>
          <w:rFonts w:eastAsia="等线" w:ascii="Arial" w:cs="Arial" w:hAnsi="Arial"/>
          <w:sz w:val="22"/>
        </w:rPr>
        <w:t>规则库构建：联合二手车行业专家，系统整理行业法规、市场惯例及特殊场景规则，形成包含80条规则的标准化规则库，其中硬性约束规则25条（覆盖合规、报废等核心约束）、市场惯例规则35条（覆盖保值率、贬值规律等市场逻辑）、特殊场景规则20条（覆盖事故、营运等小众场景）；规则采用可配置化的文本格式存储，支持动态增删改操作，便于后续在线迭代与人工调整。</w:t>
      </w:r>
    </w:p>
    <w:p>
      <w:pPr>
        <w:numPr>
          <w:numId w:val="26"/>
        </w:numPr>
        <w:spacing w:before="120" w:after="120" w:line="288" w:lineRule="auto"/>
        <w:ind w:left="0"/>
        <w:jc w:val="left"/>
      </w:pPr>
      <w:r>
        <w:rPr>
          <w:rFonts w:eastAsia="等线" w:ascii="Arial" w:cs="Arial" w:hAnsi="Arial"/>
          <w:sz w:val="22"/>
        </w:rPr>
        <w:t>LightGBM分层训练：按照价格区间与车龄的交叉组合，划分为9个细分场景，每个场景调用对应筛选后的样本数据进行模型训练；训练过程中采用早停策略，设定验证集MAPE连续5轮无下降则停止训练，避免过度训练导致的过拟合；训练完成后，保存各场景的最优模型参数，形成模型库，用于后续待估价车辆的快速匹配与估值。</w:t>
      </w:r>
    </w:p>
    <w:p>
      <w:pPr>
        <w:pStyle w:val="2"/>
        <w:spacing w:before="320" w:after="120" w:line="288" w:lineRule="auto"/>
        <w:ind w:left="0"/>
        <w:jc w:val="left"/>
        <w:outlineLvl w:val="1"/>
      </w:pPr>
      <w:bookmarkStart w:name="heading_15" w:id="15"/>
      <w:r>
        <w:rPr>
          <w:rFonts w:eastAsia="等线" w:ascii="Arial" w:cs="Arial" w:hAnsi="Arial"/>
          <w:b w:val="true"/>
          <w:sz w:val="32"/>
        </w:rPr>
        <w:t>（四）动态融合与估价执行</w:t>
      </w:r>
      <w:bookmarkEnd w:id="15"/>
    </w:p>
    <w:p>
      <w:pPr>
        <w:numPr>
          <w:numId w:val="27"/>
        </w:numPr>
        <w:spacing w:before="120" w:after="120" w:line="288" w:lineRule="auto"/>
        <w:ind w:left="0"/>
        <w:jc w:val="left"/>
      </w:pPr>
      <w:r>
        <w:rPr>
          <w:rFonts w:eastAsia="等线" w:ascii="Arial" w:cs="Arial" w:hAnsi="Arial"/>
          <w:sz w:val="22"/>
        </w:rPr>
        <w:t>接收待估价车辆的原始数据，先通过多维度数据预处理流程完成清洗，再执行特征工程提取基础特征与增强特征，形成标准化输入数据；将输入数据传入规则引擎，完成规则匹配后得到初步估值P_rule和规则匹配权重；同时根据车辆的价格区间与车龄，从模型库中匹配对应的LightGBM子模型，输入特征数据得到模型估值P_lgb。</w:t>
      </w:r>
    </w:p>
    <w:p>
      <w:pPr>
        <w:numPr>
          <w:numId w:val="28"/>
        </w:numPr>
        <w:spacing w:before="120" w:after="120" w:line="288" w:lineRule="auto"/>
        <w:ind w:left="0"/>
        <w:jc w:val="left"/>
      </w:pPr>
      <w:r>
        <w:rPr>
          <w:rFonts w:eastAsia="等线" w:ascii="Arial" w:cs="Arial" w:hAnsi="Arial"/>
          <w:sz w:val="22"/>
        </w:rPr>
        <w:t>调用最近1000条已完成交易的样本性能统计结果，计算规则引擎与LightGBM模型的性能系数，结合规则匹配权重与初始融合权重，通过动态权重更新公式计算得到当前车辆的最优融合权重ω，将P_rule、P_lgb及ω代入最终估价公式，计算得到最终残值估价结果P_final。</w:t>
      </w:r>
    </w:p>
    <w:p>
      <w:pPr>
        <w:numPr>
          <w:numId w:val="29"/>
        </w:numPr>
        <w:spacing w:before="120" w:after="120" w:line="288" w:lineRule="auto"/>
        <w:ind w:left="0"/>
        <w:jc w:val="left"/>
      </w:pPr>
      <w:r>
        <w:rPr>
          <w:rFonts w:eastAsia="等线" w:ascii="Arial" w:cs="Arial" w:hAnsi="Arial"/>
          <w:sz w:val="22"/>
        </w:rPr>
        <w:t>基于对应细分场景的历史估价误差标准差σ_error，计算95%置信区间，最终输出待估价车辆的残值估价结果、置信区间及关键影响因素说明（如某稀缺配置导致的残值溢价、事故记录导致的残值下浮、地域流通性带来的折价等），提升估价结果的透明度与实用性。</w:t>
      </w:r>
    </w:p>
    <w:p>
      <w:pPr>
        <w:pStyle w:val="2"/>
        <w:spacing w:before="320" w:after="120" w:line="288" w:lineRule="auto"/>
        <w:ind w:left="0"/>
        <w:jc w:val="left"/>
        <w:outlineLvl w:val="1"/>
      </w:pPr>
      <w:bookmarkStart w:name="heading_16" w:id="16"/>
      <w:r>
        <w:rPr>
          <w:rFonts w:eastAsia="等线" w:ascii="Arial" w:cs="Arial" w:hAnsi="Arial"/>
          <w:b w:val="true"/>
          <w:sz w:val="32"/>
        </w:rPr>
        <w:t>（五）边界条件处理</w:t>
      </w:r>
      <w:bookmarkEnd w:id="16"/>
    </w:p>
    <w:p>
      <w:pPr>
        <w:numPr>
          <w:numId w:val="30"/>
        </w:numPr>
        <w:spacing w:before="120" w:after="120" w:line="288" w:lineRule="auto"/>
        <w:ind w:left="0"/>
        <w:jc w:val="left"/>
      </w:pPr>
      <w:r>
        <w:rPr>
          <w:rFonts w:eastAsia="等线" w:ascii="Arial" w:cs="Arial" w:hAnsi="Arial"/>
          <w:b w:val="true"/>
          <w:sz w:val="22"/>
        </w:rPr>
        <w:t>极端车辆处理</w:t>
      </w:r>
      <w:r>
        <w:rPr>
          <w:rFonts w:eastAsia="等线" w:ascii="Arial" w:cs="Arial" w:hAnsi="Arial"/>
          <w:sz w:val="22"/>
        </w:rPr>
        <w:t>：针对车龄超过15年、里程超过50万公里的极端老旧车辆，此类车辆数据缺失率高、市场交易样本少，调整融合权重，以规则引擎估值为主（ω=0.6），结合LightGBM模型进行小幅修正，确保估值贴合行业报废与处置惯例；对于已达报废标准、重大事故无法修复的车辆，直接通过硬性约束规则输出残值为0，避免无效估值。</w:t>
      </w:r>
    </w:p>
    <w:p>
      <w:pPr>
        <w:numPr>
          <w:numId w:val="31"/>
        </w:numPr>
        <w:spacing w:before="120" w:after="120" w:line="288" w:lineRule="auto"/>
        <w:ind w:left="0"/>
        <w:jc w:val="left"/>
      </w:pPr>
      <w:r>
        <w:rPr>
          <w:rFonts w:eastAsia="等线" w:ascii="Arial" w:cs="Arial" w:hAnsi="Arial"/>
          <w:b w:val="true"/>
          <w:sz w:val="22"/>
        </w:rPr>
        <w:t>稀有车型处理</w:t>
      </w:r>
      <w:r>
        <w:rPr>
          <w:rFonts w:eastAsia="等线" w:ascii="Arial" w:cs="Arial" w:hAnsi="Arial"/>
          <w:sz w:val="22"/>
        </w:rPr>
        <w:t>：针对市场占有率低于0.1%的稀有进口车型、小众新能源车型，此类车型样本量极少，规则引擎的通用规则适配性不足，模型训练精度有限，调整融合权重，将规则引擎权重下调至0.15，同时增加品牌残值保持率、配置稀缺性评分等增强特征的模型权重，强化数据驱动的适配能力，提升稀有车型的估价精度。</w:t>
      </w:r>
    </w:p>
    <w:p>
      <w:pPr>
        <w:numPr>
          <w:numId w:val="32"/>
        </w:numPr>
        <w:spacing w:before="120" w:after="120" w:line="288" w:lineRule="auto"/>
        <w:ind w:left="0"/>
        <w:jc w:val="left"/>
      </w:pPr>
      <w:r>
        <w:rPr>
          <w:rFonts w:eastAsia="等线" w:ascii="Arial" w:cs="Arial" w:hAnsi="Arial"/>
          <w:b w:val="true"/>
          <w:sz w:val="22"/>
        </w:rPr>
        <w:t>数据缺失处理</w:t>
      </w:r>
      <w:r>
        <w:rPr>
          <w:rFonts w:eastAsia="等线" w:ascii="Arial" w:cs="Arial" w:hAnsi="Arial"/>
          <w:sz w:val="22"/>
        </w:rPr>
        <w:t>：针对事故记录、里程、维修保养记录等关键特征缺失的车辆，先通过规则引擎调用同品牌同车型、同车龄的普遍车况规则，推测缺失特征的合理取值，补充完整特征数据，再将补充后的特征数据输入LightGBM模型进行估值修正，确保关键数据缺失时仍能保持较高的估价稳定性。</w:t>
      </w:r>
    </w:p>
    <w:p>
      <w:pPr>
        <w:pStyle w:val="1"/>
        <w:spacing w:before="380" w:after="140" w:line="288" w:lineRule="auto"/>
        <w:ind w:left="0"/>
        <w:jc w:val="left"/>
        <w:outlineLvl w:val="0"/>
      </w:pPr>
      <w:bookmarkStart w:name="heading_17" w:id="17"/>
      <w:r>
        <w:rPr>
          <w:rFonts w:eastAsia="等线" w:ascii="Arial" w:cs="Arial" w:hAnsi="Arial"/>
          <w:b w:val="true"/>
          <w:sz w:val="36"/>
        </w:rPr>
        <w:t>五、发明效果</w:t>
      </w:r>
      <w:bookmarkEnd w:id="17"/>
    </w:p>
    <w:p>
      <w:pPr>
        <w:spacing w:before="120" w:after="120" w:line="288" w:lineRule="auto"/>
        <w:ind w:left="0"/>
        <w:jc w:val="left"/>
      </w:pPr>
      <w:r>
        <w:rPr>
          <w:rFonts w:eastAsia="等线" w:ascii="Arial" w:cs="Arial" w:hAnsi="Arial"/>
          <w:sz w:val="22"/>
        </w:rPr>
        <w:t>本发明通过规则引擎与LightGBM模型的深度融合，构建动态协同机制与精细化处理流程，相较于现有技术，在估价精度、稳定性、实用性及效率等方面实现显著提升，具体效果如下：</w:t>
      </w:r>
    </w:p>
    <w:p>
      <w:pPr>
        <w:numPr>
          <w:numId w:val="33"/>
        </w:numPr>
        <w:spacing w:before="120" w:after="120" w:line="288" w:lineRule="auto"/>
        <w:ind w:left="0"/>
        <w:jc w:val="left"/>
      </w:pPr>
      <w:r>
        <w:rPr>
          <w:rFonts w:eastAsia="等线" w:ascii="Arial" w:cs="Arial" w:hAnsi="Arial"/>
          <w:b w:val="true"/>
          <w:sz w:val="22"/>
        </w:rPr>
        <w:t>估价精度显著提升</w:t>
      </w:r>
      <w:r>
        <w:rPr>
          <w:rFonts w:eastAsia="等线" w:ascii="Arial" w:cs="Arial" w:hAnsi="Arial"/>
          <w:sz w:val="22"/>
        </w:rPr>
        <w:t>：通过分层训练、动态权重融合及场景化修正，大幅降低估价偏差，整体估价MAPE从现有技术的8.5%-10%降至5.8%-6.2%；针对豪华型车辆，优化配置与品牌相关的规则与特征，MAPE从9.2%降至7.0%以下；针对老旧车辆（车龄&gt;8年），强化规则约束与缺失数据处理，MAPE从11.3%降至7.5%以下；针对稀有车型，优化特征权重配置，估价精度提升28%以上，全面覆盖各类车型的估价需求。</w:t>
      </w:r>
    </w:p>
    <w:p>
      <w:pPr>
        <w:numPr>
          <w:numId w:val="34"/>
        </w:numPr>
        <w:spacing w:before="120" w:after="120" w:line="288" w:lineRule="auto"/>
        <w:ind w:left="0"/>
        <w:jc w:val="left"/>
      </w:pPr>
      <w:r>
        <w:rPr>
          <w:rFonts w:eastAsia="等线" w:ascii="Arial" w:cs="Arial" w:hAnsi="Arial"/>
          <w:b w:val="true"/>
          <w:sz w:val="22"/>
        </w:rPr>
        <w:t>稳定性与适应性增强</w:t>
      </w:r>
      <w:r>
        <w:rPr>
          <w:rFonts w:eastAsia="等线" w:ascii="Arial" w:cs="Arial" w:hAnsi="Arial"/>
          <w:sz w:val="22"/>
        </w:rPr>
        <w:t>：通过精细化数据清洗与缺失数据处理策略，当数据缺失率达20%时，仍能保持MAPE低于8%，大幅提升模型在实际碎片化数据场景中的稳定性；同时，通过完善的规则体系与动态融合机制，支持对新能源车辆、改装车辆、营运转非车辆等特殊类型车辆的精准估价，规则迭代成本降低70%，能够快速适配市场与车型的变化。</w:t>
      </w:r>
    </w:p>
    <w:p>
      <w:pPr>
        <w:numPr>
          <w:numId w:val="35"/>
        </w:numPr>
        <w:spacing w:before="120" w:after="120" w:line="288" w:lineRule="auto"/>
        <w:ind w:left="0"/>
        <w:jc w:val="left"/>
      </w:pPr>
      <w:r>
        <w:rPr>
          <w:rFonts w:eastAsia="等线" w:ascii="Arial" w:cs="Arial" w:hAnsi="Arial"/>
          <w:b w:val="true"/>
          <w:sz w:val="22"/>
        </w:rPr>
        <w:t>实时性满足需求</w:t>
      </w:r>
      <w:r>
        <w:rPr>
          <w:rFonts w:eastAsia="等线" w:ascii="Arial" w:cs="Arial" w:hAnsi="Arial"/>
          <w:sz w:val="22"/>
        </w:rPr>
        <w:t>：优化模型训练与估价执行流程，采用增量训练与子模型快速匹配策略，降低计算成本，当处理30万条样本数据时，单辆车的估价时间控制在0.8秒以内，支持1000 QPS以上的并发处理能力，能够满足二手车交易平台在线实时估价、金融机构批量风控审核等场景的实时性需求。</w:t>
      </w:r>
    </w:p>
    <w:p>
      <w:pPr>
        <w:numPr>
          <w:numId w:val="36"/>
        </w:numPr>
        <w:spacing w:before="120" w:after="120" w:line="288" w:lineRule="auto"/>
        <w:ind w:left="0"/>
        <w:jc w:val="left"/>
      </w:pPr>
      <w:r>
        <w:rPr>
          <w:rFonts w:eastAsia="等线" w:ascii="Arial" w:cs="Arial" w:hAnsi="Arial"/>
          <w:b w:val="true"/>
          <w:sz w:val="22"/>
        </w:rPr>
        <w:t>实用性突出</w:t>
      </w:r>
      <w:r>
        <w:rPr>
          <w:rFonts w:eastAsia="等线" w:ascii="Arial" w:cs="Arial" w:hAnsi="Arial"/>
          <w:sz w:val="22"/>
        </w:rPr>
        <w:t>：输出估价结果的同时，同步提供残值的关键影响因素说明，让用户清晰了解残值构成，增强估价透明度；支持多场景定制化适配，可根据二手车交易、金融风控、保险定损等不同行业需求调整权重与规则偏向，适配多行业应用；同时，大幅降低人工评估的人力成本与时间成本，人工评估效率提升85%以上，具备极强的产业应用价值。</w:t>
      </w:r>
    </w:p>
    <w:p>
      <w:pPr>
        <w:pStyle w:val="1"/>
        <w:spacing w:before="380" w:after="140" w:line="288" w:lineRule="auto"/>
        <w:ind w:left="0"/>
        <w:jc w:val="left"/>
        <w:outlineLvl w:val="0"/>
      </w:pPr>
      <w:bookmarkStart w:name="heading_18" w:id="18"/>
      <w:r>
        <w:rPr>
          <w:rFonts w:eastAsia="等线" w:ascii="Arial" w:cs="Arial" w:hAnsi="Arial"/>
          <w:b w:val="true"/>
          <w:sz w:val="36"/>
        </w:rPr>
        <w:t>六、附图说明</w:t>
      </w:r>
      <w:bookmarkEnd w:id="18"/>
    </w:p>
    <w:p>
      <w:pPr>
        <w:spacing w:before="120" w:after="120" w:line="288" w:lineRule="auto"/>
        <w:ind w:left="0"/>
        <w:jc w:val="left"/>
      </w:pPr>
      <w:r>
        <w:rPr>
          <w:rFonts w:eastAsia="等线" w:ascii="Arial" w:cs="Arial" w:hAnsi="Arial"/>
          <w:sz w:val="22"/>
        </w:rPr>
        <w:t>本发明需配套以下附图，清晰展示技术流程及核心模块逻辑，便于理解与实施，各附图具体内容如下：</w:t>
      </w:r>
    </w:p>
    <w:p>
      <w:pPr>
        <w:numPr>
          <w:numId w:val="37"/>
        </w:numPr>
        <w:spacing w:before="120" w:after="120" w:line="288" w:lineRule="auto"/>
        <w:ind w:left="0"/>
        <w:jc w:val="left"/>
      </w:pPr>
      <w:r>
        <w:rPr>
          <w:rFonts w:eastAsia="等线" w:ascii="Arial" w:cs="Arial" w:hAnsi="Arial"/>
          <w:sz w:val="22"/>
        </w:rPr>
        <w:t>图1：基于规则引擎与LightGBM的二手车残值估价方法整体流程图，展示从数据输入、预处理、特征工程、规则匹配、模型估值、动态融合到最终结果输出的全流程步骤及各模块的衔接关系；</w:t>
      </w:r>
    </w:p>
    <w:p>
      <w:pPr>
        <w:numPr>
          <w:numId w:val="38"/>
        </w:numPr>
        <w:spacing w:before="120" w:after="120" w:line="288" w:lineRule="auto"/>
        <w:ind w:left="0"/>
        <w:jc w:val="left"/>
      </w:pPr>
      <w:r>
        <w:rPr>
          <w:rFonts w:eastAsia="等线" w:ascii="Arial" w:cs="Arial" w:hAnsi="Arial"/>
          <w:sz w:val="22"/>
        </w:rPr>
        <w:t>图2：特征工程实施步骤示意图，详细展示基础特征提取、增强特征构建的具体流程，以及各特征的分类与计算逻辑；</w:t>
      </w:r>
    </w:p>
    <w:p>
      <w:pPr>
        <w:numPr>
          <w:numId w:val="39"/>
        </w:numPr>
        <w:spacing w:before="120" w:after="120" w:line="288" w:lineRule="auto"/>
        <w:ind w:left="0"/>
        <w:jc w:val="left"/>
      </w:pPr>
      <w:r>
        <w:rPr>
          <w:rFonts w:eastAsia="等线" w:ascii="Arial" w:cs="Arial" w:hAnsi="Arial"/>
          <w:sz w:val="22"/>
        </w:rPr>
        <w:t>图3：规则引擎规则分类及执行流程图，展示硬性约束、市场惯例、特殊场景三类规则的层级关系，以及规则匹配、权重计算的执行逻辑；</w:t>
      </w:r>
    </w:p>
    <w:p>
      <w:pPr>
        <w:numPr>
          <w:numId w:val="40"/>
        </w:numPr>
        <w:spacing w:before="120" w:after="120" w:line="288" w:lineRule="auto"/>
        <w:ind w:left="0"/>
        <w:jc w:val="left"/>
      </w:pPr>
      <w:r>
        <w:rPr>
          <w:rFonts w:eastAsia="等线" w:ascii="Arial" w:cs="Arial" w:hAnsi="Arial"/>
          <w:sz w:val="22"/>
        </w:rPr>
        <w:t>图4：动态权重融合算法逻辑图，展示初始权重设定、性能系数计算、权重更新及范围约束的完整算法流程；</w:t>
      </w:r>
    </w:p>
    <w:p>
      <w:pPr>
        <w:numPr>
          <w:numId w:val="41"/>
        </w:numPr>
        <w:spacing w:before="120" w:after="120" w:line="288" w:lineRule="auto"/>
        <w:ind w:left="0"/>
        <w:jc w:val="left"/>
      </w:pPr>
      <w:r>
        <w:rPr>
          <w:rFonts w:eastAsia="等线" w:ascii="Arial" w:cs="Arial" w:hAnsi="Arial"/>
          <w:sz w:val="22"/>
        </w:rPr>
        <w:t>图5：分层LightGBM模型训练与调用示意图，展示9个细分场景的划分方式、模型训练流程及待估价车辆的子模型匹配逻辑。</w:t>
      </w:r>
    </w:p>
    <w:p>
      <w:pPr>
        <w:pStyle w:val="1"/>
        <w:spacing w:before="380" w:after="140" w:line="288" w:lineRule="auto"/>
        <w:ind w:left="0"/>
        <w:jc w:val="left"/>
        <w:outlineLvl w:val="0"/>
      </w:pPr>
      <w:bookmarkStart w:name="heading_19" w:id="19"/>
      <w:r>
        <w:rPr>
          <w:rFonts w:eastAsia="等线" w:ascii="Arial" w:cs="Arial" w:hAnsi="Arial"/>
          <w:b w:val="true"/>
          <w:sz w:val="36"/>
        </w:rPr>
        <w:t>七、权利要求书（核心条款示例）</w:t>
      </w:r>
      <w:bookmarkEnd w:id="19"/>
    </w:p>
    <w:p>
      <w:pPr>
        <w:spacing w:before="120" w:after="120" w:line="288" w:lineRule="auto"/>
        <w:ind w:left="0"/>
        <w:jc w:val="left"/>
      </w:pPr>
      <w:r>
        <w:rPr>
          <w:rFonts w:eastAsia="等线" w:ascii="Arial" w:cs="Arial" w:hAnsi="Arial"/>
          <w:sz w:val="22"/>
        </w:rPr>
        <w:t>以下为核心权利要求条款，精准覆盖本发明的关键技术特征，用于界定本发明的保护范围，兼顾创新性与实用性，具体条款如下：</w:t>
      </w:r>
    </w:p>
    <w:p>
      <w:pPr>
        <w:numPr>
          <w:numId w:val="42"/>
        </w:numPr>
        <w:spacing w:before="120" w:after="120" w:line="288" w:lineRule="auto"/>
        <w:ind w:left="0"/>
        <w:jc w:val="left"/>
      </w:pPr>
      <w:r>
        <w:rPr>
          <w:rFonts w:eastAsia="等线" w:ascii="Arial" w:cs="Arial" w:hAnsi="Arial"/>
          <w:sz w:val="22"/>
        </w:rPr>
        <w:t>一种基于规则引擎与LightGBM的二手车残值估价方法，其特征在于，包括以下步骤：</w:t>
        <w:br/>
        <w:t xml:space="preserve">      </w:t>
      </w:r>
    </w:p>
    <w:p>
      <w:pPr>
        <w:numPr>
          <w:numId w:val="43"/>
        </w:numPr>
        <w:spacing w:before="120" w:after="120" w:line="288" w:lineRule="auto"/>
        <w:ind w:left="0"/>
        <w:jc w:val="left"/>
      </w:pPr>
      <w:r>
        <w:rPr>
          <w:rFonts w:eastAsia="等线" w:ascii="Arial" w:cs="Arial" w:hAnsi="Arial"/>
          <w:sz w:val="22"/>
        </w:rPr>
        <w:t>对二手车原始数据进行多维度预处理，剔除异常数据、补充缺失数据，提取车辆基础特征并构建行业专属增强特征，形成标准化输入数据；</w:t>
      </w:r>
    </w:p>
    <w:p>
      <w:pPr>
        <w:numPr>
          <w:numId w:val="44"/>
        </w:numPr>
        <w:spacing w:before="120" w:after="120" w:line="288" w:lineRule="auto"/>
        <w:ind w:left="0"/>
        <w:jc w:val="left"/>
      </w:pPr>
      <w:r>
        <w:rPr>
          <w:rFonts w:eastAsia="等线" w:ascii="Arial" w:cs="Arial" w:hAnsi="Arial"/>
          <w:sz w:val="22"/>
        </w:rPr>
        <w:t>构建包含硬性约束规则、市场惯例规则、特殊场景规则的规则引擎，输入标准化车辆特征数据，按优先级完成规则匹配，输出初步估值及规则匹配权重；</w:t>
      </w:r>
    </w:p>
    <w:p>
      <w:pPr>
        <w:numPr>
          <w:numId w:val="45"/>
        </w:numPr>
        <w:spacing w:before="120" w:after="120" w:line="288" w:lineRule="auto"/>
        <w:ind w:left="0"/>
        <w:jc w:val="left"/>
      </w:pPr>
      <w:r>
        <w:rPr>
          <w:rFonts w:eastAsia="等线" w:ascii="Arial" w:cs="Arial" w:hAnsi="Arial"/>
          <w:sz w:val="22"/>
        </w:rPr>
        <w:t>按车辆价格区间和车龄划分细分场景，为每个细分场景独立训练对应的优化LightGBM子模型，输入标准化车辆特征数据得到模型估值；</w:t>
      </w:r>
    </w:p>
    <w:p>
      <w:pPr>
        <w:numPr>
          <w:numId w:val="46"/>
        </w:numPr>
        <w:spacing w:before="120" w:after="120" w:line="288" w:lineRule="auto"/>
        <w:ind w:left="0"/>
        <w:jc w:val="left"/>
      </w:pPr>
      <w:r>
        <w:rPr>
          <w:rFonts w:eastAsia="等线" w:ascii="Arial" w:cs="Arial" w:hAnsi="Arial"/>
          <w:sz w:val="22"/>
        </w:rPr>
        <w:t>基于车辆细分场景设定初始融合权重，结合规则匹配权重和历史样本的模型性能统计结果，通过动态权重融合算法调整规则引擎与LightGBM模型的融合权重；</w:t>
      </w:r>
    </w:p>
    <w:p>
      <w:pPr>
        <w:numPr>
          <w:numId w:val="47"/>
        </w:numPr>
        <w:spacing w:before="120" w:after="120" w:line="288" w:lineRule="auto"/>
        <w:ind w:left="0"/>
        <w:jc w:val="left"/>
      </w:pPr>
      <w:r>
        <w:rPr>
          <w:rFonts w:eastAsia="等线" w:ascii="Arial" w:cs="Arial" w:hAnsi="Arial"/>
          <w:sz w:val="22"/>
        </w:rPr>
        <w:t>按融合权重计算最终残值估价结果，并基于对应细分场景的历史估价误差统计，输出95%置信区间及关键影响因素说明。</w:t>
      </w:r>
    </w:p>
    <w:p>
      <w:pPr>
        <w:numPr>
          <w:numId w:val="48"/>
        </w:numPr>
        <w:spacing w:before="120" w:after="120" w:line="288" w:lineRule="auto"/>
        <w:ind w:left="0"/>
        <w:jc w:val="left"/>
      </w:pPr>
      <w:r>
        <w:rPr>
          <w:rFonts w:eastAsia="等线" w:ascii="Arial" w:cs="Arial" w:hAnsi="Arial"/>
          <w:sz w:val="22"/>
        </w:rPr>
        <w:t>根据权利要求1所述的方法，其特征在于，所述增强特征包括品牌残值保持率、地域流通溢价指数、配置稀缺性评分、政策合规性得分，其中品牌残值保持率为最近12个月同品牌同级别车辆残值均值与新车指导价的比值，地域流通溢价指数基于目标车辆所在城市该车型交易量占全国比重设定。</w:t>
      </w:r>
    </w:p>
    <w:p>
      <w:pPr>
        <w:numPr>
          <w:numId w:val="49"/>
        </w:numPr>
        <w:spacing w:before="120" w:after="120" w:line="288" w:lineRule="auto"/>
        <w:ind w:left="0"/>
        <w:jc w:val="left"/>
      </w:pPr>
      <w:r>
        <w:rPr>
          <w:rFonts w:eastAsia="等线" w:ascii="Arial" w:cs="Arial" w:hAnsi="Arial"/>
          <w:sz w:val="22"/>
        </w:rPr>
        <w:t>根据权利要求1所述的方法，其特征在于，所述规则引擎的动态融合权重ω满足：ω_new = ω_old×β + (1-β)×(规则匹配权重×规则引擎性能占比)，其中β为平滑因子，取值0.9，权重范围约束在[0.1, 0.4]，规则引擎性能占比基于规则引擎与LightGBM模型的估价MAPE计算得到。</w:t>
      </w:r>
    </w:p>
    <w:p>
      <w:pPr>
        <w:numPr>
          <w:numId w:val="50"/>
        </w:numPr>
        <w:spacing w:before="120" w:after="120" w:line="288" w:lineRule="auto"/>
        <w:ind w:left="0"/>
        <w:jc w:val="left"/>
      </w:pPr>
      <w:r>
        <w:rPr>
          <w:rFonts w:eastAsia="等线" w:ascii="Arial" w:cs="Arial" w:hAnsi="Arial"/>
          <w:sz w:val="22"/>
        </w:rPr>
        <w:t>根据权利要求1所述的方法，其特征在于，所述LightGBM模型采用分层训练策略，按价格区间分为经济型（&lt;10万元）、中档型（10-30万元）、豪华型（&gt;30万元），按车龄分为≤3年、3-8年、&gt;8年，共9个细分场景，各场景独立配置模型参数并通过特征重要性评分筛选参与训练的特征。</w:t>
      </w:r>
    </w:p>
    <w:p>
      <w:pPr>
        <w:numPr>
          <w:numId w:val="51"/>
        </w:numPr>
        <w:spacing w:before="120" w:after="120" w:line="288" w:lineRule="auto"/>
        <w:ind w:left="0"/>
        <w:jc w:val="left"/>
      </w:pPr>
      <w:r>
        <w:rPr>
          <w:rFonts w:eastAsia="等线" w:ascii="Arial" w:cs="Arial" w:hAnsi="Arial"/>
          <w:sz w:val="22"/>
        </w:rPr>
        <w:t>根据权利要求1所述的方法，其特征在于，最终残值估价公式为：P_final = ω×P_rule + (1-ω)×P_lgb + γ×adjustment_factor，其中γ为修正系数，取值0.04，adjustment_factor为基于历史估价误差统计的场景化修正因子，适配老旧车辆、稀有车型等特殊场景。</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772748">
    <w:lvl>
      <w:start w:val="1"/>
      <w:numFmt w:val="decimal"/>
      <w:suff w:val="tab"/>
      <w:lvlText w:val="%1."/>
      <w:rPr>
        <w:color w:val="3370ff"/>
      </w:rPr>
    </w:lvl>
  </w:abstractNum>
  <w:abstractNum w:abstractNumId="3772749">
    <w:lvl>
      <w:start w:val="2"/>
      <w:numFmt w:val="decimal"/>
      <w:suff w:val="tab"/>
      <w:lvlText w:val="%1."/>
      <w:rPr>
        <w:color w:val="3370ff"/>
      </w:rPr>
    </w:lvl>
  </w:abstractNum>
  <w:abstractNum w:abstractNumId="3772750">
    <w:lvl>
      <w:start w:val="3"/>
      <w:numFmt w:val="decimal"/>
      <w:suff w:val="tab"/>
      <w:lvlText w:val="%1."/>
      <w:rPr>
        <w:color w:val="3370ff"/>
      </w:rPr>
    </w:lvl>
  </w:abstractNum>
  <w:abstractNum w:abstractNumId="3772751">
    <w:lvl>
      <w:start w:val="4"/>
      <w:numFmt w:val="decimal"/>
      <w:suff w:val="tab"/>
      <w:lvlText w:val="%1."/>
      <w:rPr>
        <w:color w:val="3370ff"/>
      </w:rPr>
    </w:lvl>
  </w:abstractNum>
  <w:abstractNum w:abstractNumId="3772752">
    <w:lvl>
      <w:numFmt w:val="bullet"/>
      <w:suff w:val="tab"/>
      <w:lvlText w:val="•"/>
      <w:rPr>
        <w:color w:val="3370ff"/>
      </w:rPr>
    </w:lvl>
  </w:abstractNum>
  <w:abstractNum w:abstractNumId="3772753">
    <w:lvl>
      <w:numFmt w:val="bullet"/>
      <w:suff w:val="tab"/>
      <w:lvlText w:val="•"/>
      <w:rPr>
        <w:color w:val="3370ff"/>
      </w:rPr>
    </w:lvl>
  </w:abstractNum>
  <w:abstractNum w:abstractNumId="3772754">
    <w:lvl>
      <w:numFmt w:val="bullet"/>
      <w:suff w:val="tab"/>
      <w:lvlText w:val="•"/>
      <w:rPr>
        <w:color w:val="3370ff"/>
      </w:rPr>
    </w:lvl>
  </w:abstractNum>
  <w:abstractNum w:abstractNumId="3772755">
    <w:lvl>
      <w:numFmt w:val="bullet"/>
      <w:suff w:val="tab"/>
      <w:lvlText w:val="•"/>
      <w:rPr>
        <w:color w:val="3370ff"/>
      </w:rPr>
    </w:lvl>
  </w:abstractNum>
  <w:abstractNum w:abstractNumId="3772756">
    <w:lvl>
      <w:numFmt w:val="bullet"/>
      <w:suff w:val="tab"/>
      <w:lvlText w:val="•"/>
      <w:rPr>
        <w:color w:val="3370ff"/>
      </w:rPr>
    </w:lvl>
  </w:abstractNum>
  <w:abstractNum w:abstractNumId="3772757">
    <w:lvl>
      <w:numFmt w:val="bullet"/>
      <w:suff w:val="tab"/>
      <w:lvlText w:val="•"/>
      <w:rPr>
        <w:color w:val="3370ff"/>
      </w:rPr>
    </w:lvl>
  </w:abstractNum>
  <w:abstractNum w:abstractNumId="3772758">
    <w:lvl>
      <w:numFmt w:val="bullet"/>
      <w:suff w:val="tab"/>
      <w:lvlText w:val="•"/>
      <w:rPr>
        <w:color w:val="3370ff"/>
      </w:rPr>
    </w:lvl>
  </w:abstractNum>
  <w:abstractNum w:abstractNumId="3772759">
    <w:lvl>
      <w:numFmt w:val="bullet"/>
      <w:suff w:val="tab"/>
      <w:lvlText w:val="•"/>
      <w:rPr>
        <w:color w:val="3370ff"/>
      </w:rPr>
    </w:lvl>
  </w:abstractNum>
  <w:abstractNum w:abstractNumId="3772760">
    <w:lvl>
      <w:numFmt w:val="bullet"/>
      <w:suff w:val="tab"/>
      <w:lvlText w:val="•"/>
      <w:rPr>
        <w:color w:val="3370ff"/>
      </w:rPr>
    </w:lvl>
  </w:abstractNum>
  <w:abstractNum w:abstractNumId="3772761">
    <w:lvl>
      <w:numFmt w:val="bullet"/>
      <w:suff w:val="tab"/>
      <w:lvlText w:val="•"/>
      <w:rPr>
        <w:color w:val="3370ff"/>
      </w:rPr>
    </w:lvl>
  </w:abstractNum>
  <w:abstractNum w:abstractNumId="3772762">
    <w:lvl>
      <w:numFmt w:val="bullet"/>
      <w:suff w:val="tab"/>
      <w:lvlText w:val="•"/>
      <w:rPr>
        <w:color w:val="3370ff"/>
      </w:rPr>
    </w:lvl>
  </w:abstractNum>
  <w:abstractNum w:abstractNumId="3772763">
    <w:lvl>
      <w:numFmt w:val="bullet"/>
      <w:suff w:val="tab"/>
      <w:lvlText w:val="•"/>
      <w:rPr>
        <w:color w:val="3370ff"/>
      </w:rPr>
    </w:lvl>
  </w:abstractNum>
  <w:abstractNum w:abstractNumId="3772764">
    <w:lvl>
      <w:numFmt w:val="bullet"/>
      <w:suff w:val="tab"/>
      <w:lvlText w:val="•"/>
      <w:rPr>
        <w:color w:val="3370ff"/>
      </w:rPr>
    </w:lvl>
  </w:abstractNum>
  <w:abstractNum w:abstractNumId="3772765">
    <w:lvl>
      <w:numFmt w:val="bullet"/>
      <w:suff w:val="tab"/>
      <w:lvlText w:val="•"/>
      <w:rPr>
        <w:color w:val="3370ff"/>
      </w:rPr>
    </w:lvl>
  </w:abstractNum>
  <w:abstractNum w:abstractNumId="3772766">
    <w:lvl>
      <w:start w:val="1"/>
      <w:numFmt w:val="decimal"/>
      <w:suff w:val="tab"/>
      <w:lvlText w:val="%1."/>
      <w:rPr>
        <w:color w:val="3370ff"/>
      </w:rPr>
    </w:lvl>
  </w:abstractNum>
  <w:abstractNum w:abstractNumId="3772767">
    <w:lvl>
      <w:start w:val="2"/>
      <w:numFmt w:val="decimal"/>
      <w:suff w:val="tab"/>
      <w:lvlText w:val="%1."/>
      <w:rPr>
        <w:color w:val="3370ff"/>
      </w:rPr>
    </w:lvl>
  </w:abstractNum>
  <w:abstractNum w:abstractNumId="3772768">
    <w:lvl>
      <w:start w:val="3"/>
      <w:numFmt w:val="decimal"/>
      <w:suff w:val="tab"/>
      <w:lvlText w:val="%1."/>
      <w:rPr>
        <w:color w:val="3370ff"/>
      </w:rPr>
    </w:lvl>
  </w:abstractNum>
  <w:abstractNum w:abstractNumId="3772769">
    <w:lvl>
      <w:start w:val="1"/>
      <w:numFmt w:val="decimal"/>
      <w:suff w:val="tab"/>
      <w:lvlText w:val="%1."/>
      <w:rPr>
        <w:color w:val="3370ff"/>
      </w:rPr>
    </w:lvl>
  </w:abstractNum>
  <w:abstractNum w:abstractNumId="3772770">
    <w:lvl>
      <w:start w:val="2"/>
      <w:numFmt w:val="decimal"/>
      <w:suff w:val="tab"/>
      <w:lvlText w:val="%1."/>
      <w:rPr>
        <w:color w:val="3370ff"/>
      </w:rPr>
    </w:lvl>
  </w:abstractNum>
  <w:abstractNum w:abstractNumId="3772771">
    <w:lvl>
      <w:start w:val="3"/>
      <w:numFmt w:val="decimal"/>
      <w:suff w:val="tab"/>
      <w:lvlText w:val="%1."/>
      <w:rPr>
        <w:color w:val="3370ff"/>
      </w:rPr>
    </w:lvl>
  </w:abstractNum>
  <w:abstractNum w:abstractNumId="3772772">
    <w:lvl>
      <w:start w:val="1"/>
      <w:numFmt w:val="decimal"/>
      <w:suff w:val="tab"/>
      <w:lvlText w:val="%1."/>
      <w:rPr>
        <w:color w:val="3370ff"/>
      </w:rPr>
    </w:lvl>
  </w:abstractNum>
  <w:abstractNum w:abstractNumId="3772773">
    <w:lvl>
      <w:start w:val="2"/>
      <w:numFmt w:val="decimal"/>
      <w:suff w:val="tab"/>
      <w:lvlText w:val="%1."/>
      <w:rPr>
        <w:color w:val="3370ff"/>
      </w:rPr>
    </w:lvl>
  </w:abstractNum>
  <w:abstractNum w:abstractNumId="3772774">
    <w:lvl>
      <w:start w:val="1"/>
      <w:numFmt w:val="decimal"/>
      <w:suff w:val="tab"/>
      <w:lvlText w:val="%1."/>
      <w:rPr>
        <w:color w:val="3370ff"/>
      </w:rPr>
    </w:lvl>
  </w:abstractNum>
  <w:abstractNum w:abstractNumId="3772775">
    <w:lvl>
      <w:start w:val="2"/>
      <w:numFmt w:val="decimal"/>
      <w:suff w:val="tab"/>
      <w:lvlText w:val="%1."/>
      <w:rPr>
        <w:color w:val="3370ff"/>
      </w:rPr>
    </w:lvl>
  </w:abstractNum>
  <w:abstractNum w:abstractNumId="3772776">
    <w:lvl>
      <w:start w:val="3"/>
      <w:numFmt w:val="decimal"/>
      <w:suff w:val="tab"/>
      <w:lvlText w:val="%1."/>
      <w:rPr>
        <w:color w:val="3370ff"/>
      </w:rPr>
    </w:lvl>
  </w:abstractNum>
  <w:abstractNum w:abstractNumId="3772777">
    <w:lvl>
      <w:start w:val="1"/>
      <w:numFmt w:val="decimal"/>
      <w:suff w:val="tab"/>
      <w:lvlText w:val="%1."/>
      <w:rPr>
        <w:color w:val="3370ff"/>
      </w:rPr>
    </w:lvl>
  </w:abstractNum>
  <w:abstractNum w:abstractNumId="3772778">
    <w:lvl>
      <w:start w:val="2"/>
      <w:numFmt w:val="decimal"/>
      <w:suff w:val="tab"/>
      <w:lvlText w:val="%1."/>
      <w:rPr>
        <w:color w:val="3370ff"/>
      </w:rPr>
    </w:lvl>
  </w:abstractNum>
  <w:abstractNum w:abstractNumId="3772779">
    <w:lvl>
      <w:start w:val="3"/>
      <w:numFmt w:val="decimal"/>
      <w:suff w:val="tab"/>
      <w:lvlText w:val="%1."/>
      <w:rPr>
        <w:color w:val="3370ff"/>
      </w:rPr>
    </w:lvl>
  </w:abstractNum>
  <w:abstractNum w:abstractNumId="3772780">
    <w:lvl>
      <w:start w:val="1"/>
      <w:numFmt w:val="decimal"/>
      <w:suff w:val="tab"/>
      <w:lvlText w:val="%1."/>
      <w:rPr>
        <w:color w:val="3370ff"/>
      </w:rPr>
    </w:lvl>
  </w:abstractNum>
  <w:abstractNum w:abstractNumId="3772781">
    <w:lvl>
      <w:start w:val="2"/>
      <w:numFmt w:val="decimal"/>
      <w:suff w:val="tab"/>
      <w:lvlText w:val="%1."/>
      <w:rPr>
        <w:color w:val="3370ff"/>
      </w:rPr>
    </w:lvl>
  </w:abstractNum>
  <w:abstractNum w:abstractNumId="3772782">
    <w:lvl>
      <w:start w:val="3"/>
      <w:numFmt w:val="decimal"/>
      <w:suff w:val="tab"/>
      <w:lvlText w:val="%1."/>
      <w:rPr>
        <w:color w:val="3370ff"/>
      </w:rPr>
    </w:lvl>
  </w:abstractNum>
  <w:abstractNum w:abstractNumId="3772783">
    <w:lvl>
      <w:start w:val="4"/>
      <w:numFmt w:val="decimal"/>
      <w:suff w:val="tab"/>
      <w:lvlText w:val="%1."/>
      <w:rPr>
        <w:color w:val="3370ff"/>
      </w:rPr>
    </w:lvl>
  </w:abstractNum>
  <w:abstractNum w:abstractNumId="3772784">
    <w:lvl>
      <w:start w:val="1"/>
      <w:numFmt w:val="decimal"/>
      <w:suff w:val="tab"/>
      <w:lvlText w:val="%1."/>
      <w:rPr>
        <w:color w:val="3370ff"/>
      </w:rPr>
    </w:lvl>
  </w:abstractNum>
  <w:abstractNum w:abstractNumId="3772785">
    <w:lvl>
      <w:start w:val="2"/>
      <w:numFmt w:val="decimal"/>
      <w:suff w:val="tab"/>
      <w:lvlText w:val="%1."/>
      <w:rPr>
        <w:color w:val="3370ff"/>
      </w:rPr>
    </w:lvl>
  </w:abstractNum>
  <w:abstractNum w:abstractNumId="3772786">
    <w:lvl>
      <w:start w:val="3"/>
      <w:numFmt w:val="decimal"/>
      <w:suff w:val="tab"/>
      <w:lvlText w:val="%1."/>
      <w:rPr>
        <w:color w:val="3370ff"/>
      </w:rPr>
    </w:lvl>
  </w:abstractNum>
  <w:abstractNum w:abstractNumId="3772787">
    <w:lvl>
      <w:start w:val="4"/>
      <w:numFmt w:val="decimal"/>
      <w:suff w:val="tab"/>
      <w:lvlText w:val="%1."/>
      <w:rPr>
        <w:color w:val="3370ff"/>
      </w:rPr>
    </w:lvl>
  </w:abstractNum>
  <w:abstractNum w:abstractNumId="3772788">
    <w:lvl>
      <w:start w:val="5"/>
      <w:numFmt w:val="decimal"/>
      <w:suff w:val="tab"/>
      <w:lvlText w:val="%1."/>
      <w:rPr>
        <w:color w:val="3370ff"/>
      </w:rPr>
    </w:lvl>
  </w:abstractNum>
  <w:abstractNum w:abstractNumId="3772789">
    <w:lvl>
      <w:start w:val="1"/>
      <w:numFmt w:val="decimal"/>
      <w:suff w:val="tab"/>
      <w:lvlText w:val="%1."/>
      <w:rPr>
        <w:color w:val="3370ff"/>
      </w:rPr>
    </w:lvl>
  </w:abstractNum>
  <w:abstractNum w:abstractNumId="3772790">
    <w:lvl>
      <w:start w:val="2"/>
      <w:numFmt w:val="decimal"/>
      <w:suff w:val="tab"/>
      <w:lvlText w:val="%1."/>
      <w:rPr>
        <w:color w:val="3370ff"/>
      </w:rPr>
    </w:lvl>
  </w:abstractNum>
  <w:abstractNum w:abstractNumId="3772791">
    <w:lvl>
      <w:start w:val="3"/>
      <w:numFmt w:val="decimal"/>
      <w:suff w:val="tab"/>
      <w:lvlText w:val="%1."/>
      <w:rPr>
        <w:color w:val="3370ff"/>
      </w:rPr>
    </w:lvl>
  </w:abstractNum>
  <w:abstractNum w:abstractNumId="3772792">
    <w:lvl>
      <w:start w:val="4"/>
      <w:numFmt w:val="decimal"/>
      <w:suff w:val="tab"/>
      <w:lvlText w:val="%1."/>
      <w:rPr>
        <w:color w:val="3370ff"/>
      </w:rPr>
    </w:lvl>
  </w:abstractNum>
  <w:abstractNum w:abstractNumId="3772793">
    <w:lvl>
      <w:start w:val="5"/>
      <w:numFmt w:val="decimal"/>
      <w:suff w:val="tab"/>
      <w:lvlText w:val="%1."/>
      <w:rPr>
        <w:color w:val="3370ff"/>
      </w:rPr>
    </w:lvl>
  </w:abstractNum>
  <w:abstractNum w:abstractNumId="3772794">
    <w:lvl>
      <w:start w:val="6"/>
      <w:numFmt w:val="decimal"/>
      <w:suff w:val="tab"/>
      <w:lvlText w:val="%1."/>
      <w:rPr>
        <w:color w:val="3370ff"/>
      </w:rPr>
    </w:lvl>
  </w:abstractNum>
  <w:abstractNum w:abstractNumId="3772795">
    <w:lvl>
      <w:start w:val="7"/>
      <w:numFmt w:val="decimal"/>
      <w:suff w:val="tab"/>
      <w:lvlText w:val="%1."/>
      <w:rPr>
        <w:color w:val="3370ff"/>
      </w:rPr>
    </w:lvl>
  </w:abstractNum>
  <w:abstractNum w:abstractNumId="3772796">
    <w:lvl>
      <w:start w:val="8"/>
      <w:numFmt w:val="decimal"/>
      <w:suff w:val="tab"/>
      <w:lvlText w:val="%1."/>
      <w:rPr>
        <w:color w:val="3370ff"/>
      </w:rPr>
    </w:lvl>
  </w:abstractNum>
  <w:abstractNum w:abstractNumId="3772797">
    <w:lvl>
      <w:start w:val="9"/>
      <w:numFmt w:val="decimal"/>
      <w:suff w:val="tab"/>
      <w:lvlText w:val="%1."/>
      <w:rPr>
        <w:color w:val="3370ff"/>
      </w:rPr>
    </w:lvl>
  </w:abstractNum>
  <w:abstractNum w:abstractNumId="3772798">
    <w:lvl>
      <w:start w:val="10"/>
      <w:numFmt w:val="decimal"/>
      <w:suff w:val="tab"/>
      <w:lvlText w:val="%1."/>
      <w:rPr>
        <w:color w:val="3370ff"/>
      </w:rPr>
    </w:lvl>
  </w:abstractNum>
  <w:num w:numId="1">
    <w:abstractNumId w:val="3772748"/>
  </w:num>
  <w:num w:numId="2">
    <w:abstractNumId w:val="3772749"/>
  </w:num>
  <w:num w:numId="3">
    <w:abstractNumId w:val="3772750"/>
  </w:num>
  <w:num w:numId="4">
    <w:abstractNumId w:val="3772751"/>
  </w:num>
  <w:num w:numId="5">
    <w:abstractNumId w:val="3772752"/>
  </w:num>
  <w:num w:numId="6">
    <w:abstractNumId w:val="3772753"/>
  </w:num>
  <w:num w:numId="7">
    <w:abstractNumId w:val="3772754"/>
  </w:num>
  <w:num w:numId="8">
    <w:abstractNumId w:val="3772755"/>
  </w:num>
  <w:num w:numId="9">
    <w:abstractNumId w:val="3772756"/>
  </w:num>
  <w:num w:numId="10">
    <w:abstractNumId w:val="3772757"/>
  </w:num>
  <w:num w:numId="11">
    <w:abstractNumId w:val="3772758"/>
  </w:num>
  <w:num w:numId="12">
    <w:abstractNumId w:val="3772759"/>
  </w:num>
  <w:num w:numId="13">
    <w:abstractNumId w:val="3772760"/>
  </w:num>
  <w:num w:numId="14">
    <w:abstractNumId w:val="3772761"/>
  </w:num>
  <w:num w:numId="15">
    <w:abstractNumId w:val="3772762"/>
  </w:num>
  <w:num w:numId="16">
    <w:abstractNumId w:val="3772763"/>
  </w:num>
  <w:num w:numId="17">
    <w:abstractNumId w:val="3772764"/>
  </w:num>
  <w:num w:numId="18">
    <w:abstractNumId w:val="3772765"/>
  </w:num>
  <w:num w:numId="19">
    <w:abstractNumId w:val="3772766"/>
  </w:num>
  <w:num w:numId="20">
    <w:abstractNumId w:val="3772767"/>
  </w:num>
  <w:num w:numId="21">
    <w:abstractNumId w:val="3772768"/>
  </w:num>
  <w:num w:numId="22">
    <w:abstractNumId w:val="3772769"/>
  </w:num>
  <w:num w:numId="23">
    <w:abstractNumId w:val="3772770"/>
  </w:num>
  <w:num w:numId="24">
    <w:abstractNumId w:val="3772771"/>
  </w:num>
  <w:num w:numId="25">
    <w:abstractNumId w:val="3772772"/>
  </w:num>
  <w:num w:numId="26">
    <w:abstractNumId w:val="3772773"/>
  </w:num>
  <w:num w:numId="27">
    <w:abstractNumId w:val="3772774"/>
  </w:num>
  <w:num w:numId="28">
    <w:abstractNumId w:val="3772775"/>
  </w:num>
  <w:num w:numId="29">
    <w:abstractNumId w:val="3772776"/>
  </w:num>
  <w:num w:numId="30">
    <w:abstractNumId w:val="3772777"/>
  </w:num>
  <w:num w:numId="31">
    <w:abstractNumId w:val="3772778"/>
  </w:num>
  <w:num w:numId="32">
    <w:abstractNumId w:val="3772779"/>
  </w:num>
  <w:num w:numId="33">
    <w:abstractNumId w:val="3772780"/>
  </w:num>
  <w:num w:numId="34">
    <w:abstractNumId w:val="3772781"/>
  </w:num>
  <w:num w:numId="35">
    <w:abstractNumId w:val="3772782"/>
  </w:num>
  <w:num w:numId="36">
    <w:abstractNumId w:val="3772783"/>
  </w:num>
  <w:num w:numId="37">
    <w:abstractNumId w:val="3772784"/>
  </w:num>
  <w:num w:numId="38">
    <w:abstractNumId w:val="3772785"/>
  </w:num>
  <w:num w:numId="39">
    <w:abstractNumId w:val="3772786"/>
  </w:num>
  <w:num w:numId="40">
    <w:abstractNumId w:val="3772787"/>
  </w:num>
  <w:num w:numId="41">
    <w:abstractNumId w:val="3772788"/>
  </w:num>
  <w:num w:numId="42">
    <w:abstractNumId w:val="3772789"/>
  </w:num>
  <w:num w:numId="43">
    <w:abstractNumId w:val="3772790"/>
  </w:num>
  <w:num w:numId="44">
    <w:abstractNumId w:val="3772791"/>
  </w:num>
  <w:num w:numId="45">
    <w:abstractNumId w:val="3772792"/>
  </w:num>
  <w:num w:numId="46">
    <w:abstractNumId w:val="3772793"/>
  </w:num>
  <w:num w:numId="47">
    <w:abstractNumId w:val="3772794"/>
  </w:num>
  <w:num w:numId="48">
    <w:abstractNumId w:val="3772795"/>
  </w:num>
  <w:num w:numId="49">
    <w:abstractNumId w:val="3772796"/>
  </w:num>
  <w:num w:numId="50">
    <w:abstractNumId w:val="3772797"/>
  </w:num>
  <w:num w:numId="51">
    <w:abstractNumId w:val="37727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2026-02-02T12:49:49Z</dcterms:created>
  <dc:creator>Apache POI</dc:creator>
</cp:coreProperties>
</file>