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STAI_OCR — Receipt Processor &amp; Ledger Agent</w:t>
      </w:r>
    </w:p>
    <w:p>
      <w:r>
        <w:rPr>
          <w:color w:val="555555"/>
          <w:sz w:val="28"/>
        </w:rPr>
        <w:t>Technical Write-up</w:t>
      </w:r>
    </w:p>
    <w:p>
      <w:r>
        <w:rPr>
          <w:i/>
          <w:color w:val="666666"/>
        </w:rPr>
        <w:t>An end-to-end agentic AI application for automated receipt extraction, expense tracking, and natural-language querying</w:t>
      </w:r>
    </w:p>
    <w:p/>
    <w:p>
      <w:pPr>
        <w:pStyle w:val="Heading1"/>
      </w:pPr>
      <w:r>
        <w:t>Executive Summary</w:t>
      </w:r>
    </w:p>
    <w:p>
      <w:r>
        <w:t>STAI_OCR is a working, end-to-end agentic AI application that turns a photograph of any purchase receipt into structured, queryable financial data. A user drags a receipt image into the interface; a local vision-language model reads it and extracts the merchant, tax details, individual line items, discounts, taxes, and totals as a typed, schema-validated record. Each receipt is reconciled for arithmetic consistency, stored in a persistent ledger, and indexed for semantic search. A conversational agent then answers plain-English questions about the user's spending — deciding on its own whether to run a database query (“How much did I spend on food this month?”) or a semantic search (“What did I buy at the coffee shop?”) — and streams its reasoning as it works.</w:t>
      </w:r>
    </w:p>
    <w:p>
      <w:r>
        <w:t>The system runs entirely on local, open-weight models via Ollama, so it needs no API keys and incurs no per-receipt cost, and no financial data ever leaves the machine. It is exposed both as a web UI and as a REST API, is instrumented end-to-end with MLflow for observability, and is fully containerized. Beyond the minimum brief, the project also implements a period-aware expense dashboard with income and budget tracking, cash-flow visualization, and CSV/Excel export. In total the application demonstrates all thirteen modules from the course checklist.</w:t>
      </w:r>
    </w:p>
    <w:p>
      <w:pPr>
        <w:pStyle w:val="Heading1"/>
      </w:pPr>
      <w:r>
        <w:t>1. Business Case</w:t>
      </w:r>
    </w:p>
    <w:p>
      <w:r>
        <w:t>Manual expense tracking is tedious, error-prone, and the single biggest reason individuals and small businesses abandon budgeting. Keying figures off paper receipts by hand is slow, and the receipts themselves fade, tear, or are lost before anyone gets around to recording them. Commercial expense apps exist, but they typically send receipt images to a third-party cloud service, charge per scan or per seat, and lock the resulting data inside a proprietary format. For a household, a student, or a small merchant that is both a privacy concern and a recurring cost.</w:t>
      </w:r>
    </w:p>
    <w:p>
      <w:r>
        <w:t>STAI_OCR targets that gap. The value proposition is simple: photograph a receipt, and within seconds have a clean, editable, exportable record that you can also ask questions about in plain language. The design goals that follow from that proposition are:</w:t>
      </w:r>
    </w:p>
    <w:p>
      <w:pPr>
        <w:pStyle w:val="ListBullet"/>
      </w:pPr>
      <w:r>
        <w:t>Zero marginal cost and full privacy — everything runs on local open-weight models, so there are no API fees and no receipt image ever leaves the user's machine.</w:t>
      </w:r>
    </w:p>
    <w:p>
      <w:pPr>
        <w:pStyle w:val="ListBullet"/>
      </w:pPr>
      <w:r>
        <w:t>Faithfulness over cleverness — for financial data, a confidently wrong number is worse than a blank. The extractor is built to transcribe exactly what is printed and to flag anything it cannot read, rather than guessing or calculating.</w:t>
      </w:r>
    </w:p>
    <w:p>
      <w:pPr>
        <w:pStyle w:val="ListBullet"/>
      </w:pPr>
      <w:r>
        <w:t>Answers, not just storage — the ledger is not a dead archive; a natural-language agent lets a non-technical user interrogate their own spending without writing a single SQL query.</w:t>
      </w:r>
    </w:p>
    <w:p>
      <w:pPr>
        <w:pStyle w:val="ListBullet"/>
      </w:pPr>
      <w:r>
        <w:t>Portability — structured output and standard export formats (CSV, Excel) mean the data is never trapped inside the app.</w:t>
      </w:r>
    </w:p>
    <w:p>
      <w:r>
        <w:t>The target users are individuals who want a private, free alternative to subscription expense trackers, and small merchants who need to digitize a shoebox of receipts for bookkeeping or tax filing. Because the extractor is deliberately locale-agnostic — it handles receipts from restaurants, groceries, pharmacies, and retail, in multiple currencies, with or without a printed tax breakdown — the same tool serves both audiences.</w:t>
      </w:r>
    </w:p>
    <w:p>
      <w:pPr>
        <w:pStyle w:val="Heading1"/>
      </w:pPr>
      <w:r>
        <w:t>2. Methodology</w:t>
      </w:r>
    </w:p>
    <w:p>
      <w:r>
        <w:t>The project was built around a single principle that shaped every module: an OCR system for money must never invent a value. That principle drove the choice of a strict, rule-based extraction prompt, a typed output schema, a deterministic post-processing layer, and an explicit human-in-the-loop step for anything ambiguous. The methodology combined prompt engineering, structured output enforcement, and classical deterministic code, using each where it is strongest: the model for reading pixels, and ordinary code for anything that can be checked or computed exactly.</w:t>
      </w:r>
    </w:p>
    <w:p>
      <w:pPr>
        <w:pStyle w:val="Heading2"/>
      </w:pPr>
      <w:r>
        <w:t>Prompt engineering</w:t>
      </w:r>
    </w:p>
    <w:p>
      <w:r>
        <w:t>The extraction prompt is a long, explicitly-numbered set of transcription rules rather than a loose instruction. It repeatedly forbids the model from calculating, inferring, rounding, or “fixing” any value, and instructs it to return null for anything it cannot read clearly. It contains targeted few-shot-style guidance for the failure modes we actually observed — for example, how to read a tax table where headers (VATable, Tax, Exempt, Zero-Rated) sit above a row of numbers, how to separate a payment line (Cash, Change) from the Total, and how to parse a “2 @ 270.00” quantity notation without doubling the item name. The agent-side prompts use a ReAct (Reason + Act) pattern and a few-shot SQL prompt so the language model reliably chooses and formats its tools.</w:t>
      </w:r>
    </w:p>
    <w:p>
      <w:pPr>
        <w:pStyle w:val="Heading2"/>
      </w:pPr>
      <w:r>
        <w:t>Structured outputs</w:t>
      </w:r>
    </w:p>
    <w:p>
      <w:r>
        <w:t>The model is constrained to emit JSON (Ollama's format="json" grammar), and that JSON is validated against a Pydantic schema (ReceiptData and a nested LineItem). Every field is explicitly optional and typed, so a missing value becomes null rather than a fabricated one, and stray strings such as “120.00” are coerced into real numbers. Any output that cannot be made to fit the contract is rejected as a guardrail failure rather than silently accepted.</w:t>
      </w:r>
    </w:p>
    <w:p>
      <w:pPr>
        <w:pStyle w:val="Heading2"/>
      </w:pPr>
      <w:r>
        <w:t>Deterministic post-processing</w:t>
      </w:r>
    </w:p>
    <w:p>
      <w:r>
        <w:t>The model's raw output passes through a chain of pure functions before it is trusted. These clean up line-item descriptions, de-duplicate repeated items, relocate summary or tax lines the model occasionally mis-files under “items” into their correct fields, and re-derive mis-assigned Total / Cash / Change values using two identities that always hold (amount due = subtotal − discount, and cash − change = amount due). Crucially, this layer only ever relocates numbers that were actually read off the receipt; it never computes or invents a figure. A separate reconciliation check then confirms the line items add up to the printed total and raises a warning if they do not.</w:t>
      </w:r>
    </w:p>
    <w:p>
      <w:pPr>
        <w:pStyle w:val="Heading2"/>
      </w:pPr>
      <w:r>
        <w:t>Human-in-the-loop disambiguation</w:t>
      </w:r>
    </w:p>
    <w:p>
      <w:r>
        <w:t>When the extractor produces a record that is internally inconsistent or incomplete — no total, no line items, a discount attributed to a vendor with no tax ID, or figures that fail reconciliation — the record is not silently filed. Instead the specific reasons are surfaced to the user and the receipt is flagged for review. This makes the system honest about its own uncertainty, which matters more for financial data than raw throughput.</w:t>
      </w:r>
    </w:p>
    <w:p>
      <w:pPr>
        <w:pStyle w:val="Heading1"/>
      </w:pPr>
      <w:r>
        <w:t>3. System Architecture</w:t>
      </w:r>
    </w:p>
    <w:p>
      <w:r>
        <w:t>The application is organized into three deployable pieces plus two data stores, all coordinated through a single core module:</w:t>
      </w:r>
    </w:p>
    <w:p>
      <w:pPr>
        <w:pStyle w:val="ListBullet"/>
      </w:pPr>
      <w:r>
        <w:t>core.py — the domain layer. It owns the extraction pipeline, the Pydantic schema, the guardrails, the SQLite ledger, the RAG vector store, and the SQL / RAG / ReAct agents. Every other component calls into it.</w:t>
      </w:r>
    </w:p>
    <w:p>
      <w:pPr>
        <w:pStyle w:val="ListBullet"/>
      </w:pPr>
      <w:r>
        <w:t>api.py — a FastAPI REST service exposing extraction, the ledger, search, and the agent (including a streaming Server-Sent-Events endpoint) for headless and integration use.</w:t>
      </w:r>
    </w:p>
    <w:p>
      <w:pPr>
        <w:pStyle w:val="ListBullet"/>
      </w:pPr>
      <w:r>
        <w:t>The web UI — a Streamlit application (receipt_processor.py) for the full interactive experience, plus a Next.js frontend (web-next) that consumes the same REST API for a richer dashboard.</w:t>
      </w:r>
    </w:p>
    <w:p>
      <w:pPr>
        <w:pStyle w:val="ListBullet"/>
      </w:pPr>
      <w:r>
        <w:t>Data stores — a SQLite ledger (ledger.db) for durable structured memory, and a companion vector table of receipt embeddings for semantic retrieval.</w:t>
      </w:r>
    </w:p>
    <w:p>
      <w:pPr>
        <w:pStyle w:val="Heading2"/>
      </w:pPr>
      <w:r>
        <w:t>Data flow</w:t>
      </w:r>
    </w:p>
    <w:p>
      <w:r>
        <w:t>A single receipt travels through the system as follows: the image is validated (type, size, non-empty) by the input guardrail; it is sent to the qwen2.5vl:7b vision model with the strict transcription prompt; the JSON response is coerced, cleaned, and reconciled by the post-processing chain; the result is schema-validated into a ReceiptData object; the disambiguation check produces any review reasons; the record is written to the SQLite ledger and simultaneously embedded and indexed into the vector store; and the whole call is traced to MLflow. From then on the receipt is available to the dashboard, to SQL queries, and to semantic search.</w:t>
      </w:r>
    </w:p>
    <w:p>
      <w:pPr>
        <w:pStyle w:val="Heading2"/>
      </w:pPr>
      <w:r>
        <w:t>The agent layer</w:t>
      </w:r>
    </w:p>
    <w:p>
      <w:r>
        <w:t>Questions from the user are handled by a ReAct agent that plans in a Thought → Action → Observation loop. It has two tools: sql_ledger, which turns a natural-language question into a read-only SQL SELECT and runs it against the ledger; and search_receipts, which performs cosine-similarity vector search over the embedded receipt documents and answers grounded in what it retrieves. The agent decides which tool fits each question, can call them more than once, and cites its sources. A lightweight scope resolver decides whether a question is about one specific receipt (“who is the vendor?” defaults to the latest upload) or the whole ledger (“how much did I spend?”), and follow-up questions can re-target which receipt is in focus.</w:t>
      </w:r>
    </w:p>
    <w:p>
      <w:pPr>
        <w:pStyle w:val="Heading2"/>
      </w:pPr>
      <w:r>
        <w:t>Retrieval-augmented generation</w:t>
      </w:r>
    </w:p>
    <w:p>
      <w:r>
        <w:t>Each stored receipt is composed into a short text document (vendor, date, items, totals) and embedded with the nomic-embed-text model, which is asymmetric — documents and queries are embedded with different prefixes for better retrieval. Search embeds the query, ranks stored documents by cosine similarity, and passes the top matches to the language model as grounding context. If the embedding model is not available, the system degrades gracefully to keyword search so the demo still works.</w:t>
      </w:r>
    </w:p>
    <w:p>
      <w:pPr>
        <w:pStyle w:val="Heading2"/>
      </w:pPr>
      <w:r>
        <w:t>Model choices</w:t>
      </w:r>
    </w:p>
    <w:p>
      <w:r>
        <w:t>Three local models divide the work by strength: qwen2.5vl:7b, a vision model tuned for document and invoice extraction, reads the images; qwen2.5 (7B) handles the reasoning-heavy agent work — tool routing, SQL generation, and summarizing numbers into an answer; and nomic-embed-text (~275 MB) provides fast local embeddings for retrieval. Running everything through Ollama keeps the entire stack local and free.</w:t>
      </w:r>
    </w:p>
    <w:p>
      <w:pPr>
        <w:pStyle w:val="Heading2"/>
      </w:pPr>
      <w:r>
        <w:t>Module coverage</w:t>
      </w:r>
    </w:p>
    <w:p>
      <w:r>
        <w:t>The application implements all thirteen modules from the course checklist. The table below maps each module to where it lives in the code.</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Where it lives</w:t>
            </w:r>
          </w:p>
        </w:tc>
      </w:tr>
      <w:tr>
        <w:tc>
          <w:tcPr>
            <w:tcW w:type="dxa" w:w="4320"/>
          </w:tcPr>
          <w:p>
            <w:r>
              <w:t>Prompt Engineering</w:t>
            </w:r>
          </w:p>
        </w:tc>
        <w:tc>
          <w:tcPr>
            <w:tcW w:type="dxa" w:w="4320"/>
          </w:tcPr>
          <w:p>
            <w:r>
              <w:t>EXTRACTION_PROMPT (strict transcription); few-shot SQL, RAG, and ReAct prompts</w:t>
            </w:r>
          </w:p>
        </w:tc>
      </w:tr>
      <w:tr>
        <w:tc>
          <w:tcPr>
            <w:tcW w:type="dxa" w:w="4320"/>
          </w:tcPr>
          <w:p>
            <w:r>
              <w:t>Structured Outputs</w:t>
            </w:r>
          </w:p>
        </w:tc>
        <w:tc>
          <w:tcPr>
            <w:tcW w:type="dxa" w:w="4320"/>
          </w:tcPr>
          <w:p>
            <w:r>
              <w:t>ReceiptData / LineItem Pydantic schema; format=json</w:t>
            </w:r>
          </w:p>
        </w:tc>
      </w:tr>
      <w:tr>
        <w:tc>
          <w:tcPr>
            <w:tcW w:type="dxa" w:w="4320"/>
          </w:tcPr>
          <w:p>
            <w:r>
              <w:t>Disambiguation</w:t>
            </w:r>
          </w:p>
        </w:tc>
        <w:tc>
          <w:tcPr>
            <w:tcW w:type="dxa" w:w="4320"/>
          </w:tcPr>
          <w:p>
            <w:r>
              <w:t>needs_disambiguation() flags incomplete/inconsistent records for review</w:t>
            </w:r>
          </w:p>
        </w:tc>
      </w:tr>
      <w:tr>
        <w:tc>
          <w:tcPr>
            <w:tcW w:type="dxa" w:w="4320"/>
          </w:tcPr>
          <w:p>
            <w:r>
              <w:t>RAG</w:t>
            </w:r>
          </w:p>
        </w:tc>
        <w:tc>
          <w:tcPr>
            <w:tcW w:type="dxa" w:w="4320"/>
          </w:tcPr>
          <w:p>
            <w:r>
              <w:t>semantic_search() / rag_answer() over nomic-embed-text vector store</w:t>
            </w:r>
          </w:p>
        </w:tc>
      </w:tr>
      <w:tr>
        <w:tc>
          <w:tcPr>
            <w:tcW w:type="dxa" w:w="4320"/>
          </w:tcPr>
          <w:p>
            <w:r>
              <w:t>Memory</w:t>
            </w:r>
          </w:p>
        </w:tc>
        <w:tc>
          <w:tcPr>
            <w:tcW w:type="dxa" w:w="4320"/>
          </w:tcPr>
          <w:p>
            <w:r>
              <w:t>save_receipt() / list_receipts() — persistent SQLite ledger across sessions</w:t>
            </w:r>
          </w:p>
        </w:tc>
      </w:tr>
      <w:tr>
        <w:tc>
          <w:tcPr>
            <w:tcW w:type="dxa" w:w="4320"/>
          </w:tcPr>
          <w:p>
            <w:r>
              <w:t>Guardrails</w:t>
            </w:r>
          </w:p>
        </w:tc>
        <w:tc>
          <w:tcPr>
            <w:tcW w:type="dxa" w:w="4320"/>
          </w:tcPr>
          <w:p>
            <w:r>
              <w:t>validate_input() + validate_output() + read-only SQL filter + receipt scope</w:t>
            </w:r>
          </w:p>
        </w:tc>
      </w:tr>
      <w:tr>
        <w:tc>
          <w:tcPr>
            <w:tcW w:type="dxa" w:w="4320"/>
          </w:tcPr>
          <w:p>
            <w:r>
              <w:t>ReAct Agent</w:t>
            </w:r>
          </w:p>
        </w:tc>
        <w:tc>
          <w:tcPr>
            <w:tcW w:type="dxa" w:w="4320"/>
          </w:tcPr>
          <w:p>
            <w:r>
              <w:t>agent_stream() — Thought/Action/Observation loop over two tools</w:t>
            </w:r>
          </w:p>
        </w:tc>
      </w:tr>
      <w:tr>
        <w:tc>
          <w:tcPr>
            <w:tcW w:type="dxa" w:w="4320"/>
          </w:tcPr>
          <w:p>
            <w:r>
              <w:t>SQL Agent</w:t>
            </w:r>
          </w:p>
        </w:tc>
        <w:tc>
          <w:tcPr>
            <w:tcW w:type="dxa" w:w="4320"/>
          </w:tcPr>
          <w:p>
            <w:r>
              <w:t>ask_ledger() — NL question to generated read-only SELECT to answer</w:t>
            </w:r>
          </w:p>
        </w:tc>
      </w:tr>
      <w:tr>
        <w:tc>
          <w:tcPr>
            <w:tcW w:type="dxa" w:w="4320"/>
          </w:tcPr>
          <w:p>
            <w:r>
              <w:t>Tool Use</w:t>
            </w:r>
          </w:p>
        </w:tc>
        <w:tc>
          <w:tcPr>
            <w:tcW w:type="dxa" w:w="4320"/>
          </w:tcPr>
          <w:p>
            <w:r>
              <w:t>sql_ledger + search_receipts tools, plus the vision model as an OCR tool</w:t>
            </w:r>
          </w:p>
        </w:tc>
      </w:tr>
      <w:tr>
        <w:tc>
          <w:tcPr>
            <w:tcW w:type="dxa" w:w="4320"/>
          </w:tcPr>
          <w:p>
            <w:r>
              <w:t>Chat UI</w:t>
            </w:r>
          </w:p>
        </w:tc>
        <w:tc>
          <w:tcPr>
            <w:tcW w:type="dxa" w:w="4320"/>
          </w:tcPr>
          <w:p>
            <w:r>
              <w:t>“Ask your receipts” streaming panel (Streamlit) and the Next.js frontend</w:t>
            </w:r>
          </w:p>
        </w:tc>
      </w:tr>
      <w:tr>
        <w:tc>
          <w:tcPr>
            <w:tcW w:type="dxa" w:w="4320"/>
          </w:tcPr>
          <w:p>
            <w:r>
              <w:t>API Endpoint</w:t>
            </w:r>
          </w:p>
        </w:tc>
        <w:tc>
          <w:tcPr>
            <w:tcW w:type="dxa" w:w="4320"/>
          </w:tcPr>
          <w:p>
            <w:r>
              <w:t>api.py — /extract, /receipts, /ask, /search, /agent, /agent/stream</w:t>
            </w:r>
          </w:p>
        </w:tc>
      </w:tr>
      <w:tr>
        <w:tc>
          <w:tcPr>
            <w:tcW w:type="dxa" w:w="4320"/>
          </w:tcPr>
          <w:p>
            <w:r>
              <w:t>LLMOps Monitoring</w:t>
            </w:r>
          </w:p>
        </w:tc>
        <w:tc>
          <w:tcPr>
            <w:tcW w:type="dxa" w:w="4320"/>
          </w:tcPr>
          <w:p>
            <w:r>
              <w:t>every model call wrapped in an MLflow run (latency, tokens, errors)</w:t>
            </w:r>
          </w:p>
        </w:tc>
      </w:tr>
      <w:tr>
        <w:tc>
          <w:tcPr>
            <w:tcW w:type="dxa" w:w="4320"/>
          </w:tcPr>
          <w:p>
            <w:r>
              <w:t>Dockerization</w:t>
            </w:r>
          </w:p>
        </w:tc>
        <w:tc>
          <w:tcPr>
            <w:tcW w:type="dxa" w:w="4320"/>
          </w:tcPr>
          <w:p>
            <w:r>
              <w:t>Dockerfile + docker-compose.yml (UI, API, Ollama, MLflow)</w:t>
            </w:r>
          </w:p>
        </w:tc>
      </w:tr>
    </w:tbl>
    <w:p/>
    <w:p>
      <w:pPr>
        <w:pStyle w:val="Heading2"/>
      </w:pPr>
      <w:r>
        <w:t>Observability</w:t>
      </w:r>
    </w:p>
    <w:p>
      <w:r>
        <w:t>Every model-facing operation — extraction, the SQL agent, RAG, and the ReAct agent — is wrapped in an MLflow run. The system logs parameters (model name, the question or query, image size) and metrics (latency in seconds, prompt and completion token counts, number of items extracted, rows returned, sources retrieved, number of agent steps, tools used, and a binary error flag with an error message on failure). Because MLflow's active-run state is process-global and a streaming request can be abandoned mid-flight when a browser disconnects, the run helper is made self-healing: it clears any dangling run before starting a new one so later requests never fail with “run already active.” The MLflow UI then gives a single dashboard of throughput, latency distribution, token cost, and error rate across the whole application.</w:t>
      </w:r>
    </w:p>
    <w:p>
      <w:pPr>
        <w:pStyle w:val="Heading1"/>
      </w:pPr>
      <w:r>
        <w:t>4. Experiments &amp; Evaluation</w:t>
      </w:r>
    </w:p>
    <w:p>
      <w:r>
        <w:t>Most of the engineering effort went into experiments that are invisible in the final UI but decisive for correctness: choosing models, hardening the prompt, and building the deterministic safety net. The key findings are below.</w:t>
      </w:r>
    </w:p>
    <w:p>
      <w:pPr>
        <w:pStyle w:val="Heading2"/>
      </w:pPr>
      <w:r>
        <w:t>Vision-model selection</w:t>
      </w:r>
    </w:p>
    <w:p>
      <w:r>
        <w:t>Several vision models were trialled for the extraction task before settling on qwen2.5vl:7b. llama3.2-vision required a newer Ollama engine than was available and failed to load with “unknown architecture mllama.” qwen3-vl is a reasoning (“thinking”) model that burned its entire token budget on internal reasoning and returned empty output under the JSON grammar, making it unusable for constrained extraction. minicpm-v and llava read digits and layouts less accurately on real receipts. qwen2.5vl:7b, a vision model explicitly tuned for document and invoice extraction, read receipt figures most reliably and emitted the cleanest JSON, so it became the default. Extraction is run at temperature 0 for determinism, with the context window raised from Ollama's 4096-token default to 8192 because the long prompt plus a tokenized image regularly exceeded the default and truncated output.</w:t>
      </w:r>
    </w:p>
    <w:p>
      <w:pPr>
        <w:pStyle w:val="Heading2"/>
      </w:pPr>
      <w:r>
        <w:t>Agent-model selection</w:t>
      </w:r>
    </w:p>
    <w:p>
      <w:r>
        <w:t>The agent tier went through a similar iteration. The initial choice, llama3.2:3b, was fast but unreliable in the agent loop: it mis-routed between the SQL and search tools, fell into repeated reasoning loops, and garbled numeric amounts when summarizing query results. Upgrading to qwen2.5 (7B) resolved the routing and looping problems and produced correct numeric answers, at the cost of a modest increase in per-turn latency (part of the model runs on CPU on a 4 GB GPU). For a financial assistant, correctness clearly outweighed speed, so the 7B model became the default, with the smaller model left as a documented faster-but-weaker option.</w:t>
      </w:r>
    </w:p>
    <w:p>
      <w:pPr>
        <w:pStyle w:val="Heading2"/>
      </w:pPr>
      <w:r>
        <w:t>Prompt hardening against fabrication</w:t>
      </w:r>
    </w:p>
    <w:p>
      <w:r>
        <w:t>Early versions of the extractor produced plausible but wrong numbers: it would compute a tax figure as a percentage of the subtotal, add line items into a total the receipt did not print, or copy the cash tendered into the total field. Each of these failure modes was met with an explicit rule in the prompt and, where a rule alone was not enough, a deterministic post-processing correction. The clearest example is the Total / Cash / Change rotation on receipts that print only a subtotal and a cash payment: the model frequently permuted the three numbers, so a dedicated function re-derives the correct label for each already-read number using arithmetic identities, reassigning only figures that were genuinely on the receipt.</w:t>
      </w:r>
    </w:p>
    <w:p>
      <w:pPr>
        <w:pStyle w:val="Heading2"/>
      </w:pPr>
      <w:r>
        <w:t>Evaluation approach</w:t>
      </w:r>
    </w:p>
    <w:p>
      <w:r>
        <w:t>Because the extraction target is faithful transcription, the natural evaluation metric is field-level correctness against the printed receipt rather than a fuzzy similarity score. Receipts were checked field by field — vendor, date, each line item and amount, tax breakdown, and totals — and the reconciliation check (do the line items add up to the total?) doubles as an automatic, per-receipt correctness signal in production: a receipt that fails reconciliation is surfaced for review rather than trusted. The MLflow logs provide the quantitative complement: latency per call, token usage, the rate at which receipts need disambiguation, and the error rate, all trackable over time and across model choices. Together these give both a qualitative (field-accuracy) and a quantitative (latency / cost / error-rate) view of system quality.</w:t>
      </w:r>
    </w:p>
    <w:p>
      <w:pPr>
        <w:pStyle w:val="Heading1"/>
      </w:pPr>
      <w:r>
        <w:t>5. Retrospective</w:t>
      </w:r>
    </w:p>
    <w:p>
      <w:pPr>
        <w:pStyle w:val="Heading2"/>
      </w:pPr>
      <w:r>
        <w:t>What worked well</w:t>
      </w:r>
    </w:p>
    <w:p>
      <w:pPr>
        <w:pStyle w:val="ListBullet"/>
      </w:pPr>
      <w:r>
        <w:t>Treating the model as a reader, not a calculator. Pushing every computable or checkable step into deterministic code — reconciliation, payment re-derivation, categorization fallback — made the system dramatically more trustworthy than prompt engineering alone could.</w:t>
      </w:r>
    </w:p>
    <w:p>
      <w:pPr>
        <w:pStyle w:val="ListBullet"/>
      </w:pPr>
      <w:r>
        <w:t>Structured outputs as a contract. Validating against a Pydantic schema turned a whole class of model misbehavior into a clean, catchable guardrail error instead of a corrupt ledger row.</w:t>
      </w:r>
    </w:p>
    <w:p>
      <w:pPr>
        <w:pStyle w:val="ListBullet"/>
      </w:pPr>
      <w:r>
        <w:t>A single core module. Concentrating all domain logic in core.py meant the Streamlit UI, the Next.js frontend, and the REST API are thin clients over exactly the same, tested behavior.</w:t>
      </w:r>
    </w:p>
    <w:p>
      <w:pPr>
        <w:pStyle w:val="ListBullet"/>
      </w:pPr>
      <w:r>
        <w:t>End-to-end MLflow tracing. Having latency, token, and error metrics on every call made the model comparisons above evidence-based rather than anecdotal.</w:t>
      </w:r>
    </w:p>
    <w:p>
      <w:pPr>
        <w:pStyle w:val="Heading2"/>
      </w:pPr>
      <w:r>
        <w:t>Challenges</w:t>
      </w:r>
    </w:p>
    <w:p>
      <w:pPr>
        <w:pStyle w:val="ListBullet"/>
      </w:pPr>
      <w:r>
        <w:t>Model availability and compatibility. Several capable vision models were blocked by Ollama engine versions or by “thinking” behavior that broke constrained JSON output, which forced a real trial-and-error selection process.</w:t>
      </w:r>
    </w:p>
    <w:p>
      <w:pPr>
        <w:pStyle w:val="ListBullet"/>
      </w:pPr>
      <w:r>
        <w:t>Hardware limits. Running a 7B agent model on a 4 GB GPU pushes part of the computation onto the CPU, so latency was a constant trade-off against answer quality.</w:t>
      </w:r>
    </w:p>
    <w:p>
      <w:pPr>
        <w:pStyle w:val="ListBullet"/>
      </w:pPr>
      <w:r>
        <w:t>Process-global MLflow state under streaming. Abandoned streaming requests left runs dangling and broke later calls until the run helper was made self-healing.</w:t>
      </w:r>
    </w:p>
    <w:p>
      <w:pPr>
        <w:pStyle w:val="ListBullet"/>
      </w:pPr>
      <w:r>
        <w:t>The long tail of receipt layouts. Every new receipt style surfaced a fresh edge case (tax tables, quantity notations, missing totals), which is why the post-processing layer grew as much as it did.</w:t>
      </w:r>
    </w:p>
    <w:p>
      <w:pPr>
        <w:pStyle w:val="Heading2"/>
      </w:pPr>
      <w:r>
        <w:t>Future work</w:t>
      </w:r>
    </w:p>
    <w:p>
      <w:pPr>
        <w:pStyle w:val="ListBullet"/>
      </w:pPr>
      <w:r>
        <w:t>A quantitative accuracy benchmark: a labelled set of receipts scored automatically for field-level precision and recall, to track regressions as models change.</w:t>
      </w:r>
    </w:p>
    <w:p>
      <w:pPr>
        <w:pStyle w:val="ListBullet"/>
      </w:pPr>
      <w:r>
        <w:t>Confidence scores per field, so the UI can highlight low-confidence values for review rather than relying only on reconciliation.</w:t>
      </w:r>
    </w:p>
    <w:p>
      <w:pPr>
        <w:pStyle w:val="ListBullet"/>
      </w:pPr>
      <w:r>
        <w:t>Multi-user accounts and authentication, so the ledger and API can be shared safely.</w:t>
      </w:r>
    </w:p>
    <w:p>
      <w:pPr>
        <w:pStyle w:val="ListBullet"/>
      </w:pPr>
      <w:r>
        <w:t>Fine-tuning or few-shot expansion for regional receipt formats to reduce the size of the deterministic correction layer.</w:t>
      </w:r>
    </w:p>
    <w:p>
      <w:pPr>
        <w:pStyle w:val="Heading2"/>
      </w:pPr>
      <w:r>
        <w:t>Conclusion</w:t>
      </w:r>
    </w:p>
    <w:p>
      <w:r>
        <w:t>STAI_OCR meets the brief as a working, end-to-end agentic AI application: it reads receipts with a vision model, enforces typed structured outputs, guards its inputs and outputs, remembers everything in a persistent ledger, answers questions with a tool-using ReAct agent backed by both SQL and RAG, is reachable through a web UI and a REST API, is observable through MLflow, and ships in a container. Just as importantly, it takes the one stance that matters most for a financial tool — it would rather leave a field blank and ask for help than confidently record a wrong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