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B2353E" w14:textId="77777777" w:rsidR="00E97402" w:rsidRDefault="00E97402">
      <w:pPr>
        <w:pStyle w:val="Text"/>
        <w:ind w:firstLine="0"/>
        <w:rPr>
          <w:sz w:val="18"/>
          <w:szCs w:val="18"/>
        </w:rPr>
      </w:pPr>
      <w:r>
        <w:rPr>
          <w:sz w:val="18"/>
          <w:szCs w:val="18"/>
        </w:rPr>
        <w:footnoteReference w:customMarkFollows="1" w:id="1"/>
        <w:sym w:font="Symbol" w:char="F020"/>
      </w:r>
    </w:p>
    <w:p w14:paraId="1BDA10DD" w14:textId="77777777" w:rsidR="00304CAE" w:rsidRDefault="00304CAE">
      <w:pPr>
        <w:pStyle w:val="Authors"/>
        <w:framePr w:wrap="notBeside"/>
        <w:rPr>
          <w:b/>
          <w:bCs/>
          <w:kern w:val="28"/>
          <w:sz w:val="48"/>
          <w:szCs w:val="48"/>
        </w:rPr>
      </w:pPr>
      <w:r w:rsidRPr="00304CAE">
        <w:rPr>
          <w:b/>
          <w:bCs/>
          <w:kern w:val="28"/>
          <w:sz w:val="48"/>
          <w:szCs w:val="48"/>
        </w:rPr>
        <w:t>CUDA-Accelerated Genetic Algorithms for the Traveling Salesman Problem</w:t>
      </w:r>
    </w:p>
    <w:p w14:paraId="6D423EAB" w14:textId="4A6DC917" w:rsidR="00E97402" w:rsidRDefault="00304CAE">
      <w:pPr>
        <w:pStyle w:val="Authors"/>
        <w:framePr w:wrap="notBeside"/>
      </w:pPr>
      <w:r>
        <w:t>Christopher S Rumsey</w:t>
      </w:r>
      <w:r w:rsidR="00392DBA">
        <w:t xml:space="preserve">, </w:t>
      </w:r>
      <w:r>
        <w:t>Joel Maldonado</w:t>
      </w:r>
    </w:p>
    <w:p w14:paraId="241AAD63" w14:textId="2CE2B695" w:rsidR="00E97402" w:rsidRDefault="00E97402" w:rsidP="00C210E1">
      <w:pPr>
        <w:pStyle w:val="Abstract"/>
      </w:pPr>
      <w:r>
        <w:rPr>
          <w:i/>
          <w:iCs/>
        </w:rPr>
        <w:t>Abstract</w:t>
      </w:r>
      <w:r>
        <w:t>—</w:t>
      </w:r>
      <w:r w:rsidR="00C210E1" w:rsidRPr="00C210E1">
        <w:t>This project investigates CUDA-accelerated genetic algorithms for approximating solutions to the Traveling Salesman Problem using TSPLIB benchmark instances. A CPU sequential version was tested as a baseline for validating correctness and comparing performance against GPU implementations. The CUDA work explores progressively more parallel genetic algorithm designs, including GPU-based fitness evaluation and population-level evolution. The project emphasizes both solution quality and architectural performance, examining bottlenecks such as host-device transfer overhead, memory access patterns, warp efficiency, and population parallelism. By moving computationally intensive genetic algorithm operations onto the GPU, the implementation aims to exploit CUDA’s massive parallelism for faster heuristic search on NP-hard combinatorial problems. The resulting system provides a practical framework for evaluating the tradeoffs between runtime, tour quality, and GPU optimization strategies in Traveling Salesman Problem solvers.</w:t>
      </w:r>
    </w:p>
    <w:p w14:paraId="2E7A7BD8" w14:textId="2CB98554" w:rsidR="00E97402" w:rsidRDefault="00E97402">
      <w:pPr>
        <w:pStyle w:val="IndexTerms"/>
      </w:pPr>
      <w:bookmarkStart w:id="0" w:name="PointTmp"/>
      <w:r>
        <w:rPr>
          <w:i/>
          <w:iCs/>
        </w:rPr>
        <w:t>Index Terms</w:t>
      </w:r>
      <w:r>
        <w:t>—</w:t>
      </w:r>
      <w:r w:rsidR="00C210E1" w:rsidRPr="00C210E1">
        <w:t>CUDA, fitness evaluation, genetic algorithm, GPU acceleration, host-device transfer, memory access patterns, population parallelism, TSPLIB, Traveling Salesman Problem, warp efficiency</w:t>
      </w:r>
    </w:p>
    <w:p w14:paraId="2BEDCEE2" w14:textId="77777777" w:rsidR="00E97402" w:rsidRDefault="00E97402"/>
    <w:bookmarkEnd w:id="0"/>
    <w:p w14:paraId="5D267D88" w14:textId="77777777" w:rsidR="00E97402" w:rsidRDefault="00E97402">
      <w:pPr>
        <w:pStyle w:val="Heading1"/>
      </w:pPr>
      <w:r>
        <w:t>I</w:t>
      </w:r>
      <w:r>
        <w:rPr>
          <w:sz w:val="16"/>
          <w:szCs w:val="16"/>
        </w:rPr>
        <w:t>NTRODUCTION</w:t>
      </w:r>
    </w:p>
    <w:p w14:paraId="28AAA48C" w14:textId="77777777" w:rsidR="00E97402" w:rsidRDefault="00E97402">
      <w:pPr>
        <w:pStyle w:val="Text"/>
        <w:keepNext/>
        <w:framePr w:dropCap="drop" w:lines="2" w:wrap="auto" w:vAnchor="text" w:hAnchor="text"/>
        <w:spacing w:line="480" w:lineRule="exact"/>
        <w:ind w:firstLine="0"/>
        <w:rPr>
          <w:smallCaps/>
          <w:position w:val="-3"/>
          <w:sz w:val="56"/>
          <w:szCs w:val="56"/>
        </w:rPr>
      </w:pPr>
      <w:r>
        <w:rPr>
          <w:position w:val="-3"/>
          <w:sz w:val="56"/>
          <w:szCs w:val="56"/>
        </w:rPr>
        <w:t>T</w:t>
      </w:r>
    </w:p>
    <w:p w14:paraId="3577560B" w14:textId="77777777" w:rsidR="00782D9E" w:rsidRDefault="00E97402" w:rsidP="00DA5B8A">
      <w:pPr>
        <w:pStyle w:val="Text"/>
        <w:ind w:firstLine="0"/>
      </w:pPr>
      <w:r w:rsidRPr="00963944">
        <w:rPr>
          <w:smallCaps/>
          <w:highlight w:val="yellow"/>
        </w:rPr>
        <w:t>HIS</w:t>
      </w:r>
      <w:r w:rsidRPr="00963944">
        <w:rPr>
          <w:highlight w:val="yellow"/>
        </w:rPr>
        <w:t xml:space="preserve"> document is a template for </w:t>
      </w:r>
      <w:r w:rsidR="00782D9E" w:rsidRPr="00963944">
        <w:rPr>
          <w:highlight w:val="yellow"/>
        </w:rPr>
        <w:t xml:space="preserve">the ece569 project report. </w:t>
      </w:r>
      <w:r w:rsidRPr="00963944">
        <w:rPr>
          <w:highlight w:val="yellow"/>
        </w:rPr>
        <w:t xml:space="preserve">If you would prefer to use </w:t>
      </w:r>
      <w:r w:rsidR="003D1EBF" w:rsidRPr="00963944">
        <w:rPr>
          <w:highlight w:val="yellow"/>
        </w:rPr>
        <w:t>LaTeX</w:t>
      </w:r>
      <w:r w:rsidRPr="00963944">
        <w:rPr>
          <w:highlight w:val="yellow"/>
        </w:rPr>
        <w:t xml:space="preserve">, download IEEE’s </w:t>
      </w:r>
      <w:r w:rsidR="003D1EBF" w:rsidRPr="00963944">
        <w:rPr>
          <w:highlight w:val="yellow"/>
        </w:rPr>
        <w:t>LaTeX</w:t>
      </w:r>
      <w:r w:rsidRPr="00963944">
        <w:rPr>
          <w:highlight w:val="yellow"/>
        </w:rPr>
        <w:t xml:space="preserve"> style and sample files from </w:t>
      </w:r>
      <w:hyperlink r:id="rId8" w:history="1">
        <w:r w:rsidR="00782D9E" w:rsidRPr="00963944">
          <w:rPr>
            <w:rStyle w:val="Hyperlink"/>
            <w:highlight w:val="yellow"/>
          </w:rPr>
          <w:t>https://www.ieee.org/publications_standards/publications/authors/author_templates.html</w:t>
        </w:r>
      </w:hyperlink>
      <w:r w:rsidR="00782D9E" w:rsidRPr="00963944">
        <w:rPr>
          <w:highlight w:val="yellow"/>
        </w:rPr>
        <w:t>.</w:t>
      </w:r>
      <w:r w:rsidR="00DA5B8A" w:rsidRPr="00963944">
        <w:rPr>
          <w:highlight w:val="yellow"/>
        </w:rPr>
        <w:t xml:space="preserve"> </w:t>
      </w:r>
      <w:r w:rsidR="00782D9E" w:rsidRPr="00963944">
        <w:rPr>
          <w:highlight w:val="yellow"/>
        </w:rPr>
        <w:t>The projects will be graded in the same way that I referee papers -- by what you discover in doing the project, how coherently you present your results, how well you put your work in perspective with other research. The final report should follow the same outline you would follow for a conference paper, and they should be 6 pages in length plus references. (Remember: it’s easy to write a lot of text. It’s hard to write concise.) Your report should contain the following sections. There may be variations depending on what needs to be reported:</w:t>
      </w:r>
    </w:p>
    <w:p w14:paraId="3E2CACE7" w14:textId="77777777" w:rsidR="00782D9E" w:rsidRDefault="00782D9E" w:rsidP="00782D9E">
      <w:pPr>
        <w:pStyle w:val="Text"/>
      </w:pPr>
      <w:r>
        <w:t>•</w:t>
      </w:r>
      <w:r>
        <w:tab/>
      </w:r>
      <w:r w:rsidRPr="00963944">
        <w:rPr>
          <w:b/>
          <w:highlight w:val="yellow"/>
        </w:rPr>
        <w:t>Abstract</w:t>
      </w:r>
      <w:r>
        <w:t xml:space="preserve"> (150 words max): problem statement, motivation, proposed approach, results and impact</w:t>
      </w:r>
    </w:p>
    <w:p w14:paraId="52F1E9A4" w14:textId="77777777" w:rsidR="00782D9E" w:rsidRDefault="00782D9E" w:rsidP="00782D9E">
      <w:pPr>
        <w:pStyle w:val="Text"/>
      </w:pPr>
      <w:r>
        <w:t>•</w:t>
      </w:r>
      <w:r>
        <w:tab/>
      </w:r>
      <w:r w:rsidRPr="00963944">
        <w:rPr>
          <w:b/>
          <w:highlight w:val="yellow"/>
        </w:rPr>
        <w:t>Introduction:</w:t>
      </w:r>
      <w:r>
        <w:t xml:space="preserve"> This section should motivate the reader to read rest of the paper (Why should I read this paper?) Introduction section includes the motivation and problem statement, limitation(s) of the state of the art, proposed solution (method), in what capacity the proposed approach solves the problem (quantify, most important results ),  background information and a longer summary of what you did and results you got. You should briefly mention how you technique differs from previous work in this section</w:t>
      </w:r>
    </w:p>
    <w:p w14:paraId="259D1C9C" w14:textId="77777777" w:rsidR="00782D9E" w:rsidRDefault="00782D9E" w:rsidP="00782D9E">
      <w:pPr>
        <w:pStyle w:val="Text"/>
      </w:pPr>
      <w:r>
        <w:t>•</w:t>
      </w:r>
      <w:r>
        <w:tab/>
      </w:r>
      <w:r w:rsidRPr="00963944">
        <w:rPr>
          <w:b/>
          <w:highlight w:val="yellow"/>
        </w:rPr>
        <w:t>Related work:</w:t>
      </w:r>
      <w:r>
        <w:t xml:space="preserve"> It is your responsibility to find and report any related work. Provide summaries of previous work related to your optimization including references to the papers (include cross-reference to paper listed in your references section). In this section you should clearly distinguish your work from previous work, giving details on how your work is different and how your work improves and/or extends previous methods. Be careful not to trash anyone else’s work in this section. For one, it is tacky and two, the authors you are trashing are likely reviewing your paper</w:t>
      </w:r>
      <w:r w:rsidR="00963944">
        <w:t>. In 569, it is me : )</w:t>
      </w:r>
    </w:p>
    <w:p w14:paraId="175F52F5" w14:textId="77777777" w:rsidR="00782D9E" w:rsidRDefault="00782D9E" w:rsidP="00782D9E">
      <w:pPr>
        <w:pStyle w:val="Text"/>
      </w:pPr>
      <w:r>
        <w:t>•</w:t>
      </w:r>
      <w:r>
        <w:tab/>
      </w:r>
      <w:r w:rsidRPr="00963944">
        <w:rPr>
          <w:b/>
          <w:highlight w:val="yellow"/>
        </w:rPr>
        <w:t>Methodology:</w:t>
      </w:r>
      <w:r>
        <w:t xml:space="preserve"> </w:t>
      </w:r>
      <w:r w:rsidR="00963944">
        <w:t xml:space="preserve">Details of your implementation approach, highlighting key technical contributions that will be quantified experimentally during your evaluations.  </w:t>
      </w:r>
      <w:r>
        <w:t>If you are proposing a new mechanism describe it.</w:t>
      </w:r>
      <w:r w:rsidR="00963944">
        <w:t xml:space="preserve"> Discuss how your approach is different from published studies when applicable. </w:t>
      </w:r>
    </w:p>
    <w:p w14:paraId="3EFE4304" w14:textId="77777777" w:rsidR="00782D9E" w:rsidRDefault="00782D9E" w:rsidP="00782D9E">
      <w:pPr>
        <w:pStyle w:val="Text"/>
      </w:pPr>
      <w:r>
        <w:t>•</w:t>
      </w:r>
      <w:r>
        <w:tab/>
      </w:r>
      <w:r w:rsidRPr="00963944">
        <w:rPr>
          <w:b/>
          <w:highlight w:val="yellow"/>
        </w:rPr>
        <w:t>Evaluation and Validation:</w:t>
      </w:r>
      <w:r>
        <w:t xml:space="preserve"> description of the experimental testbed, performance metrics (WHY are you using them), data collection strategy, nature of benchmarks, machine configuration and any other relevant parameters. You should discuss your validation approach. This section should be detailed enough for anyone to replicate your experimental set up and repeat your experiments.  </w:t>
      </w:r>
    </w:p>
    <w:p w14:paraId="3B5DCB44" w14:textId="77777777" w:rsidR="00782D9E" w:rsidRDefault="00782D9E" w:rsidP="00782D9E">
      <w:pPr>
        <w:pStyle w:val="Text"/>
      </w:pPr>
      <w:r>
        <w:t>•</w:t>
      </w:r>
      <w:r>
        <w:tab/>
        <w:t>Experimental results and analysis: Each figure should be self-explanatory with x,y coordinates, metrics, parameters, variables, constraints. Each figure, table, chart should be followed by analysis and significance of the results.  Just showing some charts and reciting numbers does not provide any insights on what you have learned from these results. Provide an in</w:t>
      </w:r>
      <w:r w:rsidR="00963944">
        <w:t xml:space="preserve"> </w:t>
      </w:r>
      <w:r>
        <w:t xml:space="preserve">depth analysis on what the results mean and trends that are revealed. This is the most </w:t>
      </w:r>
      <w:r w:rsidR="00963944">
        <w:t>important</w:t>
      </w:r>
      <w:r>
        <w:t xml:space="preserve"> section of the paper!</w:t>
      </w:r>
    </w:p>
    <w:p w14:paraId="184BCF3D" w14:textId="77777777" w:rsidR="00782D9E" w:rsidRDefault="00782D9E" w:rsidP="00782D9E">
      <w:pPr>
        <w:pStyle w:val="Text"/>
      </w:pPr>
      <w:r>
        <w:t>•</w:t>
      </w:r>
      <w:r>
        <w:tab/>
      </w:r>
      <w:r w:rsidRPr="00963944">
        <w:rPr>
          <w:b/>
          <w:highlight w:val="yellow"/>
        </w:rPr>
        <w:t>Conclusion</w:t>
      </w:r>
      <w:r>
        <w:t xml:space="preserve"> (200 words max): restate impact of the study, discuss any addition work that could improve the project</w:t>
      </w:r>
    </w:p>
    <w:p w14:paraId="2F5A2157" w14:textId="77777777" w:rsidR="00782D9E" w:rsidRDefault="00782D9E" w:rsidP="00782D9E">
      <w:pPr>
        <w:pStyle w:val="Text"/>
      </w:pPr>
      <w:r>
        <w:t>•</w:t>
      </w:r>
      <w:r>
        <w:tab/>
      </w:r>
      <w:r w:rsidRPr="00963944">
        <w:rPr>
          <w:b/>
          <w:highlight w:val="yellow"/>
        </w:rPr>
        <w:t>References</w:t>
      </w:r>
      <w:r w:rsidRPr="00963944">
        <w:rPr>
          <w:highlight w:val="yellow"/>
        </w:rPr>
        <w:t>:</w:t>
      </w:r>
      <w:r>
        <w:t xml:space="preserve"> List of papers cited throughout your paper.</w:t>
      </w:r>
    </w:p>
    <w:p w14:paraId="2FBDD9B4" w14:textId="4FF01F4A" w:rsidR="008A3C23" w:rsidRDefault="00B62954" w:rsidP="001F4C5C">
      <w:pPr>
        <w:pStyle w:val="Heading1"/>
      </w:pPr>
      <w:r>
        <w:lastRenderedPageBreak/>
        <w:t>Related Work</w:t>
      </w:r>
    </w:p>
    <w:p w14:paraId="36C26809" w14:textId="77777777" w:rsidR="00922085" w:rsidRPr="00922085" w:rsidRDefault="00922085" w:rsidP="00922085">
      <w:pPr>
        <w:pStyle w:val="Heading2"/>
        <w:numPr>
          <w:ilvl w:val="0"/>
          <w:numId w:val="0"/>
        </w:numPr>
        <w:rPr>
          <w:i w:val="0"/>
          <w:iCs w:val="0"/>
        </w:rPr>
      </w:pPr>
      <w:r w:rsidRPr="00922085">
        <w:rPr>
          <w:i w:val="0"/>
          <w:iCs w:val="0"/>
        </w:rPr>
        <w:t>Recent work on GPU-accelerated solutions for the Traveling Salesman Problem shows that parallelism can significantly reduce execution time when the algorithm exposes many independent operations. Chen et al. implemented a CUDA-based genetic algorithm in which chromosomes were mapped to GPU threads, allowing initialization, mutation, selection, and portions of crossover to be performed in parallel [1]. Their work found that even a genetic algorithm with frequent interactions between individuals could benefit from CUDA execution, although the speedup was limited because their implementation used only one CUDA block, which prevented full utilization of the GPU. BinJubier et al. extended this direction with a coarse-grained parallel genetic algorithm, dividing the population into subpopulations processed concurrently on the GPU [2]. Their results on TSPLIB instances showed substantial runtime improvements over a sequential genetic algorithm, with speedups reaching approximately 75.81x depending on the dataset, population size, and hardware configuration.</w:t>
      </w:r>
    </w:p>
    <w:p w14:paraId="5B1DE741" w14:textId="77777777" w:rsidR="00922085" w:rsidRPr="00922085" w:rsidRDefault="00922085" w:rsidP="00922085">
      <w:pPr>
        <w:pStyle w:val="Heading2"/>
        <w:numPr>
          <w:ilvl w:val="0"/>
          <w:numId w:val="0"/>
        </w:numPr>
        <w:rPr>
          <w:i w:val="0"/>
          <w:iCs w:val="0"/>
        </w:rPr>
      </w:pPr>
    </w:p>
    <w:p w14:paraId="253D8C1F" w14:textId="77777777" w:rsidR="00922085" w:rsidRPr="00922085" w:rsidRDefault="00922085" w:rsidP="00922085">
      <w:pPr>
        <w:pStyle w:val="Heading2"/>
        <w:numPr>
          <w:ilvl w:val="0"/>
          <w:numId w:val="0"/>
        </w:numPr>
        <w:rPr>
          <w:i w:val="0"/>
          <w:iCs w:val="0"/>
        </w:rPr>
      </w:pPr>
      <w:r w:rsidRPr="00922085">
        <w:rPr>
          <w:i w:val="0"/>
          <w:iCs w:val="0"/>
        </w:rPr>
        <w:t>The main optimization strategies across the genetic algorithm papers are population-level parallelism, careful management of genetic operators, and GPU-aware memory decisions. Chen et al. used per-thread random seeds, avoided storing a large distance table by computing Euclidean distances from coordinates, and used 2-opt as a mutation operator to improve convergence [1]. BinJubier et al. focused on a coarse-grained design with parallel fitness evaluation, reduction-based best-solution selection, and CUDA block-size tuning, showing that GPU configuration can strongly affect runtime [2]. Together, these papers suggest that a GPU implementation should not simply port CPU code directly, but should restructure the algorithm around independent work units such as chromosomes, fitness calculations, and candidate tour modifications.</w:t>
      </w:r>
    </w:p>
    <w:p w14:paraId="45353D21" w14:textId="77777777" w:rsidR="00922085" w:rsidRPr="00922085" w:rsidRDefault="00922085" w:rsidP="00922085">
      <w:pPr>
        <w:pStyle w:val="Heading2"/>
        <w:numPr>
          <w:ilvl w:val="0"/>
          <w:numId w:val="0"/>
        </w:numPr>
        <w:rPr>
          <w:i w:val="0"/>
          <w:iCs w:val="0"/>
        </w:rPr>
      </w:pPr>
    </w:p>
    <w:p w14:paraId="225AB2B6" w14:textId="2676F9D9" w:rsidR="00E97B99" w:rsidRDefault="00922085" w:rsidP="00922085">
      <w:pPr>
        <w:pStyle w:val="Heading2"/>
        <w:numPr>
          <w:ilvl w:val="0"/>
          <w:numId w:val="0"/>
        </w:numPr>
      </w:pPr>
      <w:r w:rsidRPr="00922085">
        <w:rPr>
          <w:i w:val="0"/>
          <w:iCs w:val="0"/>
        </w:rPr>
        <w:t xml:space="preserve">A complementary line of work focuses on GPU acceleration of local-search refinement rather than genetic algorithms. Qiao et al. presented scalable GPU implementations of complete 4-opt, 5-opt, 6-opt, and hybrid variable λ-opt search across one or more GPUs [3]. Their approach assigns independent k-opt edge-combination checks to CUDA threads and supports multiple non-interacting tour improvements within a single iteration. The reported results show very large acceleration over serial local search, including complete 4-opt search on mu1979.tsp running in 135.1 seconds on one GPU compared with more than 48 hours serially [3]. This demonstrates that higher-order local search becomes practical only when its large number of independent candidate moves can be </w:t>
      </w:r>
      <w:r w:rsidRPr="00922085">
        <w:rPr>
          <w:i w:val="0"/>
          <w:iCs w:val="0"/>
        </w:rPr>
        <w:t>evaluated in parallel, making it especially relevant for GPU-based TSP optimization.</w:t>
      </w:r>
      <w:r w:rsidR="00E97B99">
        <w:t>Abbreviations and Acronyms</w:t>
      </w:r>
    </w:p>
    <w:p w14:paraId="71CBCD8D" w14:textId="1E815EA6" w:rsidR="00A04395" w:rsidRDefault="00EF703C" w:rsidP="00A04395">
      <w:pPr>
        <w:pStyle w:val="Heading1"/>
      </w:pPr>
      <w:r>
        <w:t xml:space="preserve">Table: </w:t>
      </w:r>
      <w:r w:rsidR="00A04395">
        <w:t>Experimental Set-up</w:t>
      </w:r>
    </w:p>
    <w:tbl>
      <w:tblPr>
        <w:tblW w:w="0" w:type="auto"/>
        <w:tblBorders>
          <w:top w:val="single" w:sz="2" w:space="0" w:color="auto"/>
          <w:left w:val="single" w:sz="2" w:space="0" w:color="auto"/>
          <w:bottom w:val="single" w:sz="2" w:space="0" w:color="auto"/>
          <w:right w:val="single" w:sz="2" w:space="0" w:color="auto"/>
        </w:tblBorders>
        <w:shd w:val="clear" w:color="auto" w:fill="181818"/>
        <w:tblCellMar>
          <w:left w:w="0" w:type="dxa"/>
          <w:right w:w="0" w:type="dxa"/>
        </w:tblCellMar>
        <w:tblLook w:val="04A0" w:firstRow="1" w:lastRow="0" w:firstColumn="1" w:lastColumn="0" w:noHBand="0" w:noVBand="1"/>
      </w:tblPr>
      <w:tblGrid>
        <w:gridCol w:w="1781"/>
        <w:gridCol w:w="106"/>
        <w:gridCol w:w="3147"/>
      </w:tblGrid>
      <w:tr w:rsidR="00EF703C" w:rsidRPr="00A04395" w14:paraId="225239CB" w14:textId="77777777" w:rsidTr="00EF703C">
        <w:trPr>
          <w:tblHeader/>
        </w:trPr>
        <w:tc>
          <w:tcPr>
            <w:tcW w:w="0" w:type="auto"/>
            <w:tcBorders>
              <w:top w:val="single" w:sz="2" w:space="0" w:color="auto"/>
              <w:left w:val="single" w:sz="2" w:space="0" w:color="auto"/>
              <w:bottom w:val="single" w:sz="2" w:space="0" w:color="auto"/>
              <w:right w:val="single" w:sz="2" w:space="0" w:color="auto"/>
            </w:tcBorders>
            <w:shd w:val="clear" w:color="auto" w:fill="181818"/>
            <w:tcMar>
              <w:top w:w="60" w:type="dxa"/>
              <w:left w:w="60" w:type="dxa"/>
              <w:bottom w:w="60" w:type="dxa"/>
              <w:right w:w="60" w:type="dxa"/>
            </w:tcMar>
            <w:vAlign w:val="center"/>
            <w:hideMark/>
          </w:tcPr>
          <w:p w14:paraId="70A05503" w14:textId="77777777" w:rsidR="00EF703C" w:rsidRPr="00A04395" w:rsidRDefault="00EF703C" w:rsidP="00A04395">
            <w:pPr>
              <w:rPr>
                <w:b/>
                <w:bCs/>
              </w:rPr>
            </w:pPr>
            <w:r w:rsidRPr="00A04395">
              <w:rPr>
                <w:b/>
                <w:bCs/>
              </w:rPr>
              <w:t>Category</w:t>
            </w:r>
          </w:p>
        </w:tc>
        <w:tc>
          <w:tcPr>
            <w:tcW w:w="106" w:type="dxa"/>
            <w:tcBorders>
              <w:top w:val="single" w:sz="2" w:space="0" w:color="auto"/>
              <w:left w:val="single" w:sz="2" w:space="0" w:color="auto"/>
              <w:bottom w:val="single" w:sz="2" w:space="0" w:color="auto"/>
              <w:right w:val="single" w:sz="2" w:space="0" w:color="auto"/>
            </w:tcBorders>
            <w:shd w:val="clear" w:color="auto" w:fill="181818"/>
          </w:tcPr>
          <w:p w14:paraId="35F8931A" w14:textId="77777777" w:rsidR="00EF703C" w:rsidRPr="00A04395" w:rsidRDefault="00EF703C" w:rsidP="00A04395">
            <w:pPr>
              <w:rPr>
                <w:b/>
                <w:bCs/>
              </w:rPr>
            </w:pPr>
          </w:p>
        </w:tc>
        <w:tc>
          <w:tcPr>
            <w:tcW w:w="3147" w:type="dxa"/>
            <w:tcBorders>
              <w:top w:val="single" w:sz="2" w:space="0" w:color="auto"/>
              <w:left w:val="single" w:sz="2" w:space="0" w:color="auto"/>
              <w:bottom w:val="single" w:sz="2" w:space="0" w:color="auto"/>
              <w:right w:val="single" w:sz="2" w:space="0" w:color="auto"/>
            </w:tcBorders>
            <w:shd w:val="clear" w:color="auto" w:fill="181818"/>
            <w:tcMar>
              <w:top w:w="60" w:type="dxa"/>
              <w:left w:w="60" w:type="dxa"/>
              <w:bottom w:w="60" w:type="dxa"/>
              <w:right w:w="60" w:type="dxa"/>
            </w:tcMar>
            <w:vAlign w:val="center"/>
            <w:hideMark/>
          </w:tcPr>
          <w:p w14:paraId="51EA3DD0" w14:textId="02093310" w:rsidR="00EF703C" w:rsidRPr="00A04395" w:rsidRDefault="00EF703C" w:rsidP="00A04395">
            <w:pPr>
              <w:rPr>
                <w:b/>
                <w:bCs/>
              </w:rPr>
            </w:pPr>
            <w:r w:rsidRPr="00A04395">
              <w:rPr>
                <w:b/>
                <w:bCs/>
              </w:rPr>
              <w:t>Details</w:t>
            </w:r>
          </w:p>
        </w:tc>
      </w:tr>
      <w:tr w:rsidR="00EF703C" w:rsidRPr="00A04395" w14:paraId="3E3D3A6F" w14:textId="77777777" w:rsidTr="00EF703C">
        <w:tc>
          <w:tcPr>
            <w:tcW w:w="0" w:type="auto"/>
            <w:tcBorders>
              <w:top w:val="single" w:sz="2" w:space="0" w:color="auto"/>
              <w:left w:val="single" w:sz="2" w:space="0" w:color="auto"/>
              <w:bottom w:val="single" w:sz="2" w:space="0" w:color="auto"/>
              <w:right w:val="single" w:sz="2" w:space="0" w:color="auto"/>
            </w:tcBorders>
            <w:shd w:val="clear" w:color="auto" w:fill="181818"/>
            <w:tcMar>
              <w:top w:w="60" w:type="dxa"/>
              <w:left w:w="60" w:type="dxa"/>
              <w:bottom w:w="60" w:type="dxa"/>
              <w:right w:w="60" w:type="dxa"/>
            </w:tcMar>
            <w:vAlign w:val="center"/>
            <w:hideMark/>
          </w:tcPr>
          <w:p w14:paraId="477FE36F" w14:textId="77777777" w:rsidR="00EF703C" w:rsidRPr="00A04395" w:rsidRDefault="00EF703C" w:rsidP="00A04395">
            <w:r w:rsidRPr="00A04395">
              <w:t>HPC System</w:t>
            </w:r>
          </w:p>
        </w:tc>
        <w:tc>
          <w:tcPr>
            <w:tcW w:w="106" w:type="dxa"/>
            <w:tcBorders>
              <w:top w:val="single" w:sz="2" w:space="0" w:color="auto"/>
              <w:left w:val="single" w:sz="2" w:space="0" w:color="auto"/>
              <w:bottom w:val="single" w:sz="2" w:space="0" w:color="auto"/>
              <w:right w:val="single" w:sz="2" w:space="0" w:color="auto"/>
            </w:tcBorders>
            <w:shd w:val="clear" w:color="auto" w:fill="181818"/>
          </w:tcPr>
          <w:p w14:paraId="7D2E5338" w14:textId="77777777" w:rsidR="00EF703C" w:rsidRPr="00A04395" w:rsidRDefault="00EF703C" w:rsidP="00A04395"/>
        </w:tc>
        <w:tc>
          <w:tcPr>
            <w:tcW w:w="3147" w:type="dxa"/>
            <w:tcBorders>
              <w:top w:val="single" w:sz="2" w:space="0" w:color="auto"/>
              <w:left w:val="single" w:sz="2" w:space="0" w:color="auto"/>
              <w:bottom w:val="single" w:sz="2" w:space="0" w:color="auto"/>
              <w:right w:val="single" w:sz="2" w:space="0" w:color="auto"/>
            </w:tcBorders>
            <w:shd w:val="clear" w:color="auto" w:fill="181818"/>
            <w:tcMar>
              <w:top w:w="60" w:type="dxa"/>
              <w:left w:w="60" w:type="dxa"/>
              <w:bottom w:w="60" w:type="dxa"/>
              <w:right w:w="60" w:type="dxa"/>
            </w:tcMar>
            <w:vAlign w:val="center"/>
            <w:hideMark/>
          </w:tcPr>
          <w:p w14:paraId="1044E621" w14:textId="1C301F52" w:rsidR="00EF703C" w:rsidRPr="00A04395" w:rsidRDefault="00EF703C" w:rsidP="00A04395">
            <w:r w:rsidRPr="00A04395">
              <w:t>University of Arizona Ocelote HPC cluster</w:t>
            </w:r>
          </w:p>
        </w:tc>
      </w:tr>
      <w:tr w:rsidR="00EF703C" w:rsidRPr="00A04395" w14:paraId="0F6257C9" w14:textId="77777777" w:rsidTr="00EF703C">
        <w:tc>
          <w:tcPr>
            <w:tcW w:w="0" w:type="auto"/>
            <w:tcBorders>
              <w:top w:val="single" w:sz="2" w:space="0" w:color="auto"/>
              <w:left w:val="single" w:sz="2" w:space="0" w:color="auto"/>
              <w:bottom w:val="single" w:sz="2" w:space="0" w:color="auto"/>
              <w:right w:val="single" w:sz="2" w:space="0" w:color="auto"/>
            </w:tcBorders>
            <w:shd w:val="clear" w:color="auto" w:fill="181818"/>
            <w:tcMar>
              <w:top w:w="60" w:type="dxa"/>
              <w:left w:w="60" w:type="dxa"/>
              <w:bottom w:w="60" w:type="dxa"/>
              <w:right w:w="60" w:type="dxa"/>
            </w:tcMar>
            <w:vAlign w:val="center"/>
            <w:hideMark/>
          </w:tcPr>
          <w:p w14:paraId="4DF781E0" w14:textId="77777777" w:rsidR="00EF703C" w:rsidRPr="00A04395" w:rsidRDefault="00EF703C" w:rsidP="00A04395">
            <w:r w:rsidRPr="00A04395">
              <w:t>GPU</w:t>
            </w:r>
          </w:p>
        </w:tc>
        <w:tc>
          <w:tcPr>
            <w:tcW w:w="106" w:type="dxa"/>
            <w:tcBorders>
              <w:top w:val="single" w:sz="2" w:space="0" w:color="auto"/>
              <w:left w:val="single" w:sz="2" w:space="0" w:color="auto"/>
              <w:bottom w:val="single" w:sz="2" w:space="0" w:color="auto"/>
              <w:right w:val="single" w:sz="2" w:space="0" w:color="auto"/>
            </w:tcBorders>
            <w:shd w:val="clear" w:color="auto" w:fill="181818"/>
          </w:tcPr>
          <w:p w14:paraId="06E9DCAE" w14:textId="77777777" w:rsidR="00EF703C" w:rsidRPr="00A04395" w:rsidRDefault="00EF703C" w:rsidP="00A04395"/>
        </w:tc>
        <w:tc>
          <w:tcPr>
            <w:tcW w:w="3147" w:type="dxa"/>
            <w:tcBorders>
              <w:top w:val="single" w:sz="2" w:space="0" w:color="auto"/>
              <w:left w:val="single" w:sz="2" w:space="0" w:color="auto"/>
              <w:bottom w:val="single" w:sz="2" w:space="0" w:color="auto"/>
              <w:right w:val="single" w:sz="2" w:space="0" w:color="auto"/>
            </w:tcBorders>
            <w:shd w:val="clear" w:color="auto" w:fill="181818"/>
            <w:tcMar>
              <w:top w:w="60" w:type="dxa"/>
              <w:left w:w="60" w:type="dxa"/>
              <w:bottom w:w="60" w:type="dxa"/>
              <w:right w:w="60" w:type="dxa"/>
            </w:tcMar>
            <w:vAlign w:val="center"/>
            <w:hideMark/>
          </w:tcPr>
          <w:p w14:paraId="2B3E4824" w14:textId="753B81A7" w:rsidR="00EF703C" w:rsidRPr="00A04395" w:rsidRDefault="00EF703C" w:rsidP="00A04395">
            <w:r w:rsidRPr="00A04395">
              <w:t>NVIDIA Tesla P100-PCIE-16GB</w:t>
            </w:r>
          </w:p>
        </w:tc>
      </w:tr>
      <w:tr w:rsidR="00EF703C" w:rsidRPr="00A04395" w14:paraId="40FA8D3B" w14:textId="77777777" w:rsidTr="00EF703C">
        <w:tc>
          <w:tcPr>
            <w:tcW w:w="0" w:type="auto"/>
            <w:tcBorders>
              <w:top w:val="single" w:sz="2" w:space="0" w:color="auto"/>
              <w:left w:val="single" w:sz="2" w:space="0" w:color="auto"/>
              <w:bottom w:val="single" w:sz="2" w:space="0" w:color="auto"/>
              <w:right w:val="single" w:sz="2" w:space="0" w:color="auto"/>
            </w:tcBorders>
            <w:shd w:val="clear" w:color="auto" w:fill="181818"/>
            <w:tcMar>
              <w:top w:w="60" w:type="dxa"/>
              <w:left w:w="60" w:type="dxa"/>
              <w:bottom w:w="60" w:type="dxa"/>
              <w:right w:w="60" w:type="dxa"/>
            </w:tcMar>
            <w:vAlign w:val="center"/>
            <w:hideMark/>
          </w:tcPr>
          <w:p w14:paraId="4ACE712B" w14:textId="77777777" w:rsidR="00EF703C" w:rsidRPr="00A04395" w:rsidRDefault="00EF703C" w:rsidP="00A04395">
            <w:r w:rsidRPr="00A04395">
              <w:t>GPU Memory</w:t>
            </w:r>
          </w:p>
        </w:tc>
        <w:tc>
          <w:tcPr>
            <w:tcW w:w="106" w:type="dxa"/>
            <w:tcBorders>
              <w:top w:val="single" w:sz="2" w:space="0" w:color="auto"/>
              <w:left w:val="single" w:sz="2" w:space="0" w:color="auto"/>
              <w:bottom w:val="single" w:sz="2" w:space="0" w:color="auto"/>
              <w:right w:val="single" w:sz="2" w:space="0" w:color="auto"/>
            </w:tcBorders>
            <w:shd w:val="clear" w:color="auto" w:fill="181818"/>
          </w:tcPr>
          <w:p w14:paraId="74B04454" w14:textId="77777777" w:rsidR="00EF703C" w:rsidRPr="00A04395" w:rsidRDefault="00EF703C" w:rsidP="00A04395"/>
        </w:tc>
        <w:tc>
          <w:tcPr>
            <w:tcW w:w="3147" w:type="dxa"/>
            <w:tcBorders>
              <w:top w:val="single" w:sz="2" w:space="0" w:color="auto"/>
              <w:left w:val="single" w:sz="2" w:space="0" w:color="auto"/>
              <w:bottom w:val="single" w:sz="2" w:space="0" w:color="auto"/>
              <w:right w:val="single" w:sz="2" w:space="0" w:color="auto"/>
            </w:tcBorders>
            <w:shd w:val="clear" w:color="auto" w:fill="181818"/>
            <w:tcMar>
              <w:top w:w="60" w:type="dxa"/>
              <w:left w:w="60" w:type="dxa"/>
              <w:bottom w:w="60" w:type="dxa"/>
              <w:right w:w="60" w:type="dxa"/>
            </w:tcMar>
            <w:vAlign w:val="center"/>
            <w:hideMark/>
          </w:tcPr>
          <w:p w14:paraId="6CD84C78" w14:textId="54C3C02C" w:rsidR="00EF703C" w:rsidRPr="00A04395" w:rsidRDefault="00EF703C" w:rsidP="00A04395">
            <w:r w:rsidRPr="00A04395">
              <w:t>16 GB</w:t>
            </w:r>
          </w:p>
        </w:tc>
      </w:tr>
      <w:tr w:rsidR="00EF703C" w:rsidRPr="00A04395" w14:paraId="1A5239C7" w14:textId="77777777" w:rsidTr="00EF703C">
        <w:tc>
          <w:tcPr>
            <w:tcW w:w="0" w:type="auto"/>
            <w:tcBorders>
              <w:top w:val="single" w:sz="2" w:space="0" w:color="auto"/>
              <w:left w:val="single" w:sz="2" w:space="0" w:color="auto"/>
              <w:bottom w:val="single" w:sz="2" w:space="0" w:color="auto"/>
              <w:right w:val="single" w:sz="2" w:space="0" w:color="auto"/>
            </w:tcBorders>
            <w:shd w:val="clear" w:color="auto" w:fill="181818"/>
            <w:tcMar>
              <w:top w:w="60" w:type="dxa"/>
              <w:left w:w="60" w:type="dxa"/>
              <w:bottom w:w="60" w:type="dxa"/>
              <w:right w:w="60" w:type="dxa"/>
            </w:tcMar>
            <w:vAlign w:val="center"/>
            <w:hideMark/>
          </w:tcPr>
          <w:p w14:paraId="6708F12A" w14:textId="77777777" w:rsidR="00EF703C" w:rsidRPr="00A04395" w:rsidRDefault="00EF703C" w:rsidP="00A04395">
            <w:r w:rsidRPr="00A04395">
              <w:t>Build System</w:t>
            </w:r>
          </w:p>
        </w:tc>
        <w:tc>
          <w:tcPr>
            <w:tcW w:w="106" w:type="dxa"/>
            <w:tcBorders>
              <w:top w:val="single" w:sz="2" w:space="0" w:color="auto"/>
              <w:left w:val="single" w:sz="2" w:space="0" w:color="auto"/>
              <w:bottom w:val="single" w:sz="2" w:space="0" w:color="auto"/>
              <w:right w:val="single" w:sz="2" w:space="0" w:color="auto"/>
            </w:tcBorders>
            <w:shd w:val="clear" w:color="auto" w:fill="181818"/>
          </w:tcPr>
          <w:p w14:paraId="3A519D9C" w14:textId="77777777" w:rsidR="00EF703C" w:rsidRPr="00A04395" w:rsidRDefault="00EF703C" w:rsidP="00A04395"/>
        </w:tc>
        <w:tc>
          <w:tcPr>
            <w:tcW w:w="3147" w:type="dxa"/>
            <w:tcBorders>
              <w:top w:val="single" w:sz="2" w:space="0" w:color="auto"/>
              <w:left w:val="single" w:sz="2" w:space="0" w:color="auto"/>
              <w:bottom w:val="single" w:sz="2" w:space="0" w:color="auto"/>
              <w:right w:val="single" w:sz="2" w:space="0" w:color="auto"/>
            </w:tcBorders>
            <w:shd w:val="clear" w:color="auto" w:fill="181818"/>
            <w:tcMar>
              <w:top w:w="60" w:type="dxa"/>
              <w:left w:w="60" w:type="dxa"/>
              <w:bottom w:w="60" w:type="dxa"/>
              <w:right w:w="60" w:type="dxa"/>
            </w:tcMar>
            <w:vAlign w:val="center"/>
            <w:hideMark/>
          </w:tcPr>
          <w:p w14:paraId="5D18C534" w14:textId="293A3D62" w:rsidR="00EF703C" w:rsidRPr="00A04395" w:rsidRDefault="00EF703C" w:rsidP="00A04395">
            <w:r w:rsidRPr="00A04395">
              <w:t>CMake 3.28.3</w:t>
            </w:r>
          </w:p>
        </w:tc>
      </w:tr>
      <w:tr w:rsidR="00EF703C" w:rsidRPr="00A04395" w14:paraId="52FC4B33" w14:textId="77777777" w:rsidTr="00EF703C">
        <w:tc>
          <w:tcPr>
            <w:tcW w:w="0" w:type="auto"/>
            <w:tcBorders>
              <w:top w:val="single" w:sz="2" w:space="0" w:color="auto"/>
              <w:left w:val="single" w:sz="2" w:space="0" w:color="auto"/>
              <w:bottom w:val="single" w:sz="2" w:space="0" w:color="auto"/>
              <w:right w:val="single" w:sz="2" w:space="0" w:color="auto"/>
            </w:tcBorders>
            <w:shd w:val="clear" w:color="auto" w:fill="181818"/>
            <w:tcMar>
              <w:top w:w="60" w:type="dxa"/>
              <w:left w:w="60" w:type="dxa"/>
              <w:bottom w:w="60" w:type="dxa"/>
              <w:right w:w="60" w:type="dxa"/>
            </w:tcMar>
            <w:vAlign w:val="center"/>
            <w:hideMark/>
          </w:tcPr>
          <w:p w14:paraId="5F7F519F" w14:textId="77777777" w:rsidR="00EF703C" w:rsidRPr="00A04395" w:rsidRDefault="00EF703C" w:rsidP="00A04395">
            <w:r w:rsidRPr="00A04395">
              <w:t>CUDA Environment</w:t>
            </w:r>
          </w:p>
        </w:tc>
        <w:tc>
          <w:tcPr>
            <w:tcW w:w="106" w:type="dxa"/>
            <w:tcBorders>
              <w:top w:val="single" w:sz="2" w:space="0" w:color="auto"/>
              <w:left w:val="single" w:sz="2" w:space="0" w:color="auto"/>
              <w:bottom w:val="single" w:sz="2" w:space="0" w:color="auto"/>
              <w:right w:val="single" w:sz="2" w:space="0" w:color="auto"/>
            </w:tcBorders>
            <w:shd w:val="clear" w:color="auto" w:fill="181818"/>
          </w:tcPr>
          <w:p w14:paraId="078F16FF" w14:textId="77777777" w:rsidR="00EF703C" w:rsidRPr="00A04395" w:rsidRDefault="00EF703C" w:rsidP="00A04395"/>
        </w:tc>
        <w:tc>
          <w:tcPr>
            <w:tcW w:w="3147" w:type="dxa"/>
            <w:tcBorders>
              <w:top w:val="single" w:sz="2" w:space="0" w:color="auto"/>
              <w:left w:val="single" w:sz="2" w:space="0" w:color="auto"/>
              <w:bottom w:val="single" w:sz="2" w:space="0" w:color="auto"/>
              <w:right w:val="single" w:sz="2" w:space="0" w:color="auto"/>
            </w:tcBorders>
            <w:shd w:val="clear" w:color="auto" w:fill="181818"/>
            <w:tcMar>
              <w:top w:w="60" w:type="dxa"/>
              <w:left w:w="60" w:type="dxa"/>
              <w:bottom w:w="60" w:type="dxa"/>
              <w:right w:w="60" w:type="dxa"/>
            </w:tcMar>
            <w:vAlign w:val="center"/>
            <w:hideMark/>
          </w:tcPr>
          <w:p w14:paraId="326B21CC" w14:textId="68184EAC" w:rsidR="00EF703C" w:rsidRPr="00A04395" w:rsidRDefault="00EF703C" w:rsidP="00A04395">
            <w:r w:rsidRPr="00A04395">
              <w:t>cuda11-sdk/22.11, cuda11/11.8</w:t>
            </w:r>
          </w:p>
        </w:tc>
      </w:tr>
      <w:tr w:rsidR="00EF703C" w:rsidRPr="00A04395" w14:paraId="6E09BFD8" w14:textId="77777777" w:rsidTr="00EF703C">
        <w:tc>
          <w:tcPr>
            <w:tcW w:w="0" w:type="auto"/>
            <w:tcBorders>
              <w:top w:val="single" w:sz="2" w:space="0" w:color="auto"/>
              <w:left w:val="single" w:sz="2" w:space="0" w:color="auto"/>
              <w:bottom w:val="single" w:sz="2" w:space="0" w:color="auto"/>
              <w:right w:val="single" w:sz="2" w:space="0" w:color="auto"/>
            </w:tcBorders>
            <w:shd w:val="clear" w:color="auto" w:fill="181818"/>
            <w:tcMar>
              <w:top w:w="60" w:type="dxa"/>
              <w:left w:w="60" w:type="dxa"/>
              <w:bottom w:w="60" w:type="dxa"/>
              <w:right w:w="60" w:type="dxa"/>
            </w:tcMar>
            <w:vAlign w:val="center"/>
            <w:hideMark/>
          </w:tcPr>
          <w:p w14:paraId="33DDD74B" w14:textId="77777777" w:rsidR="00EF703C" w:rsidRPr="00A04395" w:rsidRDefault="00EF703C" w:rsidP="00A04395">
            <w:r w:rsidRPr="00A04395">
              <w:t>Dataset / Benchmarks</w:t>
            </w:r>
          </w:p>
        </w:tc>
        <w:tc>
          <w:tcPr>
            <w:tcW w:w="106" w:type="dxa"/>
            <w:tcBorders>
              <w:top w:val="single" w:sz="2" w:space="0" w:color="auto"/>
              <w:left w:val="single" w:sz="2" w:space="0" w:color="auto"/>
              <w:bottom w:val="single" w:sz="2" w:space="0" w:color="auto"/>
              <w:right w:val="single" w:sz="2" w:space="0" w:color="auto"/>
            </w:tcBorders>
            <w:shd w:val="clear" w:color="auto" w:fill="181818"/>
          </w:tcPr>
          <w:p w14:paraId="07C89360" w14:textId="77777777" w:rsidR="00EF703C" w:rsidRPr="00A04395" w:rsidRDefault="00EF703C" w:rsidP="00A04395"/>
        </w:tc>
        <w:tc>
          <w:tcPr>
            <w:tcW w:w="3147" w:type="dxa"/>
            <w:tcBorders>
              <w:top w:val="single" w:sz="2" w:space="0" w:color="auto"/>
              <w:left w:val="single" w:sz="2" w:space="0" w:color="auto"/>
              <w:bottom w:val="single" w:sz="2" w:space="0" w:color="auto"/>
              <w:right w:val="single" w:sz="2" w:space="0" w:color="auto"/>
            </w:tcBorders>
            <w:shd w:val="clear" w:color="auto" w:fill="181818"/>
            <w:tcMar>
              <w:top w:w="60" w:type="dxa"/>
              <w:left w:w="60" w:type="dxa"/>
              <w:bottom w:w="60" w:type="dxa"/>
              <w:right w:w="60" w:type="dxa"/>
            </w:tcMar>
            <w:vAlign w:val="center"/>
            <w:hideMark/>
          </w:tcPr>
          <w:p w14:paraId="60992412" w14:textId="1771E771" w:rsidR="00EF703C" w:rsidRPr="00A04395" w:rsidRDefault="00EF703C" w:rsidP="00A04395">
            <w:r w:rsidRPr="00A04395">
              <w:t>TSPLIB</w:t>
            </w:r>
          </w:p>
        </w:tc>
      </w:tr>
      <w:tr w:rsidR="00EF703C" w:rsidRPr="00A04395" w14:paraId="26D57A66" w14:textId="77777777" w:rsidTr="00EF703C">
        <w:tc>
          <w:tcPr>
            <w:tcW w:w="0" w:type="auto"/>
            <w:tcBorders>
              <w:top w:val="single" w:sz="2" w:space="0" w:color="auto"/>
              <w:left w:val="single" w:sz="2" w:space="0" w:color="auto"/>
              <w:bottom w:val="single" w:sz="2" w:space="0" w:color="auto"/>
              <w:right w:val="single" w:sz="2" w:space="0" w:color="auto"/>
            </w:tcBorders>
            <w:shd w:val="clear" w:color="auto" w:fill="181818"/>
            <w:tcMar>
              <w:top w:w="60" w:type="dxa"/>
              <w:left w:w="60" w:type="dxa"/>
              <w:bottom w:w="60" w:type="dxa"/>
              <w:right w:w="60" w:type="dxa"/>
            </w:tcMar>
            <w:vAlign w:val="center"/>
            <w:hideMark/>
          </w:tcPr>
          <w:p w14:paraId="0711C499" w14:textId="77777777" w:rsidR="00EF703C" w:rsidRPr="00A04395" w:rsidRDefault="00EF703C" w:rsidP="00A04395">
            <w:r w:rsidRPr="00A04395">
              <w:t>Reference Solutions</w:t>
            </w:r>
          </w:p>
        </w:tc>
        <w:tc>
          <w:tcPr>
            <w:tcW w:w="106" w:type="dxa"/>
            <w:tcBorders>
              <w:top w:val="single" w:sz="2" w:space="0" w:color="auto"/>
              <w:left w:val="single" w:sz="2" w:space="0" w:color="auto"/>
              <w:bottom w:val="single" w:sz="2" w:space="0" w:color="auto"/>
              <w:right w:val="single" w:sz="2" w:space="0" w:color="auto"/>
            </w:tcBorders>
            <w:shd w:val="clear" w:color="auto" w:fill="181818"/>
          </w:tcPr>
          <w:p w14:paraId="56F59A57" w14:textId="77777777" w:rsidR="00EF703C" w:rsidRPr="00A04395" w:rsidRDefault="00EF703C" w:rsidP="00A04395"/>
        </w:tc>
        <w:tc>
          <w:tcPr>
            <w:tcW w:w="3147" w:type="dxa"/>
            <w:tcBorders>
              <w:top w:val="single" w:sz="2" w:space="0" w:color="auto"/>
              <w:left w:val="single" w:sz="2" w:space="0" w:color="auto"/>
              <w:bottom w:val="single" w:sz="2" w:space="0" w:color="auto"/>
              <w:right w:val="single" w:sz="2" w:space="0" w:color="auto"/>
            </w:tcBorders>
            <w:shd w:val="clear" w:color="auto" w:fill="181818"/>
            <w:tcMar>
              <w:top w:w="60" w:type="dxa"/>
              <w:left w:w="60" w:type="dxa"/>
              <w:bottom w:w="60" w:type="dxa"/>
              <w:right w:w="60" w:type="dxa"/>
            </w:tcMar>
            <w:vAlign w:val="center"/>
            <w:hideMark/>
          </w:tcPr>
          <w:p w14:paraId="4FAFD043" w14:textId="34CA7BA1" w:rsidR="00EF703C" w:rsidRPr="00A04395" w:rsidRDefault="00EF703C" w:rsidP="00A04395">
            <w:r w:rsidRPr="00A04395">
              <w:t>TSPLIB tours and optimal solutions</w:t>
            </w:r>
          </w:p>
        </w:tc>
      </w:tr>
    </w:tbl>
    <w:p w14:paraId="041C9580" w14:textId="7EA806C5" w:rsidR="00E97B99" w:rsidRDefault="00B62954" w:rsidP="00E97B99">
      <w:pPr>
        <w:pStyle w:val="Heading1"/>
      </w:pPr>
      <w:r>
        <w:t>Results</w:t>
      </w:r>
    </w:p>
    <w:p w14:paraId="57A00346" w14:textId="77777777" w:rsidR="00E97B99" w:rsidRDefault="00E97B99" w:rsidP="00E97B99">
      <w:pPr>
        <w:pStyle w:val="Text"/>
      </w:pPr>
      <w:r>
        <w:t xml:space="preserve">Use either SI (MKS) or CGS as primary units. (SI units are strongly encouraged.) English units may be used as secondary units (in parentheses). </w:t>
      </w:r>
      <w:r w:rsidRPr="00A95C50">
        <w:rPr>
          <w:bCs/>
        </w:rPr>
        <w:t>This applies to papers in data storage</w:t>
      </w:r>
      <w:r>
        <w:rPr>
          <w:b/>
          <w:bCs/>
        </w:rPr>
        <w:t>.</w:t>
      </w:r>
      <w:r>
        <w:t xml:space="preserve"> For example, write “15 Gb/cm</w:t>
      </w:r>
      <w:r>
        <w:rPr>
          <w:vertAlign w:val="superscript"/>
        </w:rPr>
        <w:t>2</w:t>
      </w:r>
      <w:r>
        <w:t xml:space="preserve"> (100 Gb/in</w:t>
      </w:r>
      <w:r>
        <w:rPr>
          <w:vertAlign w:val="superscript"/>
        </w:rPr>
        <w:t>2</w:t>
      </w:r>
      <w:r>
        <w:t>).” An exception is when English units are used as identifiers in trade, such as “3½-in disk drive.” Avoid combining SI and CGS units, such as current in amperes and magnetic field in oersteds. This often leads to confusion because equations do not balance dimensionally. If you must use mixed units, clearly state the units for each quantity in an equation.</w:t>
      </w:r>
    </w:p>
    <w:p w14:paraId="30AA81FA" w14:textId="77777777" w:rsidR="00E97B99" w:rsidRDefault="00E97B99" w:rsidP="00E97B99">
      <w:pPr>
        <w:pStyle w:val="Text"/>
      </w:pPr>
      <w:r>
        <w:t xml:space="preserve">The SI unit for magnetic field strength </w:t>
      </w:r>
      <w:r>
        <w:rPr>
          <w:i/>
          <w:iCs/>
        </w:rPr>
        <w:t>H</w:t>
      </w:r>
      <w:r>
        <w:t xml:space="preserve"> is A/m. However, if you wish to use units of T, either refer to magnetic flux density </w:t>
      </w:r>
      <w:r>
        <w:rPr>
          <w:i/>
          <w:iCs/>
        </w:rPr>
        <w:t>B</w:t>
      </w:r>
      <w:r>
        <w:t xml:space="preserve"> or magnetic field strength symbolized as µ</w:t>
      </w:r>
      <w:r>
        <w:rPr>
          <w:vertAlign w:val="subscript"/>
        </w:rPr>
        <w:t>0</w:t>
      </w:r>
      <w:r>
        <w:rPr>
          <w:i/>
          <w:iCs/>
        </w:rPr>
        <w:t>H</w:t>
      </w:r>
      <w:r>
        <w:t>. Use the center dot to separate compound units, e.g., “A·m</w:t>
      </w:r>
      <w:r>
        <w:rPr>
          <w:vertAlign w:val="superscript"/>
        </w:rPr>
        <w:t>2</w:t>
      </w:r>
      <w:r>
        <w:t>.”</w:t>
      </w:r>
    </w:p>
    <w:p w14:paraId="18491CBA" w14:textId="6FC42CCC" w:rsidR="00E97B99" w:rsidRDefault="00E97B99" w:rsidP="00E97B99">
      <w:pPr>
        <w:pStyle w:val="Heading1"/>
      </w:pPr>
      <w:r>
        <w:t>S</w:t>
      </w:r>
    </w:p>
    <w:p w14:paraId="47DFDB4B" w14:textId="2E341738" w:rsidR="00E97B99" w:rsidRDefault="00E97B99" w:rsidP="00E97B99">
      <w:pPr>
        <w:pStyle w:val="Text"/>
      </w:pPr>
      <w:r>
        <w:t>The word “data” is plural, not singular. The subscript for the permeability of vacuum µ</w:t>
      </w:r>
      <w:r>
        <w:rPr>
          <w:vertAlign w:val="subscript"/>
        </w:rPr>
        <w:t>0</w:t>
      </w:r>
      <w:r>
        <w:t xml:space="preserve"> is zero, not a lowercase letter “o.” The term for residual magnetization is “remanence”; the adjective is “remanent”; do not write “remnance” or “remnant.” Use the word “micrometer” instead of “micron.” A graph within a graph is an “inset,” not an “insert.” The word “alternatively” is preferred to the word “alternately” (unless “issue” as a euphemism for “problem.” When compositions are not specified, separate chemical symbols by en-dashes; for example, “NiMn” indicates the intermetallic compound Ni</w:t>
      </w:r>
      <w:r>
        <w:rPr>
          <w:vertAlign w:val="subscript"/>
        </w:rPr>
        <w:t>0.5</w:t>
      </w:r>
      <w:r>
        <w:t>Mn</w:t>
      </w:r>
      <w:r>
        <w:rPr>
          <w:vertAlign w:val="subscript"/>
        </w:rPr>
        <w:t>0.5</w:t>
      </w:r>
      <w:r>
        <w:t xml:space="preserve"> whereas “Ni–Mn” indicates an alloy of some composition Ni</w:t>
      </w:r>
      <w:r>
        <w:rPr>
          <w:vertAlign w:val="subscript"/>
        </w:rPr>
        <w:t>x</w:t>
      </w:r>
      <w:r>
        <w:t>Mn</w:t>
      </w:r>
      <w:r>
        <w:rPr>
          <w:vertAlign w:val="subscript"/>
        </w:rPr>
        <w:t>1-x</w:t>
      </w:r>
      <w:r>
        <w:t>.</w:t>
      </w:r>
    </w:p>
    <w:p w14:paraId="71ECB046" w14:textId="77777777" w:rsidR="00E97B99" w:rsidRDefault="00E97B99" w:rsidP="00E97B99">
      <w:pPr>
        <w:pStyle w:val="Text"/>
      </w:pPr>
      <w:r>
        <w:t xml:space="preserve">Be aware of the different meanings of the homophones “affect” (usually a verb) and “effect” (usually a noun), “complement” and “compliment,” “discreet” and “discrete,” “principal” (e.g., “principal investigator”) and “principle” (e.g., “principle of measurement”). Do not confuse “imply” and “infer.” </w:t>
      </w:r>
    </w:p>
    <w:p w14:paraId="20335A14" w14:textId="77777777" w:rsidR="00E97B99" w:rsidRDefault="00E97B99" w:rsidP="00E97B99">
      <w:pPr>
        <w:pStyle w:val="Text"/>
      </w:pPr>
      <w:r>
        <w:t xml:space="preserve">Prefixes such as “non,” “sub,” “micro,” “multi,” and “ultra” are not independent words; they should be joined to the words </w:t>
      </w:r>
      <w:r>
        <w:lastRenderedPageBreak/>
        <w:t>they modify, usually without a hyphen. There is no period after the “et” in the Latin abbreviation “</w:t>
      </w:r>
      <w:r>
        <w:rPr>
          <w:i/>
          <w:iCs/>
        </w:rPr>
        <w:t>et al.</w:t>
      </w:r>
      <w:r>
        <w:t>” (it is also italicized). The abbreviation “i.e.,” means “that is,” and the abbreviation “e.g.,” means “for example” (these abbreviations are not italicized).</w:t>
      </w:r>
    </w:p>
    <w:p w14:paraId="6D13736D" w14:textId="77777777" w:rsidR="00E97B99" w:rsidRDefault="00216141" w:rsidP="00E97B99">
      <w:pPr>
        <w:pStyle w:val="Text"/>
      </w:pPr>
      <w:r>
        <w:t>A general IEEE style</w:t>
      </w:r>
      <w:r w:rsidR="00E97B99">
        <w:t xml:space="preserve">guide is available at </w:t>
      </w:r>
      <w:hyperlink r:id="rId9" w:tgtFrame="_blank" w:history="1">
        <w:r w:rsidR="00A91937" w:rsidRPr="003D1EBF">
          <w:rPr>
            <w:rStyle w:val="Hyperlink"/>
            <w:color w:val="1155CC"/>
            <w:sz w:val="19"/>
            <w:szCs w:val="19"/>
            <w:shd w:val="clear" w:color="auto" w:fill="FFFFFF"/>
          </w:rPr>
          <w:t>www.ieee.org/authortools</w:t>
        </w:r>
      </w:hyperlink>
      <w:r w:rsidR="00A91937">
        <w:rPr>
          <w:rStyle w:val="Hyperlink"/>
          <w:color w:val="1155CC"/>
          <w:sz w:val="19"/>
          <w:szCs w:val="19"/>
          <w:shd w:val="clear" w:color="auto" w:fill="FFFFFF"/>
        </w:rPr>
        <w:t>.</w:t>
      </w:r>
    </w:p>
    <w:p w14:paraId="1E40055A" w14:textId="2B5ECEA4" w:rsidR="00E97B99" w:rsidRDefault="00E97B99" w:rsidP="001F4C5C">
      <w:pPr>
        <w:pStyle w:val="Heading2"/>
        <w:numPr>
          <w:ilvl w:val="0"/>
          <w:numId w:val="0"/>
        </w:numPr>
      </w:pPr>
    </w:p>
    <w:p w14:paraId="1919FEC7" w14:textId="77777777" w:rsidR="001B36B1" w:rsidRPr="00E857A2" w:rsidRDefault="001B36B1" w:rsidP="001B36B1">
      <w:pPr>
        <w:pStyle w:val="Heading1"/>
      </w:pPr>
      <w:r w:rsidRPr="00E857A2">
        <w:t>Guidelines for Graphics Preparation</w:t>
      </w:r>
      <w:r>
        <w:t xml:space="preserve"> </w:t>
      </w:r>
      <w:r w:rsidR="009E484E">
        <w:br/>
      </w:r>
      <w:r>
        <w:t>and Submission</w:t>
      </w:r>
    </w:p>
    <w:p w14:paraId="154FCACC" w14:textId="77777777" w:rsidR="001B36B1" w:rsidRPr="00E857A2" w:rsidRDefault="001B36B1" w:rsidP="001F4C5C">
      <w:pPr>
        <w:pStyle w:val="Heading2"/>
      </w:pPr>
      <w:r w:rsidRPr="00E857A2">
        <w:t>Types of Graphics</w:t>
      </w:r>
    </w:p>
    <w:p w14:paraId="3123B7EC" w14:textId="77777777" w:rsidR="001B36B1" w:rsidRPr="00E857A2" w:rsidRDefault="001B36B1" w:rsidP="001F4C5C">
      <w:pPr>
        <w:ind w:firstLine="144"/>
        <w:jc w:val="both"/>
      </w:pPr>
      <w:r w:rsidRPr="00E857A2">
        <w:t xml:space="preserve">The following list outlines the different types of graphics published in IEEE </w:t>
      </w:r>
      <w:r w:rsidR="00216141">
        <w:t>j</w:t>
      </w:r>
      <w:r w:rsidR="009F40FB">
        <w:t>ournals</w:t>
      </w:r>
      <w:r w:rsidRPr="00E857A2">
        <w:t>. They are categorized based on their construction, and use of color / shades of gray:</w:t>
      </w:r>
    </w:p>
    <w:p w14:paraId="42539AF9" w14:textId="77777777" w:rsidR="001B36B1" w:rsidRPr="00E857A2" w:rsidRDefault="001B36B1" w:rsidP="001B36B1"/>
    <w:p w14:paraId="1C6D0BD0" w14:textId="4BE88C15" w:rsidR="0013354F" w:rsidRPr="00113F26" w:rsidRDefault="001B36B1" w:rsidP="001F4C5C">
      <w:pPr>
        <w:pStyle w:val="Heading3"/>
        <w:jc w:val="both"/>
        <w:rPr>
          <w:rStyle w:val="Heading2Char"/>
          <w:rFonts w:ascii="Times" w:hAnsi="Times" w:cs="Verdana"/>
          <w:i/>
          <w:color w:val="000000"/>
        </w:rPr>
      </w:pPr>
      <w:r w:rsidRPr="005052CD">
        <w:rPr>
          <w:rStyle w:val="Heading2Char"/>
          <w:i/>
        </w:rPr>
        <w:t>Color/Grayscale figures</w:t>
      </w:r>
    </w:p>
    <w:p w14:paraId="1E6AFDBC" w14:textId="70F343F4" w:rsidR="001B36B1" w:rsidRPr="00113F26" w:rsidRDefault="0013354F" w:rsidP="001F4C5C">
      <w:pPr>
        <w:pStyle w:val="Heading3"/>
        <w:numPr>
          <w:ilvl w:val="0"/>
          <w:numId w:val="0"/>
        </w:numPr>
        <w:ind w:left="288"/>
        <w:jc w:val="both"/>
        <w:rPr>
          <w:rStyle w:val="BodyText2"/>
          <w:rFonts w:ascii="Times" w:hAnsi="Times"/>
          <w:i w:val="0"/>
          <w:iCs w:val="0"/>
          <w:sz w:val="20"/>
          <w:szCs w:val="20"/>
        </w:rPr>
      </w:pPr>
      <w:r w:rsidRPr="00113F26">
        <w:rPr>
          <w:rStyle w:val="BodyText2"/>
          <w:rFonts w:ascii="Times" w:hAnsi="Times"/>
          <w:i w:val="0"/>
          <w:sz w:val="20"/>
          <w:szCs w:val="20"/>
        </w:rPr>
        <w:t xml:space="preserve"> </w:t>
      </w:r>
      <w:r w:rsidR="001B36B1" w:rsidRPr="00113F26">
        <w:rPr>
          <w:rStyle w:val="BodyText2"/>
          <w:rFonts w:ascii="Times" w:hAnsi="Times"/>
          <w:i w:val="0"/>
          <w:sz w:val="20"/>
          <w:szCs w:val="20"/>
        </w:rPr>
        <w:t xml:space="preserve">Figures that are meant to appear in color, or shades of black/gray. Such figures may include photographs, </w:t>
      </w:r>
      <w:r w:rsidR="001B36B1" w:rsidRPr="00113F26">
        <w:rPr>
          <w:rStyle w:val="BodyText2"/>
          <w:rFonts w:ascii="Times" w:hAnsi="Times"/>
          <w:i w:val="0"/>
          <w:sz w:val="20"/>
          <w:szCs w:val="20"/>
        </w:rPr>
        <w:br/>
        <w:t>illustrations, multicolor graphs, and flowcharts.</w:t>
      </w:r>
    </w:p>
    <w:p w14:paraId="0994E09A" w14:textId="77777777" w:rsidR="0013354F" w:rsidRPr="00113F26" w:rsidRDefault="001B36B1" w:rsidP="001F4C5C">
      <w:pPr>
        <w:pStyle w:val="Heading3"/>
        <w:jc w:val="both"/>
        <w:rPr>
          <w:rStyle w:val="Heading2Char"/>
          <w:rFonts w:ascii="Times" w:hAnsi="Times" w:cs="Verdana"/>
          <w:i/>
          <w:iCs/>
          <w:color w:val="000000"/>
        </w:rPr>
      </w:pPr>
      <w:r w:rsidRPr="005052CD">
        <w:rPr>
          <w:rStyle w:val="Heading2Char"/>
          <w:i/>
        </w:rPr>
        <w:t>Line</w:t>
      </w:r>
      <w:r w:rsidR="00DE20DB">
        <w:rPr>
          <w:rStyle w:val="Heading2Char"/>
          <w:i/>
        </w:rPr>
        <w:t xml:space="preserve"> A</w:t>
      </w:r>
      <w:r w:rsidRPr="005052CD">
        <w:rPr>
          <w:rStyle w:val="Heading2Char"/>
          <w:i/>
        </w:rPr>
        <w:t>rt figures</w:t>
      </w:r>
    </w:p>
    <w:p w14:paraId="2F793C7A" w14:textId="77777777" w:rsidR="001B36B1" w:rsidRPr="00113F26" w:rsidRDefault="001B36B1" w:rsidP="001F4C5C">
      <w:pPr>
        <w:pStyle w:val="Heading3"/>
        <w:numPr>
          <w:ilvl w:val="0"/>
          <w:numId w:val="0"/>
        </w:numPr>
        <w:ind w:left="288"/>
        <w:jc w:val="both"/>
        <w:rPr>
          <w:rStyle w:val="BodyText2"/>
          <w:rFonts w:ascii="Times" w:hAnsi="Times"/>
          <w:i w:val="0"/>
          <w:iCs w:val="0"/>
          <w:sz w:val="20"/>
          <w:szCs w:val="20"/>
        </w:rPr>
      </w:pPr>
      <w:r w:rsidRPr="00113F26">
        <w:rPr>
          <w:rStyle w:val="BodyText2"/>
          <w:rFonts w:ascii="Times" w:hAnsi="Times"/>
          <w:i w:val="0"/>
          <w:sz w:val="20"/>
          <w:szCs w:val="20"/>
        </w:rPr>
        <w:t>Figures that are composed of only black lines and shapes. These figures should have n</w:t>
      </w:r>
      <w:r w:rsidR="00E37AF9" w:rsidRPr="00113F26">
        <w:rPr>
          <w:rStyle w:val="BodyText2"/>
          <w:rFonts w:ascii="Times" w:hAnsi="Times"/>
          <w:i w:val="0"/>
          <w:sz w:val="20"/>
          <w:szCs w:val="20"/>
        </w:rPr>
        <w:t>o shades or half-tones of gray, o</w:t>
      </w:r>
      <w:r w:rsidRPr="00113F26">
        <w:rPr>
          <w:rStyle w:val="BodyText2"/>
          <w:rFonts w:ascii="Times" w:hAnsi="Times"/>
          <w:i w:val="0"/>
          <w:sz w:val="20"/>
          <w:szCs w:val="20"/>
        </w:rPr>
        <w:t>nly black and white.</w:t>
      </w:r>
    </w:p>
    <w:p w14:paraId="5911E790" w14:textId="77777777" w:rsidR="0013354F" w:rsidRPr="00113F26" w:rsidRDefault="00216141" w:rsidP="001F4C5C">
      <w:pPr>
        <w:pStyle w:val="Heading3"/>
        <w:jc w:val="both"/>
        <w:rPr>
          <w:rStyle w:val="BodyText2"/>
          <w:rFonts w:ascii="Times" w:hAnsi="Times"/>
          <w:i w:val="0"/>
          <w:iCs w:val="0"/>
          <w:sz w:val="20"/>
          <w:szCs w:val="20"/>
        </w:rPr>
      </w:pPr>
      <w:r>
        <w:rPr>
          <w:rStyle w:val="Heading2Char"/>
          <w:i/>
        </w:rPr>
        <w:t>Author p</w:t>
      </w:r>
      <w:r w:rsidR="001B36B1" w:rsidRPr="005052CD">
        <w:rPr>
          <w:rStyle w:val="Heading2Char"/>
          <w:i/>
        </w:rPr>
        <w:t>hotos</w:t>
      </w:r>
    </w:p>
    <w:p w14:paraId="1EED77F3" w14:textId="225BF5A8" w:rsidR="001B36B1" w:rsidRPr="00113F26" w:rsidRDefault="001B36B1" w:rsidP="001F4C5C">
      <w:pPr>
        <w:pStyle w:val="Heading3"/>
        <w:numPr>
          <w:ilvl w:val="0"/>
          <w:numId w:val="0"/>
        </w:numPr>
        <w:ind w:left="288"/>
        <w:jc w:val="both"/>
        <w:rPr>
          <w:rStyle w:val="BodyText2"/>
          <w:rFonts w:ascii="Times" w:hAnsi="Times"/>
          <w:i w:val="0"/>
          <w:iCs w:val="0"/>
          <w:sz w:val="20"/>
          <w:szCs w:val="20"/>
        </w:rPr>
      </w:pPr>
      <w:r w:rsidRPr="00113F26">
        <w:rPr>
          <w:rStyle w:val="BodyText2"/>
          <w:rFonts w:ascii="Times" w:hAnsi="Times"/>
          <w:i w:val="0"/>
          <w:sz w:val="20"/>
          <w:szCs w:val="20"/>
        </w:rPr>
        <w:t xml:space="preserve">Head and </w:t>
      </w:r>
      <w:r w:rsidR="00E37AF9" w:rsidRPr="00113F26">
        <w:rPr>
          <w:rStyle w:val="BodyText2"/>
          <w:rFonts w:ascii="Times" w:hAnsi="Times"/>
          <w:i w:val="0"/>
          <w:sz w:val="20"/>
          <w:szCs w:val="20"/>
        </w:rPr>
        <w:t>shoulders shots of authors that</w:t>
      </w:r>
      <w:r w:rsidRPr="00113F26">
        <w:rPr>
          <w:rStyle w:val="BodyText2"/>
          <w:rFonts w:ascii="Times" w:hAnsi="Times"/>
          <w:i w:val="0"/>
          <w:sz w:val="20"/>
          <w:szCs w:val="20"/>
        </w:rPr>
        <w:t xml:space="preserve"> appear at the end of our papers. </w:t>
      </w:r>
    </w:p>
    <w:p w14:paraId="171F69B1" w14:textId="05D08996" w:rsidR="001B36B1" w:rsidRPr="00113F26" w:rsidRDefault="001B36B1" w:rsidP="001F4C5C">
      <w:pPr>
        <w:pStyle w:val="Heading3"/>
        <w:jc w:val="both"/>
        <w:rPr>
          <w:rStyle w:val="BodyText2"/>
          <w:rFonts w:ascii="Times" w:hAnsi="Times"/>
          <w:i w:val="0"/>
          <w:iCs w:val="0"/>
          <w:sz w:val="20"/>
          <w:szCs w:val="20"/>
        </w:rPr>
      </w:pPr>
      <w:r w:rsidRPr="005052CD">
        <w:rPr>
          <w:rStyle w:val="Heading2Char"/>
          <w:i/>
        </w:rPr>
        <w:t>Tables</w:t>
      </w:r>
      <w:r w:rsidRPr="00113F26">
        <w:rPr>
          <w:rStyle w:val="BodyText2"/>
          <w:rFonts w:ascii="Times" w:hAnsi="Times"/>
          <w:sz w:val="20"/>
          <w:szCs w:val="20"/>
        </w:rPr>
        <w:br/>
      </w:r>
      <w:r w:rsidRPr="00113F26">
        <w:rPr>
          <w:rStyle w:val="BodyText2"/>
          <w:rFonts w:ascii="Times" w:hAnsi="Times"/>
          <w:i w:val="0"/>
          <w:sz w:val="20"/>
          <w:szCs w:val="20"/>
        </w:rPr>
        <w:t>Data charts which are typically black and white, but sometimes include color.</w:t>
      </w:r>
    </w:p>
    <w:p w14:paraId="2B26588F" w14:textId="0B7E2A7F" w:rsidR="001B36B1" w:rsidRPr="00113F26" w:rsidRDefault="00216141" w:rsidP="001F4C5C">
      <w:pPr>
        <w:pStyle w:val="Heading2"/>
        <w:jc w:val="both"/>
        <w:rPr>
          <w:rStyle w:val="BodyText2"/>
          <w:rFonts w:ascii="Cambria" w:hAnsi="Cambria" w:cs="Times New Roman"/>
          <w:color w:val="auto"/>
          <w:sz w:val="20"/>
          <w:szCs w:val="20"/>
        </w:rPr>
      </w:pPr>
      <w:r w:rsidRPr="00113F26">
        <w:rPr>
          <w:rStyle w:val="BodyText2"/>
          <w:rFonts w:ascii="Cambria" w:hAnsi="Cambria" w:cs="Times New Roman"/>
          <w:color w:val="auto"/>
          <w:sz w:val="20"/>
          <w:szCs w:val="20"/>
        </w:rPr>
        <w:t>Multip</w:t>
      </w:r>
      <w:r w:rsidR="001B36B1" w:rsidRPr="00113F26">
        <w:rPr>
          <w:rStyle w:val="BodyText2"/>
          <w:rFonts w:ascii="Cambria" w:hAnsi="Cambria" w:cs="Times New Roman"/>
          <w:color w:val="auto"/>
          <w:sz w:val="20"/>
          <w:szCs w:val="20"/>
        </w:rPr>
        <w:t>art figures</w:t>
      </w:r>
    </w:p>
    <w:p w14:paraId="792034B2" w14:textId="77777777" w:rsidR="001B36B1" w:rsidRPr="00113F26" w:rsidRDefault="001B36B1" w:rsidP="001F4C5C">
      <w:pPr>
        <w:ind w:firstLine="144"/>
        <w:jc w:val="both"/>
        <w:rPr>
          <w:rFonts w:ascii="Times" w:hAnsi="Times" w:cs="Verdana"/>
          <w:color w:val="000000"/>
        </w:rPr>
      </w:pPr>
      <w:r w:rsidRPr="00113F26">
        <w:rPr>
          <w:rFonts w:ascii="Times" w:hAnsi="Times" w:cs="Verdana"/>
          <w:color w:val="000000"/>
        </w:rPr>
        <w:t>Figures compiled of more than one sub-figure presented side-by-side, or</w:t>
      </w:r>
      <w:r w:rsidR="00216141" w:rsidRPr="00113F26">
        <w:rPr>
          <w:rFonts w:ascii="Times" w:hAnsi="Times" w:cs="Verdana"/>
          <w:color w:val="000000"/>
        </w:rPr>
        <w:t xml:space="preserve"> stacked</w:t>
      </w:r>
      <w:r w:rsidRPr="00113F26">
        <w:rPr>
          <w:rFonts w:ascii="Times" w:hAnsi="Times" w:cs="Verdana"/>
          <w:color w:val="000000"/>
        </w:rPr>
        <w:t>. If a multipart figure is made up of multiple figure types (one part is lineart, and another is grayscale or color) the figure should meet the stricter guidelin</w:t>
      </w:r>
      <w:r w:rsidR="00216141" w:rsidRPr="00113F26">
        <w:rPr>
          <w:rFonts w:ascii="Times" w:hAnsi="Times" w:cs="Verdana"/>
          <w:color w:val="000000"/>
        </w:rPr>
        <w:t>es</w:t>
      </w:r>
      <w:r w:rsidRPr="00113F26">
        <w:rPr>
          <w:rFonts w:ascii="Times" w:hAnsi="Times" w:cs="Verdana"/>
          <w:color w:val="000000"/>
        </w:rPr>
        <w:t>.</w:t>
      </w:r>
    </w:p>
    <w:p w14:paraId="63928D31" w14:textId="77777777" w:rsidR="001B36B1" w:rsidRPr="00E857A2" w:rsidRDefault="001B36B1" w:rsidP="001F4C5C">
      <w:pPr>
        <w:pStyle w:val="Heading2"/>
        <w:jc w:val="both"/>
      </w:pPr>
      <w:r w:rsidRPr="00E857A2">
        <w:t>File Formats For Graphics</w:t>
      </w:r>
    </w:p>
    <w:p w14:paraId="083F8CD0" w14:textId="77777777" w:rsidR="001B36B1" w:rsidRPr="00E857A2" w:rsidRDefault="001B36B1" w:rsidP="001F4C5C">
      <w:pPr>
        <w:ind w:firstLine="144"/>
        <w:jc w:val="both"/>
      </w:pPr>
      <w:r w:rsidRPr="00E857A2">
        <w:t>Format and save your graphics using a suitable graphics processing program that will allow you to create the images as PostScript (PS), Encapsulated PostScript (</w:t>
      </w:r>
      <w:r w:rsidR="00A554A3">
        <w:t>.</w:t>
      </w:r>
      <w:r w:rsidRPr="00E857A2">
        <w:t>EPS), Tagged Image File Format (</w:t>
      </w:r>
      <w:r w:rsidR="000A168B">
        <w:t>.</w:t>
      </w:r>
      <w:r w:rsidRPr="00E857A2">
        <w:t>TIFF), Portable Document Format (</w:t>
      </w:r>
      <w:r w:rsidR="00A554A3">
        <w:t>.</w:t>
      </w:r>
      <w:r w:rsidRPr="00E857A2">
        <w:t>PDF), or Portable Network Graphics (</w:t>
      </w:r>
      <w:r w:rsidR="00A554A3">
        <w:t>.</w:t>
      </w:r>
      <w:r w:rsidRPr="00E857A2">
        <w:t>PNG) sizes them, and adjusts the resolution settings. If you created your source files in one of the following programs you will be able to submit the graphics without converting to a PS, EPS, TIFF, PDF, or PNG file: Microsoft Word, Microsoft PowerPoint, or Microsoft Excel.</w:t>
      </w:r>
      <w:r w:rsidR="00DE07FA">
        <w:t xml:space="preserve"> Though it is not required, it is </w:t>
      </w:r>
      <w:r w:rsidR="00A91937">
        <w:t xml:space="preserve">strongly </w:t>
      </w:r>
      <w:r w:rsidR="00DE07FA">
        <w:t>recommended that these files be saved in PDF format rather than DOC, XLS, or PPT. Doing so will protect your figures from common font and arrow stroke issues that occur when working on the files across multiple platforms.</w:t>
      </w:r>
      <w:r w:rsidRPr="00E857A2">
        <w:t xml:space="preserve"> When submitting your final paper, your graphics should all be submitted individually in one of these formats along with the manuscript.</w:t>
      </w:r>
    </w:p>
    <w:p w14:paraId="0909AC48" w14:textId="77777777" w:rsidR="001B36B1" w:rsidRPr="0013354F" w:rsidRDefault="001B36B1" w:rsidP="001F4C5C">
      <w:pPr>
        <w:pStyle w:val="Heading2"/>
        <w:jc w:val="both"/>
      </w:pPr>
      <w:r w:rsidRPr="0013354F">
        <w:t>Sizing of Graphics</w:t>
      </w:r>
    </w:p>
    <w:p w14:paraId="5322F9C8" w14:textId="77777777" w:rsidR="001B36B1" w:rsidRPr="00113F26" w:rsidRDefault="001B36B1" w:rsidP="001F4C5C">
      <w:pPr>
        <w:ind w:firstLine="144"/>
        <w:jc w:val="both"/>
        <w:rPr>
          <w:rStyle w:val="BodyText2"/>
          <w:rFonts w:ascii="Times" w:hAnsi="Times"/>
          <w:sz w:val="20"/>
          <w:szCs w:val="20"/>
        </w:rPr>
      </w:pPr>
      <w:r w:rsidRPr="00113F26">
        <w:rPr>
          <w:rStyle w:val="BodyText2"/>
          <w:rFonts w:ascii="Times" w:hAnsi="Times"/>
          <w:sz w:val="20"/>
          <w:szCs w:val="20"/>
        </w:rPr>
        <w:t xml:space="preserve">Most charts, graphs, and tables are one column wide (3.5 inches / 88 millimeters / 21 picas) or page wide (7.16 inches / 181 millimeters / 43 picas). The maximum depth a graphic can </w:t>
      </w:r>
      <w:r w:rsidRPr="00113F26">
        <w:rPr>
          <w:rStyle w:val="BodyText2"/>
          <w:rFonts w:ascii="Times" w:hAnsi="Times"/>
          <w:sz w:val="20"/>
          <w:szCs w:val="20"/>
        </w:rPr>
        <w:t xml:space="preserve">be is 8.5 inches (216 millimeters / 54 picas). When choosing the depth of a graphic, please allow space for a caption. Figures can be sized between column and page widths if the author chooses, however it is recommended that figures are not sized less than column width unless when necessary. </w:t>
      </w:r>
    </w:p>
    <w:p w14:paraId="7FD54D43" w14:textId="77777777" w:rsidR="001B36B1" w:rsidRPr="00113F26" w:rsidRDefault="001B36B1" w:rsidP="001F4C5C">
      <w:pPr>
        <w:ind w:firstLine="144"/>
        <w:jc w:val="both"/>
        <w:rPr>
          <w:rStyle w:val="bodytype"/>
          <w:rFonts w:ascii="Times" w:hAnsi="Times"/>
          <w:sz w:val="20"/>
          <w:szCs w:val="20"/>
        </w:rPr>
      </w:pPr>
      <w:r w:rsidRPr="00113F26">
        <w:rPr>
          <w:rStyle w:val="bodytype"/>
          <w:rFonts w:ascii="Times" w:hAnsi="Times"/>
          <w:sz w:val="20"/>
          <w:szCs w:val="20"/>
        </w:rPr>
        <w:t>There is currently one publication with column measurements that do</w:t>
      </w:r>
      <w:r w:rsidR="00DE20DB" w:rsidRPr="00113F26">
        <w:rPr>
          <w:rStyle w:val="bodytype"/>
          <w:rFonts w:ascii="Times" w:hAnsi="Times"/>
          <w:sz w:val="20"/>
          <w:szCs w:val="20"/>
        </w:rPr>
        <w:t xml:space="preserve"> no</w:t>
      </w:r>
      <w:r w:rsidRPr="00113F26">
        <w:rPr>
          <w:rStyle w:val="bodytype"/>
          <w:rFonts w:ascii="Times" w:hAnsi="Times"/>
          <w:sz w:val="20"/>
          <w:szCs w:val="20"/>
        </w:rPr>
        <w:t xml:space="preserve">t </w:t>
      </w:r>
      <w:r w:rsidR="00D92E96" w:rsidRPr="00113F26">
        <w:rPr>
          <w:rStyle w:val="bodytype"/>
          <w:rFonts w:ascii="Times" w:hAnsi="Times"/>
          <w:sz w:val="20"/>
          <w:szCs w:val="20"/>
        </w:rPr>
        <w:t>coincide</w:t>
      </w:r>
      <w:r w:rsidRPr="00113F26">
        <w:rPr>
          <w:rStyle w:val="bodytype"/>
          <w:rFonts w:ascii="Times" w:hAnsi="Times"/>
          <w:sz w:val="20"/>
          <w:szCs w:val="20"/>
        </w:rPr>
        <w:t xml:space="preserve"> with those listed above. </w:t>
      </w:r>
      <w:r w:rsidRPr="001F4C5C">
        <w:rPr>
          <w:rStyle w:val="Style1Char"/>
        </w:rPr>
        <w:t>Proceedings of the IEEE</w:t>
      </w:r>
      <w:r w:rsidRPr="00113F26">
        <w:rPr>
          <w:rStyle w:val="bodytype"/>
          <w:rFonts w:ascii="Times" w:hAnsi="Times"/>
          <w:sz w:val="20"/>
          <w:szCs w:val="20"/>
        </w:rPr>
        <w:t xml:space="preserve"> has a column measurement of 3.25 inches (82.5 millimeters / 19.5 picas). </w:t>
      </w:r>
    </w:p>
    <w:p w14:paraId="3501FADA" w14:textId="77777777" w:rsidR="001B36B1" w:rsidRPr="00113F26" w:rsidRDefault="001B36B1" w:rsidP="001F4C5C">
      <w:pPr>
        <w:ind w:firstLine="144"/>
        <w:jc w:val="both"/>
        <w:rPr>
          <w:rStyle w:val="bodytype"/>
          <w:rFonts w:ascii="Times" w:hAnsi="Times" w:cs="Verdana"/>
          <w:sz w:val="20"/>
          <w:szCs w:val="20"/>
        </w:rPr>
      </w:pPr>
      <w:r w:rsidRPr="00113F26">
        <w:rPr>
          <w:rStyle w:val="BodyText2"/>
          <w:rFonts w:ascii="Times" w:hAnsi="Times"/>
          <w:sz w:val="20"/>
          <w:szCs w:val="20"/>
        </w:rPr>
        <w:t xml:space="preserve">The final printed size of author photographs is exactly </w:t>
      </w:r>
      <w:r w:rsidRPr="00113F26">
        <w:rPr>
          <w:rStyle w:val="BodyText2"/>
          <w:rFonts w:ascii="Times" w:hAnsi="Times"/>
          <w:sz w:val="20"/>
          <w:szCs w:val="20"/>
        </w:rPr>
        <w:br/>
        <w:t>1 inc</w:t>
      </w:r>
      <w:r w:rsidR="000A168B" w:rsidRPr="00113F26">
        <w:rPr>
          <w:rStyle w:val="BodyText2"/>
          <w:rFonts w:ascii="Times" w:hAnsi="Times"/>
          <w:sz w:val="20"/>
          <w:szCs w:val="20"/>
        </w:rPr>
        <w:t>h wide by 1.25 inches tall (25</w:t>
      </w:r>
      <w:r w:rsidR="00A5237D" w:rsidRPr="00113F26">
        <w:rPr>
          <w:rStyle w:val="BodyText2"/>
          <w:rFonts w:ascii="Times" w:hAnsi="Times"/>
          <w:sz w:val="20"/>
          <w:szCs w:val="20"/>
        </w:rPr>
        <w:t>.4</w:t>
      </w:r>
      <w:r w:rsidR="000A168B" w:rsidRPr="00113F26">
        <w:rPr>
          <w:rStyle w:val="BodyText2"/>
          <w:rFonts w:ascii="Times" w:hAnsi="Times"/>
          <w:sz w:val="20"/>
          <w:szCs w:val="20"/>
        </w:rPr>
        <w:t xml:space="preserve"> </w:t>
      </w:r>
      <w:r w:rsidRPr="00113F26">
        <w:rPr>
          <w:rStyle w:val="BodyText2"/>
          <w:rFonts w:ascii="Times" w:hAnsi="Times"/>
          <w:sz w:val="20"/>
          <w:szCs w:val="20"/>
        </w:rPr>
        <w:t>millimeters x 3</w:t>
      </w:r>
      <w:r w:rsidR="00A5237D" w:rsidRPr="00113F26">
        <w:rPr>
          <w:rStyle w:val="BodyText2"/>
          <w:rFonts w:ascii="Times" w:hAnsi="Times"/>
          <w:sz w:val="20"/>
          <w:szCs w:val="20"/>
        </w:rPr>
        <w:t>1.75</w:t>
      </w:r>
      <w:r w:rsidRPr="00113F26">
        <w:rPr>
          <w:rStyle w:val="BodyText2"/>
          <w:rFonts w:ascii="Times" w:hAnsi="Times"/>
          <w:sz w:val="20"/>
          <w:szCs w:val="20"/>
        </w:rPr>
        <w:t xml:space="preserve"> millimeters / 6 picas x 7.5 picas). Author photos printed in editorials measure 1.59 inches wide by 2 inches tall (40 </w:t>
      </w:r>
      <w:r w:rsidR="00E37AF9" w:rsidRPr="00113F26">
        <w:rPr>
          <w:rStyle w:val="BodyText2"/>
          <w:rFonts w:ascii="Times" w:hAnsi="Times"/>
          <w:sz w:val="20"/>
          <w:szCs w:val="20"/>
        </w:rPr>
        <w:t>millimeters x</w:t>
      </w:r>
      <w:r w:rsidRPr="00113F26">
        <w:rPr>
          <w:rStyle w:val="BodyText2"/>
          <w:rFonts w:ascii="Times" w:hAnsi="Times"/>
          <w:sz w:val="20"/>
          <w:szCs w:val="20"/>
        </w:rPr>
        <w:t xml:space="preserve"> 50 </w:t>
      </w:r>
      <w:r w:rsidR="00E37AF9" w:rsidRPr="00113F26">
        <w:rPr>
          <w:rStyle w:val="BodyText2"/>
          <w:rFonts w:ascii="Times" w:hAnsi="Times"/>
          <w:sz w:val="20"/>
          <w:szCs w:val="20"/>
        </w:rPr>
        <w:t>millimeters /</w:t>
      </w:r>
      <w:r w:rsidRPr="00113F26">
        <w:rPr>
          <w:rStyle w:val="BodyText2"/>
          <w:rFonts w:ascii="Times" w:hAnsi="Times"/>
          <w:sz w:val="20"/>
          <w:szCs w:val="20"/>
        </w:rPr>
        <w:t xml:space="preserve"> 9.5 picas x 12 picas).</w:t>
      </w:r>
    </w:p>
    <w:p w14:paraId="28014C3F" w14:textId="77777777" w:rsidR="001B36B1" w:rsidRPr="00113F26" w:rsidRDefault="001B36B1" w:rsidP="001F4C5C">
      <w:pPr>
        <w:pStyle w:val="Heading2"/>
        <w:jc w:val="both"/>
        <w:rPr>
          <w:rStyle w:val="bodytype"/>
          <w:rFonts w:ascii="Times" w:hAnsi="Times"/>
          <w:b/>
          <w:smallCaps/>
          <w:sz w:val="20"/>
          <w:szCs w:val="20"/>
        </w:rPr>
      </w:pPr>
      <w:r w:rsidRPr="0013354F">
        <w:t>Resolution</w:t>
      </w:r>
      <w:r w:rsidRPr="00113F26">
        <w:rPr>
          <w:rStyle w:val="bodytype"/>
          <w:rFonts w:ascii="Times" w:hAnsi="Times"/>
          <w:sz w:val="20"/>
          <w:szCs w:val="20"/>
        </w:rPr>
        <w:t xml:space="preserve"> </w:t>
      </w:r>
    </w:p>
    <w:p w14:paraId="54D6D890" w14:textId="77777777" w:rsidR="001B36B1" w:rsidRPr="00113F26" w:rsidRDefault="001B36B1" w:rsidP="001F4C5C">
      <w:pPr>
        <w:ind w:firstLine="144"/>
        <w:jc w:val="both"/>
        <w:rPr>
          <w:rStyle w:val="bodytype"/>
          <w:rFonts w:ascii="Times" w:hAnsi="Times"/>
          <w:sz w:val="20"/>
          <w:szCs w:val="20"/>
        </w:rPr>
      </w:pPr>
      <w:r w:rsidRPr="00113F26">
        <w:rPr>
          <w:rStyle w:val="bodytype"/>
          <w:rFonts w:ascii="Times" w:hAnsi="Times"/>
          <w:sz w:val="20"/>
          <w:szCs w:val="20"/>
        </w:rPr>
        <w:t>The proper resolution of your figures will depend on the type of figure it is as defined in the “Types of Figures” section. Author photographs, color, and grayscale figures should be at least 300dpi. Line</w:t>
      </w:r>
      <w:r w:rsidR="007530A3" w:rsidRPr="00113F26">
        <w:rPr>
          <w:rStyle w:val="bodytype"/>
          <w:rFonts w:ascii="Times" w:hAnsi="Times"/>
          <w:sz w:val="20"/>
          <w:szCs w:val="20"/>
        </w:rPr>
        <w:t xml:space="preserve"> </w:t>
      </w:r>
      <w:r w:rsidRPr="00113F26">
        <w:rPr>
          <w:rStyle w:val="bodytype"/>
          <w:rFonts w:ascii="Times" w:hAnsi="Times"/>
          <w:sz w:val="20"/>
          <w:szCs w:val="20"/>
        </w:rPr>
        <w:t>art, including tables should be a minimum of 600dpi.</w:t>
      </w:r>
    </w:p>
    <w:p w14:paraId="513EF7AF" w14:textId="77777777" w:rsidR="001B36B1" w:rsidRPr="00113F26" w:rsidRDefault="001B36B1" w:rsidP="001F4C5C">
      <w:pPr>
        <w:pStyle w:val="Heading2"/>
        <w:jc w:val="both"/>
        <w:rPr>
          <w:rStyle w:val="bodytype"/>
          <w:rFonts w:ascii="Cambria" w:hAnsi="Cambria" w:cs="Times New Roman"/>
          <w:smallCaps/>
          <w:color w:val="auto"/>
          <w:sz w:val="20"/>
          <w:szCs w:val="20"/>
        </w:rPr>
      </w:pPr>
      <w:r w:rsidRPr="00113F26">
        <w:rPr>
          <w:rStyle w:val="bodytype"/>
          <w:rFonts w:ascii="Cambria" w:hAnsi="Cambria" w:cs="Times New Roman"/>
          <w:color w:val="auto"/>
          <w:sz w:val="20"/>
          <w:szCs w:val="20"/>
        </w:rPr>
        <w:t>Vector Art</w:t>
      </w:r>
    </w:p>
    <w:p w14:paraId="77B0D993" w14:textId="77777777" w:rsidR="001B36B1" w:rsidRPr="00113F26" w:rsidRDefault="00A91937" w:rsidP="001F4C5C">
      <w:pPr>
        <w:ind w:firstLine="144"/>
        <w:jc w:val="both"/>
        <w:rPr>
          <w:rStyle w:val="bodytype"/>
          <w:rFonts w:ascii="Times" w:hAnsi="Times"/>
          <w:sz w:val="20"/>
          <w:szCs w:val="20"/>
        </w:rPr>
      </w:pPr>
      <w:r w:rsidRPr="00113F26">
        <w:rPr>
          <w:rStyle w:val="bodytype"/>
          <w:rFonts w:ascii="Times" w:hAnsi="Times"/>
          <w:sz w:val="20"/>
          <w:szCs w:val="20"/>
        </w:rPr>
        <w:t>I</w:t>
      </w:r>
      <w:r w:rsidR="001B36B1" w:rsidRPr="00113F26">
        <w:rPr>
          <w:rStyle w:val="bodytype"/>
          <w:rFonts w:ascii="Times" w:hAnsi="Times"/>
          <w:sz w:val="20"/>
          <w:szCs w:val="20"/>
        </w:rPr>
        <w:t xml:space="preserve">n order to preserve the figures’ integrity across multiple </w:t>
      </w:r>
      <w:r w:rsidR="0013354F" w:rsidRPr="00113F26">
        <w:rPr>
          <w:rStyle w:val="bodytype"/>
          <w:rFonts w:ascii="Times" w:hAnsi="Times"/>
          <w:sz w:val="20"/>
          <w:szCs w:val="20"/>
        </w:rPr>
        <w:t xml:space="preserve">computer </w:t>
      </w:r>
      <w:r w:rsidRPr="00113F26">
        <w:rPr>
          <w:rStyle w:val="bodytype"/>
          <w:rFonts w:ascii="Times" w:hAnsi="Times"/>
          <w:sz w:val="20"/>
          <w:szCs w:val="20"/>
        </w:rPr>
        <w:t>platforms, we accept files in the following formats: .EPS/.PDF/.PS. All fonts must be embedded or text converted to outlines in order to achieve the best-quality results.</w:t>
      </w:r>
    </w:p>
    <w:p w14:paraId="5697D6E9" w14:textId="77777777" w:rsidR="001B36B1" w:rsidRPr="0013354F" w:rsidRDefault="001B36B1" w:rsidP="001F4C5C">
      <w:pPr>
        <w:jc w:val="both"/>
      </w:pPr>
    </w:p>
    <w:p w14:paraId="1A1C81E3" w14:textId="77777777" w:rsidR="001B36B1" w:rsidRPr="00113F26" w:rsidRDefault="001B36B1" w:rsidP="001F4C5C">
      <w:pPr>
        <w:pStyle w:val="Heading2"/>
        <w:jc w:val="both"/>
        <w:rPr>
          <w:rStyle w:val="bodytype"/>
          <w:rFonts w:ascii="Cambria" w:hAnsi="Cambria" w:cs="Times New Roman"/>
          <w:smallCaps/>
          <w:color w:val="auto"/>
          <w:sz w:val="20"/>
          <w:szCs w:val="20"/>
        </w:rPr>
      </w:pPr>
      <w:r w:rsidRPr="00113F26">
        <w:rPr>
          <w:rStyle w:val="BodyText2"/>
          <w:rFonts w:ascii="Cambria" w:hAnsi="Cambria" w:cs="Times New Roman"/>
          <w:color w:val="auto"/>
          <w:sz w:val="20"/>
          <w:szCs w:val="20"/>
        </w:rPr>
        <w:t>Color Space</w:t>
      </w:r>
    </w:p>
    <w:p w14:paraId="52AFA1C1" w14:textId="77777777" w:rsidR="001B36B1" w:rsidRPr="00113F26" w:rsidRDefault="001B36B1" w:rsidP="001F4C5C">
      <w:pPr>
        <w:ind w:firstLine="144"/>
        <w:jc w:val="both"/>
        <w:rPr>
          <w:rStyle w:val="BodyText2"/>
          <w:rFonts w:ascii="Times" w:hAnsi="Times"/>
          <w:sz w:val="20"/>
          <w:szCs w:val="20"/>
        </w:rPr>
      </w:pPr>
      <w:r w:rsidRPr="00113F26">
        <w:rPr>
          <w:rStyle w:val="BodyText2"/>
          <w:rFonts w:ascii="Times" w:hAnsi="Times"/>
          <w:sz w:val="20"/>
          <w:szCs w:val="20"/>
        </w:rPr>
        <w:t xml:space="preserve">The term </w:t>
      </w:r>
      <w:r w:rsidRPr="00113F26">
        <w:rPr>
          <w:rStyle w:val="BodyText2"/>
          <w:rFonts w:ascii="Times" w:hAnsi="Times" w:cs="Verdana-Italic"/>
          <w:iCs/>
          <w:sz w:val="20"/>
          <w:szCs w:val="20"/>
        </w:rPr>
        <w:t>color space</w:t>
      </w:r>
      <w:r w:rsidRPr="00113F26">
        <w:rPr>
          <w:rStyle w:val="BodyText2"/>
          <w:rFonts w:ascii="Times" w:hAnsi="Times"/>
          <w:sz w:val="20"/>
          <w:szCs w:val="20"/>
        </w:rPr>
        <w:t xml:space="preserve"> refers to the entire sum of colors that can be represented within the said medium. For our purposes, the three main co</w:t>
      </w:r>
      <w:r w:rsidR="00216141" w:rsidRPr="00113F26">
        <w:rPr>
          <w:rStyle w:val="BodyText2"/>
          <w:rFonts w:ascii="Times" w:hAnsi="Times"/>
          <w:sz w:val="20"/>
          <w:szCs w:val="20"/>
        </w:rPr>
        <w:t>lor spaces are Grayscale, RGB (red/green/blue) and CMYK (cyan/magenta/yellow/black</w:t>
      </w:r>
      <w:r w:rsidRPr="00113F26">
        <w:rPr>
          <w:rStyle w:val="BodyText2"/>
          <w:rFonts w:ascii="Times" w:hAnsi="Times"/>
          <w:sz w:val="20"/>
          <w:szCs w:val="20"/>
        </w:rPr>
        <w:t>). RGB is generally used with on-screen graphics, whereas CMYK is used for printing purposes.</w:t>
      </w:r>
    </w:p>
    <w:p w14:paraId="36DD3D1C" w14:textId="77777777" w:rsidR="001B36B1" w:rsidRPr="00113F26" w:rsidRDefault="001B36B1" w:rsidP="001F4C5C">
      <w:pPr>
        <w:ind w:firstLine="144"/>
        <w:jc w:val="both"/>
        <w:rPr>
          <w:rFonts w:ascii="Times" w:hAnsi="Times" w:cs="Verdana"/>
          <w:color w:val="000000"/>
        </w:rPr>
      </w:pPr>
      <w:r w:rsidRPr="00113F26">
        <w:rPr>
          <w:rStyle w:val="BodyText2"/>
          <w:rFonts w:ascii="Times" w:hAnsi="Times"/>
          <w:sz w:val="20"/>
          <w:szCs w:val="20"/>
        </w:rPr>
        <w:t xml:space="preserve">All color figures should be generated in RGB or CMYK color space. Grayscale images should be submitted in Grayscale color space. Line art may be provided in grayscale OR bitmap colorspace. Note that “bitmap colorspace” and “bitmap file format” are not the same thing. When bitmap color space is selected, </w:t>
      </w:r>
      <w:r w:rsidR="00A554A3" w:rsidRPr="00113F26">
        <w:rPr>
          <w:rStyle w:val="BodyText2"/>
          <w:rFonts w:ascii="Times" w:hAnsi="Times"/>
          <w:sz w:val="20"/>
          <w:szCs w:val="20"/>
        </w:rPr>
        <w:t>.</w:t>
      </w:r>
      <w:r w:rsidRPr="00113F26">
        <w:rPr>
          <w:rStyle w:val="BodyText2"/>
          <w:rFonts w:ascii="Times" w:hAnsi="Times"/>
          <w:sz w:val="20"/>
          <w:szCs w:val="20"/>
        </w:rPr>
        <w:t>TIF/</w:t>
      </w:r>
      <w:r w:rsidR="00A554A3" w:rsidRPr="00113F26">
        <w:rPr>
          <w:rStyle w:val="BodyText2"/>
          <w:rFonts w:ascii="Times" w:hAnsi="Times"/>
          <w:sz w:val="20"/>
          <w:szCs w:val="20"/>
        </w:rPr>
        <w:t>.</w:t>
      </w:r>
      <w:r w:rsidRPr="00113F26">
        <w:rPr>
          <w:rStyle w:val="BodyText2"/>
          <w:rFonts w:ascii="Times" w:hAnsi="Times"/>
          <w:sz w:val="20"/>
          <w:szCs w:val="20"/>
        </w:rPr>
        <w:t>TIFF</w:t>
      </w:r>
      <w:r w:rsidR="00A91937" w:rsidRPr="00113F26">
        <w:rPr>
          <w:rStyle w:val="BodyText2"/>
          <w:rFonts w:ascii="Times" w:hAnsi="Times"/>
          <w:sz w:val="20"/>
          <w:szCs w:val="20"/>
        </w:rPr>
        <w:t>/.PNG are</w:t>
      </w:r>
      <w:r w:rsidRPr="00113F26">
        <w:rPr>
          <w:rStyle w:val="BodyText2"/>
          <w:rFonts w:ascii="Times" w:hAnsi="Times"/>
          <w:sz w:val="20"/>
          <w:szCs w:val="20"/>
        </w:rPr>
        <w:t xml:space="preserve"> the recommended file format</w:t>
      </w:r>
      <w:r w:rsidR="00A91937" w:rsidRPr="00113F26">
        <w:rPr>
          <w:rStyle w:val="BodyText2"/>
          <w:rFonts w:ascii="Times" w:hAnsi="Times"/>
          <w:sz w:val="20"/>
          <w:szCs w:val="20"/>
        </w:rPr>
        <w:t>s</w:t>
      </w:r>
      <w:r w:rsidRPr="00113F26">
        <w:rPr>
          <w:rStyle w:val="BodyText2"/>
          <w:rFonts w:ascii="Times" w:hAnsi="Times"/>
          <w:sz w:val="20"/>
          <w:szCs w:val="20"/>
        </w:rPr>
        <w:t>.</w:t>
      </w:r>
    </w:p>
    <w:p w14:paraId="607E2666" w14:textId="77777777" w:rsidR="001B36B1" w:rsidRPr="0013354F" w:rsidRDefault="001B36B1" w:rsidP="001B36B1"/>
    <w:p w14:paraId="6293FEFA" w14:textId="77777777" w:rsidR="001B36B1" w:rsidRPr="0013354F" w:rsidRDefault="001B36B1" w:rsidP="001F4C5C">
      <w:pPr>
        <w:pStyle w:val="Heading2"/>
      </w:pPr>
      <w:r w:rsidRPr="0013354F">
        <w:t>Accepted Fonts Within Figures</w:t>
      </w:r>
    </w:p>
    <w:p w14:paraId="62A9BA8C" w14:textId="77777777" w:rsidR="001B36B1" w:rsidRPr="00113F26" w:rsidRDefault="001B36B1" w:rsidP="001F4C5C">
      <w:pPr>
        <w:ind w:firstLine="202"/>
        <w:rPr>
          <w:rStyle w:val="BodyText2"/>
          <w:rFonts w:ascii="Times" w:hAnsi="Times"/>
          <w:sz w:val="20"/>
          <w:szCs w:val="20"/>
        </w:rPr>
      </w:pPr>
      <w:r w:rsidRPr="00113F26">
        <w:rPr>
          <w:rStyle w:val="BodyText2"/>
          <w:rFonts w:ascii="Times" w:hAnsi="Times"/>
          <w:sz w:val="20"/>
          <w:szCs w:val="20"/>
        </w:rPr>
        <w:t xml:space="preserve">When preparing your graphics IEEE suggests that you use of one of the following Open Type fonts: Times New Roman, Helvetica, </w:t>
      </w:r>
      <w:r w:rsidR="00885258" w:rsidRPr="00113F26">
        <w:rPr>
          <w:rStyle w:val="BodyText2"/>
          <w:rFonts w:ascii="Times" w:hAnsi="Times"/>
          <w:sz w:val="20"/>
          <w:szCs w:val="20"/>
        </w:rPr>
        <w:t xml:space="preserve">Arial, </w:t>
      </w:r>
      <w:r w:rsidR="000D2BDE" w:rsidRPr="00113F26">
        <w:rPr>
          <w:rStyle w:val="BodyText2"/>
          <w:rFonts w:ascii="Times" w:hAnsi="Times"/>
          <w:sz w:val="20"/>
          <w:szCs w:val="20"/>
        </w:rPr>
        <w:t xml:space="preserve">Cambria, and </w:t>
      </w:r>
      <w:r w:rsidRPr="00113F26">
        <w:rPr>
          <w:rStyle w:val="BodyText2"/>
          <w:rFonts w:ascii="Times" w:hAnsi="Times"/>
          <w:sz w:val="20"/>
          <w:szCs w:val="20"/>
        </w:rPr>
        <w:t>Symbol. If you are supplying EPS, PS, or PDF files all fonts must be embedded. Some fonts may only be native to your operating system; without the fonts embedded, parts of the graphic may be distorted or missing.</w:t>
      </w:r>
    </w:p>
    <w:p w14:paraId="2466851F" w14:textId="77777777" w:rsidR="001B36B1" w:rsidRPr="00113F26" w:rsidRDefault="001B36B1" w:rsidP="001F4C5C">
      <w:pPr>
        <w:ind w:firstLine="202"/>
        <w:rPr>
          <w:rFonts w:ascii="Times" w:hAnsi="Times" w:cs="Verdana"/>
          <w:color w:val="000000"/>
          <w:sz w:val="22"/>
          <w:szCs w:val="22"/>
        </w:rPr>
      </w:pPr>
      <w:r w:rsidRPr="00E857A2">
        <w:t>A safe option when finalizing your figures is to strip out the fonts before you save the files, creating “outline” type. This converts fonts to artwork what will appear uniformly on any screen.</w:t>
      </w:r>
    </w:p>
    <w:p w14:paraId="0C0DBE32" w14:textId="77777777" w:rsidR="001B36B1" w:rsidRPr="00E857A2" w:rsidRDefault="001B36B1" w:rsidP="001B36B1"/>
    <w:p w14:paraId="06464608" w14:textId="77777777" w:rsidR="001B36B1" w:rsidRPr="00E857A2" w:rsidRDefault="001B36B1" w:rsidP="001F4C5C">
      <w:pPr>
        <w:pStyle w:val="Heading2"/>
      </w:pPr>
      <w:r w:rsidRPr="00E857A2">
        <w:t>Using Labels Within Figures</w:t>
      </w:r>
    </w:p>
    <w:p w14:paraId="50F9476B" w14:textId="77777777" w:rsidR="001B36B1" w:rsidRPr="00E857A2" w:rsidRDefault="009F40FB" w:rsidP="001F4C5C">
      <w:pPr>
        <w:pStyle w:val="Heading3"/>
      </w:pPr>
      <w:r>
        <w:t>Figure A</w:t>
      </w:r>
      <w:r w:rsidR="001B36B1" w:rsidRPr="00E857A2">
        <w:t xml:space="preserve">xis labels </w:t>
      </w:r>
    </w:p>
    <w:p w14:paraId="0635BBA7" w14:textId="77777777" w:rsidR="001B36B1" w:rsidRPr="00E857A2" w:rsidRDefault="001B36B1" w:rsidP="001F4C5C">
      <w:pPr>
        <w:pStyle w:val="Text"/>
        <w:ind w:firstLine="144"/>
        <w:rPr>
          <w:b/>
        </w:rPr>
      </w:pPr>
      <w:r w:rsidRPr="00E857A2">
        <w:t xml:space="preserve">Figure axis labels are often a source of confusion. Use words rather than symbols. As an example, write the quantity </w:t>
      </w:r>
      <w:r w:rsidRPr="00E857A2">
        <w:lastRenderedPageBreak/>
        <w:t xml:space="preserve">“Magnetization,” or “Magnetization </w:t>
      </w:r>
      <w:r w:rsidRPr="00E857A2">
        <w:rPr>
          <w:i/>
          <w:iCs/>
        </w:rPr>
        <w:t>M</w:t>
      </w:r>
      <w:r w:rsidRPr="00E857A2">
        <w:t>,” not just “</w:t>
      </w:r>
      <w:r w:rsidRPr="00E857A2">
        <w:rPr>
          <w:i/>
          <w:iCs/>
        </w:rPr>
        <w:t>M</w:t>
      </w:r>
      <w:r w:rsidRPr="00E857A2">
        <w:t>.” Put units in parentheses. Do not label axes only with units. As in Fig. 1, for example, write “Magnetization (A/m)” or “Magnetization (A</w:t>
      </w:r>
      <w:r w:rsidRPr="00E857A2">
        <w:rPr>
          <w:position w:val="-2"/>
        </w:rPr>
        <w:object w:dxaOrig="100" w:dyaOrig="120" w14:anchorId="13B7646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5.25pt;height:6pt" o:ole="" fillcolor="window">
            <v:imagedata r:id="rId10" o:title=""/>
          </v:shape>
          <o:OLEObject Type="Embed" ProgID="Equation.3" ShapeID="_x0000_i1026" DrawAspect="Content" ObjectID="_1839228515" r:id="rId11"/>
        </w:object>
      </w:r>
      <w:r w:rsidRPr="00E857A2">
        <w:t>m</w:t>
      </w:r>
      <w:r w:rsidRPr="00E857A2">
        <w:rPr>
          <w:vertAlign w:val="superscript"/>
        </w:rPr>
        <w:sym w:font="Symbol" w:char="F02D"/>
      </w:r>
      <w:r w:rsidRPr="00E857A2">
        <w:rPr>
          <w:vertAlign w:val="superscript"/>
        </w:rPr>
        <w:t>1</w:t>
      </w:r>
      <w:r w:rsidRPr="00E857A2">
        <w:t xml:space="preserve">),” not just “A/m.” Do not label axes with a ratio of quantities and units. For example, write “Temperature (K),” not “Temperature/K.” </w:t>
      </w:r>
    </w:p>
    <w:p w14:paraId="566C98BC" w14:textId="77777777" w:rsidR="001B36B1" w:rsidRPr="00E857A2" w:rsidRDefault="001B36B1" w:rsidP="001F4C5C">
      <w:pPr>
        <w:ind w:firstLine="144"/>
        <w:jc w:val="both"/>
      </w:pPr>
      <w:r w:rsidRPr="00E857A2">
        <w:t>Multipliers can be especially confusing. Write “Magnetization (kA/m)” or “Magnetization (10</w:t>
      </w:r>
      <w:r w:rsidRPr="00E857A2">
        <w:rPr>
          <w:vertAlign w:val="superscript"/>
        </w:rPr>
        <w:t>3</w:t>
      </w:r>
      <w:r w:rsidRPr="00E857A2">
        <w:t xml:space="preserve"> A/m).” Do not write “Magnetization (A/m) </w:t>
      </w:r>
      <w:r w:rsidRPr="00E857A2">
        <w:sym w:font="Symbol" w:char="F0B4"/>
      </w:r>
      <w:r w:rsidRPr="00E857A2">
        <w:t xml:space="preserve"> 1000” because the reader would not know whether the top axis label in Fig. 1 meant 16000 A/m or 0.016 A/m. Figure labels should be legible, approximately 8 to 10 point type.</w:t>
      </w:r>
    </w:p>
    <w:p w14:paraId="1F2C3E70" w14:textId="77777777" w:rsidR="001B36B1" w:rsidRPr="00113F26" w:rsidRDefault="001B36B1" w:rsidP="001F4C5C">
      <w:pPr>
        <w:jc w:val="both"/>
        <w:rPr>
          <w:rFonts w:ascii="Times" w:hAnsi="Times" w:cs="Verdana"/>
          <w:color w:val="000000"/>
        </w:rPr>
      </w:pPr>
    </w:p>
    <w:p w14:paraId="7F6415DE" w14:textId="77777777" w:rsidR="001B36B1" w:rsidRPr="00E857A2" w:rsidRDefault="001B36B1" w:rsidP="001F4C5C">
      <w:pPr>
        <w:pStyle w:val="Heading3"/>
        <w:jc w:val="both"/>
      </w:pPr>
      <w:r w:rsidRPr="00E857A2">
        <w:t>Subfigure Labels in Multipart Figures and Tables</w:t>
      </w:r>
    </w:p>
    <w:p w14:paraId="3DA7D4EB" w14:textId="77777777" w:rsidR="001B36B1" w:rsidRPr="00E857A2" w:rsidRDefault="001B36B1" w:rsidP="001F4C5C">
      <w:pPr>
        <w:ind w:firstLine="144"/>
        <w:jc w:val="both"/>
      </w:pPr>
      <w:r w:rsidRPr="00113F26">
        <w:rPr>
          <w:rFonts w:ascii="Times" w:hAnsi="Times" w:cs="Verdana"/>
          <w:color w:val="000000"/>
        </w:rPr>
        <w:t xml:space="preserve">Multipart figures should be combined and labeled before final submission. Labels should appear centered below each subfigure in 8 point Times New Roman font in the format of (a) (b) (c). </w:t>
      </w:r>
    </w:p>
    <w:p w14:paraId="6AA00B2B" w14:textId="77777777" w:rsidR="001B36B1" w:rsidRPr="00E857A2" w:rsidRDefault="001B36B1" w:rsidP="001F4C5C">
      <w:pPr>
        <w:pStyle w:val="Heading2"/>
        <w:jc w:val="both"/>
      </w:pPr>
      <w:r w:rsidRPr="00E857A2">
        <w:t>File Naming</w:t>
      </w:r>
    </w:p>
    <w:p w14:paraId="18D95B9F" w14:textId="77777777" w:rsidR="001B36B1" w:rsidRPr="00113F26" w:rsidRDefault="001B36B1" w:rsidP="001F4C5C">
      <w:pPr>
        <w:jc w:val="both"/>
        <w:rPr>
          <w:rStyle w:val="BodyText2"/>
          <w:rFonts w:ascii="Times" w:hAnsi="Times"/>
          <w:smallCaps/>
          <w:kern w:val="28"/>
          <w:sz w:val="20"/>
          <w:szCs w:val="20"/>
        </w:rPr>
      </w:pPr>
      <w:r w:rsidRPr="00113F26">
        <w:rPr>
          <w:rStyle w:val="BodyText2"/>
          <w:rFonts w:ascii="Times" w:hAnsi="Times"/>
          <w:sz w:val="20"/>
          <w:szCs w:val="20"/>
        </w:rPr>
        <w:tab/>
        <w:t>Figures (line artwork or photographs) should be named starting with the first 5 letters of the author’s last name. The next characters in the filename should be the number that represents the sequential location of this image in your article. For example, in author “Anderson’s” paper, the first three figures would be named ander1.tif, ander2.tif, and ander3.ps.</w:t>
      </w:r>
    </w:p>
    <w:p w14:paraId="659CA4EC" w14:textId="77777777" w:rsidR="001B36B1" w:rsidRPr="00113F26" w:rsidRDefault="001B36B1" w:rsidP="001F4C5C">
      <w:pPr>
        <w:jc w:val="both"/>
        <w:rPr>
          <w:rStyle w:val="BodyText2"/>
          <w:rFonts w:ascii="Times" w:hAnsi="Times"/>
          <w:sz w:val="20"/>
          <w:szCs w:val="20"/>
        </w:rPr>
      </w:pPr>
      <w:r w:rsidRPr="00113F26">
        <w:rPr>
          <w:rStyle w:val="BodyText2"/>
          <w:rFonts w:ascii="Times" w:hAnsi="Times"/>
          <w:sz w:val="20"/>
          <w:szCs w:val="20"/>
        </w:rPr>
        <w:tab/>
        <w:t>Tables should contain only the body of the table (not the caption) and should be named similarly to figures, except that ‘.t’ is inserted in-between the author’s name and the table number. For example, author Anderson’s first three tables would be named ander.t1.tif, ander.t2.ps, ander.t3.eps.</w:t>
      </w:r>
    </w:p>
    <w:p w14:paraId="456FDA7C" w14:textId="77777777" w:rsidR="001B36B1" w:rsidRPr="00113F26" w:rsidRDefault="001B36B1" w:rsidP="001F4C5C">
      <w:pPr>
        <w:jc w:val="both"/>
        <w:rPr>
          <w:rStyle w:val="BodyText2"/>
          <w:rFonts w:ascii="Times" w:hAnsi="Times"/>
          <w:sz w:val="20"/>
          <w:szCs w:val="20"/>
        </w:rPr>
      </w:pPr>
      <w:r w:rsidRPr="00113F26">
        <w:rPr>
          <w:rStyle w:val="BodyText2"/>
          <w:rFonts w:ascii="Times" w:hAnsi="Times"/>
          <w:sz w:val="20"/>
          <w:szCs w:val="20"/>
        </w:rPr>
        <w:tab/>
        <w:t>Author photographs should be named using the first five characters of the pictured author’s last name</w:t>
      </w:r>
      <w:r w:rsidR="00D92E96" w:rsidRPr="00113F26">
        <w:rPr>
          <w:rStyle w:val="BodyText2"/>
          <w:rFonts w:ascii="Times" w:hAnsi="Times"/>
          <w:sz w:val="20"/>
          <w:szCs w:val="20"/>
        </w:rPr>
        <w:t xml:space="preserve">. </w:t>
      </w:r>
      <w:r w:rsidRPr="00113F26">
        <w:rPr>
          <w:rStyle w:val="BodyText2"/>
          <w:rFonts w:ascii="Times" w:hAnsi="Times"/>
          <w:sz w:val="20"/>
          <w:szCs w:val="20"/>
        </w:rPr>
        <w:t xml:space="preserve">For example, four author photographs for a paper may be named: oppen.ps, moshc.tif, chen.eps, and duran.pdf.  </w:t>
      </w:r>
    </w:p>
    <w:p w14:paraId="6F1D9E56" w14:textId="77777777" w:rsidR="001B36B1" w:rsidRPr="00113F26" w:rsidRDefault="001B36B1" w:rsidP="001F4C5C">
      <w:pPr>
        <w:jc w:val="both"/>
        <w:rPr>
          <w:rStyle w:val="BodyText2"/>
          <w:rFonts w:ascii="Times" w:hAnsi="Times"/>
          <w:sz w:val="20"/>
          <w:szCs w:val="20"/>
        </w:rPr>
      </w:pPr>
      <w:r w:rsidRPr="00113F26">
        <w:rPr>
          <w:rStyle w:val="BodyText2"/>
          <w:rFonts w:ascii="Times" w:hAnsi="Times"/>
          <w:sz w:val="20"/>
          <w:szCs w:val="20"/>
        </w:rPr>
        <w:tab/>
        <w:t xml:space="preserve">If two authors or more have the same last name, their first initial(s) can be substituted for the fifth, fourth, third... letters of their surname until the degree where there is differentiation. For </w:t>
      </w:r>
      <w:r w:rsidR="00216141" w:rsidRPr="00113F26">
        <w:rPr>
          <w:rStyle w:val="BodyText2"/>
          <w:rFonts w:ascii="Times" w:hAnsi="Times"/>
          <w:sz w:val="20"/>
          <w:szCs w:val="20"/>
        </w:rPr>
        <w:t>e</w:t>
      </w:r>
      <w:r w:rsidRPr="00113F26">
        <w:rPr>
          <w:rStyle w:val="BodyText2"/>
          <w:rFonts w:ascii="Times" w:hAnsi="Times"/>
          <w:sz w:val="20"/>
          <w:szCs w:val="20"/>
        </w:rPr>
        <w:t>xample, two authors Michael and Monica Opp</w:t>
      </w:r>
      <w:r w:rsidR="00216141" w:rsidRPr="00113F26">
        <w:rPr>
          <w:rStyle w:val="BodyText2"/>
          <w:rFonts w:ascii="Times" w:hAnsi="Times"/>
          <w:sz w:val="20"/>
          <w:szCs w:val="20"/>
        </w:rPr>
        <w:t>enheimer’s photos would be named</w:t>
      </w:r>
      <w:r w:rsidRPr="00113F26">
        <w:rPr>
          <w:rStyle w:val="BodyText2"/>
          <w:rFonts w:ascii="Times" w:hAnsi="Times"/>
          <w:sz w:val="20"/>
          <w:szCs w:val="20"/>
        </w:rPr>
        <w:t xml:space="preserve"> oppmi.tif, and oppmo.eps.</w:t>
      </w:r>
    </w:p>
    <w:p w14:paraId="5E503A88" w14:textId="77777777" w:rsidR="001B36B1" w:rsidRPr="00113F26" w:rsidRDefault="001B36B1" w:rsidP="001F4C5C">
      <w:pPr>
        <w:jc w:val="both"/>
        <w:rPr>
          <w:rStyle w:val="BodyText2"/>
          <w:rFonts w:ascii="Times" w:hAnsi="Times"/>
          <w:sz w:val="20"/>
          <w:szCs w:val="20"/>
        </w:rPr>
      </w:pPr>
    </w:p>
    <w:p w14:paraId="46E265D2" w14:textId="77777777" w:rsidR="001B36B1" w:rsidRPr="00113F26" w:rsidRDefault="001B36B1" w:rsidP="001F4C5C">
      <w:pPr>
        <w:pStyle w:val="Heading2"/>
        <w:jc w:val="both"/>
        <w:rPr>
          <w:rStyle w:val="BodyText2"/>
          <w:rFonts w:ascii="Cambria" w:hAnsi="Cambria" w:cs="Times New Roman"/>
          <w:color w:val="auto"/>
          <w:sz w:val="20"/>
          <w:szCs w:val="20"/>
        </w:rPr>
      </w:pPr>
      <w:r w:rsidRPr="00113F26">
        <w:rPr>
          <w:rStyle w:val="BodyText2"/>
          <w:rFonts w:ascii="Cambria" w:hAnsi="Cambria" w:cs="Times New Roman"/>
          <w:color w:val="auto"/>
          <w:sz w:val="20"/>
          <w:szCs w:val="20"/>
        </w:rPr>
        <w:t>Referencing a Figure or Table Within Your Paper</w:t>
      </w:r>
    </w:p>
    <w:p w14:paraId="76691123" w14:textId="77777777" w:rsidR="001B36B1" w:rsidRPr="00113F26" w:rsidRDefault="001B36B1" w:rsidP="001F4C5C">
      <w:pPr>
        <w:ind w:firstLine="144"/>
        <w:jc w:val="both"/>
        <w:rPr>
          <w:rStyle w:val="BodyText2"/>
          <w:rFonts w:ascii="Times" w:hAnsi="Times"/>
          <w:sz w:val="20"/>
          <w:szCs w:val="20"/>
        </w:rPr>
      </w:pPr>
      <w:r w:rsidRPr="00113F26">
        <w:rPr>
          <w:rStyle w:val="BodyText2"/>
          <w:rFonts w:ascii="Times" w:hAnsi="Times"/>
          <w:sz w:val="20"/>
          <w:szCs w:val="20"/>
        </w:rPr>
        <w:t>When referencing your figures and tables within your paper, use the abbreviation “F</w:t>
      </w:r>
      <w:r w:rsidR="0013354F" w:rsidRPr="00113F26">
        <w:rPr>
          <w:rStyle w:val="BodyText2"/>
          <w:rFonts w:ascii="Times" w:hAnsi="Times"/>
          <w:sz w:val="20"/>
          <w:szCs w:val="20"/>
        </w:rPr>
        <w:t xml:space="preserve">ig.” even at the beginning of a </w:t>
      </w:r>
      <w:r w:rsidRPr="00113F26">
        <w:rPr>
          <w:rStyle w:val="BodyText2"/>
          <w:rFonts w:ascii="Times" w:hAnsi="Times"/>
          <w:sz w:val="20"/>
          <w:szCs w:val="20"/>
        </w:rPr>
        <w:t>sentence. Do not abbreviate “Table.” Tables should be numbered with Roman Numerals.</w:t>
      </w:r>
    </w:p>
    <w:p w14:paraId="37C3627A" w14:textId="77777777" w:rsidR="001B36B1" w:rsidRPr="00E857A2" w:rsidRDefault="001B36B1" w:rsidP="001F4C5C">
      <w:pPr>
        <w:pStyle w:val="Heading2"/>
        <w:jc w:val="both"/>
      </w:pPr>
      <w:r w:rsidRPr="00E857A2">
        <w:t xml:space="preserve">Checking Your Figures: The IEEE </w:t>
      </w:r>
      <w:r w:rsidR="00A91937">
        <w:t>Graphics Analyzer</w:t>
      </w:r>
    </w:p>
    <w:p w14:paraId="5DA5B869" w14:textId="77777777" w:rsidR="001B36B1" w:rsidRPr="00E857A2" w:rsidRDefault="001B36B1" w:rsidP="001F4C5C">
      <w:pPr>
        <w:ind w:firstLine="144"/>
        <w:jc w:val="both"/>
      </w:pPr>
      <w:r w:rsidRPr="00E857A2">
        <w:t xml:space="preserve">The IEEE </w:t>
      </w:r>
      <w:r w:rsidR="00A91937">
        <w:t xml:space="preserve">Graphics Analyzer </w:t>
      </w:r>
      <w:r w:rsidRPr="00E857A2">
        <w:t xml:space="preserve">enables authors to pre-screen their graphics for compliance with IEEE Transactions and Journals standards before submission. The online tool, located at </w:t>
      </w:r>
      <w:hyperlink r:id="rId12" w:history="1">
        <w:r w:rsidRPr="00113F26">
          <w:rPr>
            <w:rStyle w:val="Hyperlink"/>
            <w:rFonts w:ascii="Times" w:hAnsi="Times"/>
            <w:color w:val="000000"/>
          </w:rPr>
          <w:t>http://graphicsqc.ieee.org/</w:t>
        </w:r>
      </w:hyperlink>
      <w:r w:rsidRPr="00E857A2">
        <w:t xml:space="preserve">, allows authors to upload their graphics in order to check that each file is the correct file format, resolution, size and colorspace; that no fonts are missing or corrupt; that figures are not compiled in layers or have transparency, and that they are named according to the IEEE Transactions and Journals naming convention. At the end of this automated process, authors are provided with a detailed </w:t>
      </w:r>
      <w:r w:rsidRPr="00E857A2">
        <w:t>report on each graphic within the web applet, as well as by email.</w:t>
      </w:r>
    </w:p>
    <w:p w14:paraId="39A08909" w14:textId="77777777" w:rsidR="001B36B1" w:rsidRPr="00E857A2" w:rsidRDefault="001B36B1" w:rsidP="001F4C5C">
      <w:pPr>
        <w:ind w:firstLine="144"/>
        <w:jc w:val="both"/>
      </w:pPr>
      <w:r w:rsidRPr="00E857A2">
        <w:t xml:space="preserve">For more information on using the </w:t>
      </w:r>
      <w:r w:rsidR="00A91937">
        <w:t>Graphics Analyzer</w:t>
      </w:r>
      <w:r w:rsidRPr="00E857A2">
        <w:t xml:space="preserve"> </w:t>
      </w:r>
      <w:r w:rsidR="0013354F">
        <w:br/>
      </w:r>
      <w:r w:rsidRPr="00E857A2">
        <w:t>or any other graphics related topic, c</w:t>
      </w:r>
      <w:r w:rsidR="00216141">
        <w:t>ontact the IEEE Graphics Help</w:t>
      </w:r>
      <w:r w:rsidRPr="00E857A2">
        <w:t xml:space="preserve"> Desk by e-mail at </w:t>
      </w:r>
      <w:hyperlink r:id="rId13" w:history="1">
        <w:r w:rsidRPr="00113F26">
          <w:rPr>
            <w:rStyle w:val="Hyperlink"/>
            <w:rFonts w:ascii="Times" w:hAnsi="Times"/>
            <w:color w:val="000000"/>
          </w:rPr>
          <w:t>graphics@ieee.org</w:t>
        </w:r>
      </w:hyperlink>
      <w:r w:rsidRPr="00E857A2">
        <w:t>.</w:t>
      </w:r>
    </w:p>
    <w:p w14:paraId="5EB5DF88" w14:textId="77777777" w:rsidR="001B36B1" w:rsidRPr="00E857A2" w:rsidRDefault="001B36B1" w:rsidP="001F4C5C">
      <w:pPr>
        <w:jc w:val="both"/>
      </w:pPr>
    </w:p>
    <w:p w14:paraId="024D4644" w14:textId="77777777" w:rsidR="001B36B1" w:rsidRPr="00E857A2" w:rsidRDefault="001B36B1" w:rsidP="001F4C5C">
      <w:pPr>
        <w:pStyle w:val="Heading2"/>
        <w:jc w:val="both"/>
      </w:pPr>
      <w:r w:rsidRPr="00E857A2">
        <w:t>Submitting Your Graphics</w:t>
      </w:r>
    </w:p>
    <w:p w14:paraId="698D5AB8" w14:textId="77777777" w:rsidR="001B36B1" w:rsidRPr="00E857A2" w:rsidRDefault="001B36B1" w:rsidP="001F4C5C">
      <w:pPr>
        <w:ind w:firstLine="144"/>
        <w:jc w:val="both"/>
      </w:pPr>
      <w:r w:rsidRPr="00E857A2">
        <w:t xml:space="preserve">Because IEEE will do the final formatting of your paper, </w:t>
      </w:r>
      <w:r w:rsidR="0013354F">
        <w:br/>
      </w:r>
      <w:r w:rsidRPr="00E857A2">
        <w:t xml:space="preserve">you do not need to position figures and tables at the top and bottom of each column. In fact, all figures, figure captions, and tables can be placed at the end of your paper. In addition to, or even in lieu of submitting figures within your final manuscript, figures should be submitted individually, separate from the manuscript in one of the file formats listed above in </w:t>
      </w:r>
      <w:r w:rsidR="009E484E">
        <w:t>section VI-J</w:t>
      </w:r>
      <w:r w:rsidRPr="00E857A2">
        <w:t>. Place figure captions below the figures; place table titles above the tables. Please do not include ca</w:t>
      </w:r>
      <w:r w:rsidR="00216141">
        <w:t xml:space="preserve">ptions as part of the figures, </w:t>
      </w:r>
      <w:r w:rsidRPr="00E857A2">
        <w:t>or put them in “text boxes” linked to the figures. Also, do not place borders around the outside of your figures.</w:t>
      </w:r>
    </w:p>
    <w:p w14:paraId="6EDE31A4" w14:textId="77777777" w:rsidR="001B36B1" w:rsidRPr="00E857A2" w:rsidRDefault="001B36B1" w:rsidP="001F4C5C">
      <w:pPr>
        <w:jc w:val="both"/>
      </w:pPr>
    </w:p>
    <w:p w14:paraId="5D234787" w14:textId="77777777" w:rsidR="001B36B1" w:rsidRPr="00113F26" w:rsidRDefault="001B36B1" w:rsidP="001F4C5C">
      <w:pPr>
        <w:pStyle w:val="Heading2"/>
        <w:jc w:val="both"/>
        <w:rPr>
          <w:rStyle w:val="BodyText2"/>
          <w:rFonts w:ascii="Cambria" w:hAnsi="Cambria" w:cs="Times New Roman"/>
          <w:i w:val="0"/>
          <w:iCs w:val="0"/>
          <w:color w:val="auto"/>
          <w:sz w:val="20"/>
          <w:szCs w:val="20"/>
        </w:rPr>
      </w:pPr>
      <w:r w:rsidRPr="00113F26">
        <w:rPr>
          <w:rStyle w:val="BodyText2"/>
          <w:rFonts w:ascii="Cambria" w:hAnsi="Cambria" w:cs="Times New Roman"/>
          <w:color w:val="auto"/>
          <w:sz w:val="20"/>
          <w:szCs w:val="20"/>
        </w:rPr>
        <w:t>Color Processing / Printing in IEEE Journals</w:t>
      </w:r>
    </w:p>
    <w:p w14:paraId="2D7BF610" w14:textId="77777777" w:rsidR="001B36B1" w:rsidRPr="0013354F" w:rsidRDefault="001B36B1" w:rsidP="001F4C5C">
      <w:pPr>
        <w:ind w:firstLine="144"/>
        <w:jc w:val="both"/>
      </w:pPr>
      <w:r w:rsidRPr="0013354F">
        <w:t xml:space="preserve">All IEEE </w:t>
      </w:r>
      <w:r w:rsidR="009F40FB">
        <w:t>Transactions</w:t>
      </w:r>
      <w:r w:rsidRPr="0013354F">
        <w:t xml:space="preserve">, </w:t>
      </w:r>
      <w:r w:rsidR="009F40FB">
        <w:t>Journals</w:t>
      </w:r>
      <w:r w:rsidRPr="0013354F">
        <w:t xml:space="preserve">, and </w:t>
      </w:r>
      <w:r w:rsidR="009F40FB">
        <w:t>Letters</w:t>
      </w:r>
      <w:r w:rsidRPr="0013354F">
        <w:t xml:space="preserve"> allow an author to publish color figures on </w:t>
      </w:r>
      <w:r w:rsidR="00104BB0">
        <w:t>IEEE</w:t>
      </w:r>
      <w:r w:rsidR="003427CE">
        <w:t xml:space="preserve"> </w:t>
      </w:r>
      <w:r w:rsidRPr="001F4C5C">
        <w:rPr>
          <w:i/>
        </w:rPr>
        <w:t>Xplore</w:t>
      </w:r>
      <w:r w:rsidR="00104BB0" w:rsidRPr="00DE07FA">
        <w:rPr>
          <w:vertAlign w:val="superscript"/>
        </w:rPr>
        <w:t>®</w:t>
      </w:r>
      <w:r w:rsidRPr="0013354F">
        <w:t xml:space="preserve"> at no charge, and automatically convert them to grayscale for print versions. </w:t>
      </w:r>
      <w:r w:rsidRPr="00113F26">
        <w:rPr>
          <w:rStyle w:val="BodyText2"/>
          <w:rFonts w:ascii="Times" w:hAnsi="Times"/>
          <w:sz w:val="20"/>
          <w:szCs w:val="20"/>
        </w:rPr>
        <w:t xml:space="preserve">In most journals, figures and tables may alternatively be printed in color if an author chooses to do so. Please </w:t>
      </w:r>
      <w:r w:rsidR="00104BB0" w:rsidRPr="00113F26">
        <w:rPr>
          <w:rStyle w:val="BodyText2"/>
          <w:rFonts w:ascii="Times" w:hAnsi="Times"/>
          <w:sz w:val="20"/>
          <w:szCs w:val="20"/>
        </w:rPr>
        <w:t>note that</w:t>
      </w:r>
      <w:r w:rsidRPr="00113F26">
        <w:rPr>
          <w:rStyle w:val="BodyText2"/>
          <w:rFonts w:ascii="Times" w:hAnsi="Times"/>
          <w:sz w:val="20"/>
          <w:szCs w:val="20"/>
        </w:rPr>
        <w:t xml:space="preserve"> this service comes at an extra expense to the author. If you intend to have print color graphics, include a note with your final paper indicating which figures or tables you would like to be handled that way, and stating that you are willing to pay the additional fee.</w:t>
      </w:r>
    </w:p>
    <w:p w14:paraId="079B8C7F" w14:textId="77777777" w:rsidR="005D72BB" w:rsidRPr="00717AE1" w:rsidRDefault="005D72BB" w:rsidP="0013354F">
      <w:pPr>
        <w:pStyle w:val="Text"/>
      </w:pPr>
    </w:p>
    <w:p w14:paraId="75699EF4" w14:textId="77777777" w:rsidR="00E97402" w:rsidRDefault="00E97402" w:rsidP="00E37AF9">
      <w:pPr>
        <w:pStyle w:val="Heading1"/>
      </w:pPr>
      <w:r>
        <w:t>Conclusion</w:t>
      </w:r>
    </w:p>
    <w:p w14:paraId="7003E708" w14:textId="77777777" w:rsidR="00E97402" w:rsidRPr="00CD684F" w:rsidRDefault="00E97402" w:rsidP="00CD684F">
      <w:pPr>
        <w:pStyle w:val="Heading2"/>
        <w:numPr>
          <w:ilvl w:val="0"/>
          <w:numId w:val="0"/>
        </w:numPr>
        <w:rPr>
          <w:i w:val="0"/>
        </w:rPr>
      </w:pPr>
      <w:r w:rsidRPr="00CD684F">
        <w:rPr>
          <w:i w:val="0"/>
        </w:rPr>
        <w:t xml:space="preserve">A conclusion section is not required. Although a conclusion may review the main points of the paper, do not replicate the abstract as the conclusion. A conclusion might elaborate on the importance of the work or suggest applications and extensions. </w:t>
      </w:r>
    </w:p>
    <w:p w14:paraId="60C3096D" w14:textId="77777777" w:rsidR="00E97402" w:rsidRDefault="00E97402" w:rsidP="001F4C5C">
      <w:pPr>
        <w:pStyle w:val="ReferenceHead"/>
        <w:jc w:val="both"/>
      </w:pPr>
      <w:r>
        <w:t>Appendix</w:t>
      </w:r>
    </w:p>
    <w:p w14:paraId="354D8D9D" w14:textId="77777777" w:rsidR="00E97402" w:rsidRDefault="00E97402" w:rsidP="0013354F">
      <w:pPr>
        <w:pStyle w:val="Text"/>
      </w:pPr>
      <w:r>
        <w:t>Appendixes</w:t>
      </w:r>
      <w:r w:rsidR="00EF4701">
        <w:t>, if needed, appear before the ac</w:t>
      </w:r>
      <w:r>
        <w:t>knowledgment.</w:t>
      </w:r>
    </w:p>
    <w:p w14:paraId="7B3E92E7" w14:textId="77777777" w:rsidR="00E97402" w:rsidRDefault="00E97402" w:rsidP="001F4C5C">
      <w:pPr>
        <w:pStyle w:val="Style1"/>
        <w:jc w:val="both"/>
      </w:pPr>
      <w:r>
        <w:t>Acknowledgment</w:t>
      </w:r>
    </w:p>
    <w:p w14:paraId="2A96A413" w14:textId="77777777" w:rsidR="00E97402" w:rsidRPr="00104BB0" w:rsidRDefault="00E97402" w:rsidP="0013354F">
      <w:pPr>
        <w:pStyle w:val="Text"/>
        <w:rPr>
          <w:bCs/>
        </w:rPr>
      </w:pPr>
      <w:r>
        <w:t xml:space="preserve">The preferred spelling of the word “acknowledgment” in American English is without an “e” after the “g.” Use the singular heading even if you have many acknowledgments. Avoid expressions such as “One of us (S.B.A.) would like to thank ... .” Instead, write “F. A. Author thanks ... .” </w:t>
      </w:r>
      <w:r w:rsidR="00B53F81" w:rsidRPr="00104BB0">
        <w:rPr>
          <w:bCs/>
        </w:rPr>
        <w:t xml:space="preserve">In most cases, </w:t>
      </w:r>
      <w:r w:rsidR="00550BF5" w:rsidRPr="00104BB0">
        <w:rPr>
          <w:bCs/>
        </w:rPr>
        <w:t>s</w:t>
      </w:r>
      <w:r w:rsidRPr="00104BB0">
        <w:rPr>
          <w:bCs/>
        </w:rPr>
        <w:t>ponsor and financial support acknowledgments are placed in the unnumbered footnote on the first page, not here.</w:t>
      </w:r>
    </w:p>
    <w:p w14:paraId="702145FD" w14:textId="77777777" w:rsidR="005D72BB" w:rsidRDefault="005D72BB" w:rsidP="001F4C5C">
      <w:pPr>
        <w:pStyle w:val="Style1"/>
        <w:jc w:val="both"/>
      </w:pPr>
      <w:r>
        <w:t>References</w:t>
      </w:r>
      <w:r w:rsidR="00C075EF">
        <w:t xml:space="preserve"> and Footnotes</w:t>
      </w:r>
    </w:p>
    <w:p w14:paraId="4786F9FD" w14:textId="77777777" w:rsidR="003427CE" w:rsidRDefault="003427CE" w:rsidP="003427CE">
      <w:pPr>
        <w:pStyle w:val="Heading2"/>
        <w:numPr>
          <w:ilvl w:val="0"/>
          <w:numId w:val="29"/>
        </w:numPr>
        <w:tabs>
          <w:tab w:val="left" w:pos="180"/>
        </w:tabs>
        <w:ind w:left="90" w:firstLine="0"/>
      </w:pPr>
      <w:r>
        <w:t>References</w:t>
      </w:r>
    </w:p>
    <w:p w14:paraId="20313B26" w14:textId="77777777" w:rsidR="005D72BB" w:rsidRDefault="007530A3" w:rsidP="0013354F">
      <w:pPr>
        <w:pStyle w:val="Text"/>
      </w:pPr>
      <w:r>
        <w:t>References need not</w:t>
      </w:r>
      <w:r w:rsidR="0081663F">
        <w:t xml:space="preserve"> be cited in</w:t>
      </w:r>
      <w:r w:rsidR="00C075EF">
        <w:t xml:space="preserve"> text. </w:t>
      </w:r>
      <w:r>
        <w:t>When they are, they appear on the line,</w:t>
      </w:r>
      <w:r w:rsidR="00C075EF">
        <w:t xml:space="preserve"> in square </w:t>
      </w:r>
      <w:r w:rsidR="00143F2E">
        <w:t>brackets</w:t>
      </w:r>
      <w:r>
        <w:t>,</w:t>
      </w:r>
      <w:r w:rsidR="00143F2E">
        <w:t xml:space="preserve"> inside</w:t>
      </w:r>
      <w:r w:rsidR="00C075EF">
        <w:t xml:space="preserve"> the punctuation.  </w:t>
      </w:r>
      <w:r w:rsidR="00C075EF">
        <w:lastRenderedPageBreak/>
        <w:t xml:space="preserve">Multiple references </w:t>
      </w:r>
      <w:r w:rsidR="005D72BB">
        <w:t>are each numbere</w:t>
      </w:r>
      <w:r w:rsidR="00C075EF">
        <w:t>d with separate brackets</w:t>
      </w:r>
      <w:r w:rsidR="005D72BB">
        <w:t xml:space="preserve">. When citing a section in a book, please give the relevant page numbers. In </w:t>
      </w:r>
      <w:r w:rsidR="00C075EF">
        <w:t>text</w:t>
      </w:r>
      <w:r w:rsidR="005D72BB">
        <w:t>, refer simply to</w:t>
      </w:r>
      <w:r w:rsidR="00C075EF">
        <w:t xml:space="preserve"> the reference number. Do not use “Ref.” or “reference</w:t>
      </w:r>
      <w:r w:rsidR="005D72BB">
        <w:t xml:space="preserve">” except at the beginning of a sentence: “Reference [3] shows ... .” Please do not use automatic endnotes in </w:t>
      </w:r>
      <w:r w:rsidR="005D72BB">
        <w:rPr>
          <w:i/>
          <w:iCs/>
        </w:rPr>
        <w:t>Word</w:t>
      </w:r>
      <w:r w:rsidR="005D72BB">
        <w:t>, rather, type the reference list at the end of the paper using the “References” style.</w:t>
      </w:r>
    </w:p>
    <w:p w14:paraId="1BB6EB49" w14:textId="77777777" w:rsidR="00823624" w:rsidRDefault="00C075EF" w:rsidP="005D72BB">
      <w:pPr>
        <w:pStyle w:val="Text"/>
        <w:ind w:firstLine="144"/>
        <w:rPr>
          <w:bCs/>
          <w:iCs/>
        </w:rPr>
      </w:pPr>
      <w:r w:rsidRPr="00C075EF">
        <w:rPr>
          <w:bCs/>
          <w:iCs/>
        </w:rPr>
        <w:t xml:space="preserve">Reference numbers are set flush left and form a column of their own, hanging out beyond the body of the reference. The reference numbers are on the line, enclosed in square brackets. In all references, the given name of the author or editor is abbreviated to the initial only and precedes the last name. </w:t>
      </w:r>
      <w:r w:rsidR="00216141">
        <w:rPr>
          <w:bCs/>
          <w:iCs/>
        </w:rPr>
        <w:t>U</w:t>
      </w:r>
      <w:r w:rsidR="00216141" w:rsidRPr="00C075EF">
        <w:rPr>
          <w:bCs/>
          <w:iCs/>
        </w:rPr>
        <w:t xml:space="preserve">se them all; use </w:t>
      </w:r>
      <w:r w:rsidR="00216141" w:rsidRPr="00216141">
        <w:rPr>
          <w:bCs/>
          <w:i/>
          <w:iCs/>
        </w:rPr>
        <w:t>et al</w:t>
      </w:r>
      <w:r w:rsidR="00216141" w:rsidRPr="00C075EF">
        <w:rPr>
          <w:bCs/>
          <w:iCs/>
        </w:rPr>
        <w:t>. only if n</w:t>
      </w:r>
      <w:r w:rsidR="00216141">
        <w:rPr>
          <w:bCs/>
          <w:iCs/>
        </w:rPr>
        <w:t xml:space="preserve">ames are not given. </w:t>
      </w:r>
      <w:r w:rsidRPr="00C075EF">
        <w:rPr>
          <w:bCs/>
          <w:iCs/>
        </w:rPr>
        <w:t xml:space="preserve">Use commas around Jr., Sr., and III in names. </w:t>
      </w:r>
      <w:r w:rsidR="00823624">
        <w:rPr>
          <w:bCs/>
          <w:iCs/>
        </w:rPr>
        <w:t>Abbreviate c</w:t>
      </w:r>
      <w:r w:rsidRPr="00C075EF">
        <w:rPr>
          <w:bCs/>
          <w:iCs/>
        </w:rPr>
        <w:t xml:space="preserve">onference titles.  When citing IEEE </w:t>
      </w:r>
      <w:r w:rsidR="00216141">
        <w:rPr>
          <w:bCs/>
          <w:iCs/>
        </w:rPr>
        <w:t>t</w:t>
      </w:r>
      <w:r w:rsidRPr="00C075EF">
        <w:rPr>
          <w:bCs/>
          <w:iCs/>
        </w:rPr>
        <w:t>ransactions, provide the issue number</w:t>
      </w:r>
      <w:r w:rsidR="00823624">
        <w:rPr>
          <w:bCs/>
          <w:iCs/>
        </w:rPr>
        <w:t>, page range, volume number, year,</w:t>
      </w:r>
      <w:r w:rsidRPr="00C075EF">
        <w:rPr>
          <w:bCs/>
          <w:iCs/>
        </w:rPr>
        <w:t xml:space="preserve"> </w:t>
      </w:r>
      <w:r w:rsidR="00823624">
        <w:rPr>
          <w:bCs/>
          <w:iCs/>
        </w:rPr>
        <w:t>and/</w:t>
      </w:r>
      <w:r w:rsidRPr="00C075EF">
        <w:rPr>
          <w:bCs/>
          <w:iCs/>
        </w:rPr>
        <w:t>or month if available. When referencing a patent, provide the day and the month of issue, or application. References may not include all information; please obtain an</w:t>
      </w:r>
      <w:r w:rsidR="00823624">
        <w:rPr>
          <w:bCs/>
          <w:iCs/>
        </w:rPr>
        <w:t xml:space="preserve">d include relevant information. </w:t>
      </w:r>
      <w:r w:rsidRPr="00C075EF">
        <w:rPr>
          <w:bCs/>
          <w:iCs/>
        </w:rPr>
        <w:t>Do not combine references. There must be only one reference with each number. If there is a URL included with the print reference, it can be included at the end of the</w:t>
      </w:r>
      <w:r w:rsidR="00823624">
        <w:rPr>
          <w:bCs/>
          <w:iCs/>
        </w:rPr>
        <w:t xml:space="preserve"> reference.</w:t>
      </w:r>
      <w:r w:rsidRPr="00C075EF">
        <w:rPr>
          <w:bCs/>
          <w:iCs/>
        </w:rPr>
        <w:t xml:space="preserve"> </w:t>
      </w:r>
    </w:p>
    <w:p w14:paraId="536D1820" w14:textId="77777777" w:rsidR="005D72BB" w:rsidRDefault="00C075EF" w:rsidP="005D72BB">
      <w:pPr>
        <w:pStyle w:val="Text"/>
        <w:ind w:firstLine="144"/>
      </w:pPr>
      <w:r>
        <w:t>Other than books, c</w:t>
      </w:r>
      <w:r w:rsidR="005D72BB">
        <w:t>apitalize only the first word in a paper title, except for proper nouns and element symbols. For papers published in translation journals, please give the English citation first, followed by the origin</w:t>
      </w:r>
      <w:r>
        <w:t xml:space="preserve">al foreign-language citation See the end of this document for </w:t>
      </w:r>
      <w:r w:rsidR="00EF10AC">
        <w:t xml:space="preserve">formats and </w:t>
      </w:r>
      <w:r>
        <w:t>example</w:t>
      </w:r>
      <w:r w:rsidR="00EF10AC">
        <w:t>s of common references</w:t>
      </w:r>
      <w:r w:rsidR="005D72BB">
        <w:t>.</w:t>
      </w:r>
      <w:r w:rsidR="00DA258C">
        <w:t xml:space="preserve"> For a complete discussion of ref</w:t>
      </w:r>
      <w:r w:rsidR="0081663F">
        <w:t>erences and their formats, see t</w:t>
      </w:r>
      <w:r w:rsidR="00DA258C">
        <w:t xml:space="preserve">he IEEE </w:t>
      </w:r>
      <w:r w:rsidR="0081663F">
        <w:t>style manual</w:t>
      </w:r>
      <w:r w:rsidR="00DA258C">
        <w:t xml:space="preserve"> </w:t>
      </w:r>
      <w:r w:rsidR="0081663F">
        <w:t xml:space="preserve">at </w:t>
      </w:r>
      <w:hyperlink r:id="rId14" w:tgtFrame="_blank" w:history="1">
        <w:r w:rsidR="0081663F" w:rsidRPr="003D1EBF">
          <w:rPr>
            <w:rStyle w:val="Hyperlink"/>
            <w:color w:val="1155CC"/>
            <w:sz w:val="19"/>
            <w:szCs w:val="19"/>
            <w:shd w:val="clear" w:color="auto" w:fill="FFFFFF"/>
          </w:rPr>
          <w:t>www.ieee.org/authortools</w:t>
        </w:r>
      </w:hyperlink>
      <w:r w:rsidR="00DA258C">
        <w:t>.</w:t>
      </w:r>
    </w:p>
    <w:p w14:paraId="1B435DD7" w14:textId="77777777" w:rsidR="003427CE" w:rsidRDefault="003427CE" w:rsidP="003427CE">
      <w:pPr>
        <w:pStyle w:val="Heading2"/>
      </w:pPr>
      <w:r>
        <w:t>Footnotes</w:t>
      </w:r>
    </w:p>
    <w:p w14:paraId="0273CF42" w14:textId="77777777" w:rsidR="00C075EF" w:rsidRDefault="00C075EF" w:rsidP="00C075EF">
      <w:pPr>
        <w:pStyle w:val="Text"/>
      </w:pPr>
      <w:r>
        <w:t>Number footnotes separately in superscripts (Insert | Footnote).</w:t>
      </w:r>
      <w:r>
        <w:rPr>
          <w:rStyle w:val="FootnoteReference"/>
        </w:rPr>
        <w:footnoteReference w:id="2"/>
      </w:r>
      <w:r>
        <w:t xml:space="preserve"> Place the actual footnote at the bottom of the column in which it is cited; do not put footnotes in the reference list (endnotes). Use letters for table footnotes (see Table I). </w:t>
      </w:r>
    </w:p>
    <w:p w14:paraId="2FE2DBC3" w14:textId="77777777" w:rsidR="00C075EF" w:rsidRDefault="00C075EF" w:rsidP="005D72BB">
      <w:pPr>
        <w:pStyle w:val="Text"/>
        <w:ind w:firstLine="144"/>
      </w:pPr>
    </w:p>
    <w:p w14:paraId="2D1597F1" w14:textId="77777777" w:rsidR="009C7D17" w:rsidRDefault="008D69E9" w:rsidP="009C7D17">
      <w:pPr>
        <w:pStyle w:val="Heading1"/>
      </w:pPr>
      <w:r>
        <w:t>Submitting Your P</w:t>
      </w:r>
      <w:r w:rsidR="009C7D17">
        <w:t>aper for Review</w:t>
      </w:r>
    </w:p>
    <w:p w14:paraId="3072C9B3" w14:textId="77777777" w:rsidR="009C7D17" w:rsidRDefault="00EE6FFC" w:rsidP="009C7D17">
      <w:pPr>
        <w:pStyle w:val="Heading2"/>
      </w:pPr>
      <w:r>
        <w:t xml:space="preserve">Review Stage </w:t>
      </w:r>
      <w:r w:rsidR="009C7D17">
        <w:t>Using Word 6.</w:t>
      </w:r>
      <w:r w:rsidR="00104BB0">
        <w:t>0</w:t>
      </w:r>
      <w:r w:rsidR="009C7D17">
        <w:t xml:space="preserve"> or Higher</w:t>
      </w:r>
    </w:p>
    <w:p w14:paraId="3EB0A701" w14:textId="77777777" w:rsidR="009C7D17" w:rsidRDefault="009C7D17" w:rsidP="009C7D17">
      <w:pPr>
        <w:pStyle w:val="Text"/>
      </w:pPr>
      <w:r>
        <w:t>If you want to submit your file with one column electronically, please do the following:</w:t>
      </w:r>
    </w:p>
    <w:p w14:paraId="1A039613" w14:textId="77777777" w:rsidR="009C7D17" w:rsidRDefault="009C7D17" w:rsidP="009C7D17">
      <w:pPr>
        <w:pStyle w:val="Text"/>
      </w:pPr>
      <w:r>
        <w:tab/>
        <w:t>--First, click on the View menu and choose Print Layout.</w:t>
      </w:r>
    </w:p>
    <w:p w14:paraId="16A12009" w14:textId="77777777" w:rsidR="009C7D17" w:rsidRDefault="009C7D17" w:rsidP="009C7D17">
      <w:pPr>
        <w:pStyle w:val="Text"/>
      </w:pPr>
      <w:r>
        <w:tab/>
        <w:t>--Second, place your cursor in the first paragraph. Go to the Format menu, choose Columns, choose one column Layout, and choose “apply to whole document” from the dropdown menu.</w:t>
      </w:r>
    </w:p>
    <w:p w14:paraId="3E56B789" w14:textId="77777777" w:rsidR="009C7D17" w:rsidRDefault="009C7D17" w:rsidP="009C7D17">
      <w:pPr>
        <w:pStyle w:val="Text"/>
      </w:pPr>
      <w:r>
        <w:tab/>
        <w:t>--Third, click and drag the right margin bar to just over 4 inches in width.</w:t>
      </w:r>
    </w:p>
    <w:p w14:paraId="1FCBDA70" w14:textId="77777777" w:rsidR="009C7D17" w:rsidRDefault="009C7D17" w:rsidP="009C7D17">
      <w:pPr>
        <w:pStyle w:val="Text"/>
      </w:pPr>
      <w:r>
        <w:t>The graphics will stay in the “second” column, but you can drag them to the first column. Make the graphic wider to push out any text that may try to fill in next to the graphic.</w:t>
      </w:r>
    </w:p>
    <w:p w14:paraId="6A87C218" w14:textId="77777777" w:rsidR="009C7D17" w:rsidRDefault="00EE6FFC" w:rsidP="009C7D17">
      <w:pPr>
        <w:pStyle w:val="Heading2"/>
      </w:pPr>
      <w:r>
        <w:t xml:space="preserve">Final Stage </w:t>
      </w:r>
      <w:r w:rsidR="009C7D17">
        <w:t>Using Word 6.0</w:t>
      </w:r>
    </w:p>
    <w:p w14:paraId="752DF087" w14:textId="77777777" w:rsidR="009C7D17" w:rsidRDefault="009C7D17" w:rsidP="009C7D17">
      <w:pPr>
        <w:pStyle w:val="Text"/>
      </w:pPr>
      <w:r>
        <w:t xml:space="preserve">When you submit your final version (after your paper has been accepted), print it in two-column format, including figures and tables. You must also send your final manuscript on a disk, via e-mail, or through a Web manuscript submission system as directed by the society contact. You may use </w:t>
      </w:r>
      <w:r>
        <w:rPr>
          <w:i/>
          <w:iCs/>
        </w:rPr>
        <w:t>Zip</w:t>
      </w:r>
      <w:r w:rsidR="008D69E9">
        <w:t xml:space="preserve"> </w:t>
      </w:r>
      <w:r>
        <w:t xml:space="preserve">for large files, or compress files using </w:t>
      </w:r>
      <w:r>
        <w:rPr>
          <w:i/>
          <w:iCs/>
        </w:rPr>
        <w:t>Compress, Pkzip, Stuffit,</w:t>
      </w:r>
      <w:r>
        <w:t xml:space="preserve"> or </w:t>
      </w:r>
      <w:r>
        <w:rPr>
          <w:i/>
          <w:iCs/>
        </w:rPr>
        <w:t>Gzip.</w:t>
      </w:r>
      <w:r>
        <w:t xml:space="preserve"> </w:t>
      </w:r>
    </w:p>
    <w:p w14:paraId="7E7154C3" w14:textId="77777777" w:rsidR="009C7D17" w:rsidRDefault="009C7D17" w:rsidP="009C7D17">
      <w:pPr>
        <w:pStyle w:val="Text"/>
      </w:pPr>
      <w:r>
        <w:t>Also, send a sheet of paper or PDF with complete contact information for all authors. Include full mailing addresses, telephone numbers, fax numbers, and e-mail addresses. This information will be used to send each author a complimentary copy of the journal in which the paper appears. In addition, designate one author as the “corresponding author.” This is the author to whom proofs of the paper will be sent. Proofs are sent to the corresponding author only.</w:t>
      </w:r>
    </w:p>
    <w:p w14:paraId="5CCDC86E" w14:textId="77777777" w:rsidR="009C7D17" w:rsidRDefault="00EE6FFC" w:rsidP="009C7D17">
      <w:pPr>
        <w:pStyle w:val="Heading2"/>
      </w:pPr>
      <w:r>
        <w:t xml:space="preserve">Review Stage </w:t>
      </w:r>
      <w:r w:rsidR="009C7D17">
        <w:t xml:space="preserve">Using </w:t>
      </w:r>
      <w:r w:rsidR="009C7D17" w:rsidRPr="0088508F">
        <w:t>ScholarOne</w:t>
      </w:r>
      <w:r w:rsidR="008D69E9" w:rsidRPr="001C50D7">
        <w:rPr>
          <w:color w:val="000000"/>
          <w:vertAlign w:val="superscript"/>
        </w:rPr>
        <w:t>®</w:t>
      </w:r>
      <w:r w:rsidR="009C7D17" w:rsidRPr="00C176FD">
        <w:t xml:space="preserve"> </w:t>
      </w:r>
      <w:r w:rsidR="009C7D17" w:rsidRPr="00065755">
        <w:t>Manuscripts</w:t>
      </w:r>
    </w:p>
    <w:p w14:paraId="5D8F0D15" w14:textId="77777777" w:rsidR="007530A3" w:rsidRDefault="00C621D6" w:rsidP="00C621D6">
      <w:pPr>
        <w:tabs>
          <w:tab w:val="left" w:pos="360"/>
        </w:tabs>
        <w:autoSpaceDE w:val="0"/>
        <w:autoSpaceDN w:val="0"/>
        <w:adjustRightInd w:val="0"/>
        <w:ind w:firstLine="360"/>
        <w:jc w:val="both"/>
        <w:rPr>
          <w:color w:val="000000"/>
        </w:rPr>
      </w:pPr>
      <w:r w:rsidRPr="001C50D7">
        <w:rPr>
          <w:color w:val="000000"/>
        </w:rPr>
        <w:t xml:space="preserve">Contributions to the </w:t>
      </w:r>
      <w:r w:rsidR="009F40FB">
        <w:rPr>
          <w:color w:val="000000"/>
        </w:rPr>
        <w:t>Transactions</w:t>
      </w:r>
      <w:r w:rsidR="00342BE1" w:rsidRPr="001C50D7">
        <w:rPr>
          <w:color w:val="000000"/>
        </w:rPr>
        <w:t>,</w:t>
      </w:r>
      <w:r w:rsidR="00342BE1">
        <w:rPr>
          <w:color w:val="000000"/>
        </w:rPr>
        <w:t xml:space="preserve"> </w:t>
      </w:r>
      <w:r w:rsidR="00342BE1" w:rsidRPr="001C50D7">
        <w:rPr>
          <w:color w:val="000000"/>
        </w:rPr>
        <w:t>Journals</w:t>
      </w:r>
      <w:r w:rsidRPr="001C50D7">
        <w:rPr>
          <w:color w:val="000000"/>
        </w:rPr>
        <w:t xml:space="preserve">, and </w:t>
      </w:r>
      <w:r w:rsidR="009F40FB">
        <w:rPr>
          <w:color w:val="000000"/>
        </w:rPr>
        <w:t>Letters</w:t>
      </w:r>
      <w:r w:rsidRPr="001C50D7">
        <w:rPr>
          <w:color w:val="000000"/>
        </w:rPr>
        <w:t xml:space="preserve"> may be submitted electronically on IEEE’s on-line manuscript submission and peer-review system, ScholarOne</w:t>
      </w:r>
      <w:r w:rsidRPr="001C50D7">
        <w:rPr>
          <w:color w:val="000000"/>
          <w:vertAlign w:val="superscript"/>
        </w:rPr>
        <w:t>®</w:t>
      </w:r>
      <w:r w:rsidRPr="001C50D7">
        <w:rPr>
          <w:color w:val="000000"/>
        </w:rPr>
        <w:t xml:space="preserve"> Manuscripts. </w:t>
      </w:r>
      <w:r w:rsidR="00F577F6">
        <w:rPr>
          <w:color w:val="000000"/>
        </w:rPr>
        <w:t xml:space="preserve"> You can get a listing of the publications that participate in </w:t>
      </w:r>
      <w:r w:rsidR="00F577F6" w:rsidRPr="001C50D7">
        <w:rPr>
          <w:color w:val="000000"/>
        </w:rPr>
        <w:t>ScholarOne</w:t>
      </w:r>
      <w:r w:rsidR="00F577F6">
        <w:rPr>
          <w:color w:val="000000"/>
          <w:vertAlign w:val="superscript"/>
        </w:rPr>
        <w:t xml:space="preserve"> </w:t>
      </w:r>
      <w:r w:rsidR="00F577F6" w:rsidRPr="00F577F6">
        <w:rPr>
          <w:color w:val="000000"/>
        </w:rPr>
        <w:t>at</w:t>
      </w:r>
    </w:p>
    <w:p w14:paraId="53F5D8C3" w14:textId="77777777" w:rsidR="00C621D6" w:rsidRPr="001C50D7" w:rsidRDefault="00EE6FFC" w:rsidP="007530A3">
      <w:pPr>
        <w:tabs>
          <w:tab w:val="left" w:pos="360"/>
        </w:tabs>
        <w:autoSpaceDE w:val="0"/>
        <w:autoSpaceDN w:val="0"/>
        <w:adjustRightInd w:val="0"/>
        <w:jc w:val="both"/>
        <w:rPr>
          <w:color w:val="000000"/>
        </w:rPr>
      </w:pPr>
      <w:hyperlink r:id="rId15" w:history="1">
        <w:r w:rsidRPr="00603B0D">
          <w:rPr>
            <w:rStyle w:val="Hyperlink"/>
          </w:rPr>
          <w:t>http://www.ieee.org/publications_standards/publications/authors/authors_submission.html</w:t>
        </w:r>
      </w:hyperlink>
      <w:r>
        <w:rPr>
          <w:color w:val="000000"/>
        </w:rPr>
        <w:t xml:space="preserve"> </w:t>
      </w:r>
      <w:r w:rsidR="00C621D6" w:rsidRPr="001C50D7">
        <w:rPr>
          <w:color w:val="000000"/>
        </w:rPr>
        <w:t xml:space="preserve">First check if you have an existing account. If there is none, please create a new account. After logging in, go to your Author Center and click “Submit First Draft of a New Manuscript.” </w:t>
      </w:r>
    </w:p>
    <w:p w14:paraId="19898D87" w14:textId="77777777" w:rsidR="00C621D6" w:rsidRPr="001C50D7" w:rsidRDefault="00C621D6" w:rsidP="00C621D6">
      <w:pPr>
        <w:tabs>
          <w:tab w:val="left" w:pos="360"/>
        </w:tabs>
        <w:autoSpaceDE w:val="0"/>
        <w:autoSpaceDN w:val="0"/>
        <w:adjustRightInd w:val="0"/>
        <w:ind w:firstLine="360"/>
        <w:jc w:val="both"/>
        <w:rPr>
          <w:color w:val="000000"/>
        </w:rPr>
      </w:pPr>
      <w:r w:rsidRPr="001C50D7">
        <w:rPr>
          <w:color w:val="000000"/>
        </w:rPr>
        <w:t>Along with other information, you will be asked to select the subject from a pull-down list. Depending on the journal, there are various steps to the submission process; you must complete all steps for a complete submission. At the end of each step you must click “Save and Continue”; just uploading the paper is not sufficient. After the last step, you should see a confirmation that the submission is complete. You should also receive an e-mail confirmation. For inquiries regarding the submission of your paper on ScholarOne Manuscripts, please contact oprs-support@ieee.org or call +1 732 465 5861.</w:t>
      </w:r>
    </w:p>
    <w:p w14:paraId="4D0741F8" w14:textId="77777777" w:rsidR="00C621D6" w:rsidRPr="001C50D7" w:rsidRDefault="00C621D6" w:rsidP="00C621D6">
      <w:pPr>
        <w:tabs>
          <w:tab w:val="left" w:pos="360"/>
        </w:tabs>
        <w:autoSpaceDE w:val="0"/>
        <w:autoSpaceDN w:val="0"/>
        <w:adjustRightInd w:val="0"/>
        <w:ind w:firstLine="360"/>
        <w:jc w:val="both"/>
      </w:pPr>
      <w:r w:rsidRPr="001C50D7">
        <w:t xml:space="preserve">ScholarOne Manuscripts will accept files for review in various formats.  Please check the guidelines of the specific journal for which you plan to submit.  </w:t>
      </w:r>
    </w:p>
    <w:p w14:paraId="2A7A9D56" w14:textId="77777777" w:rsidR="00C621D6" w:rsidRPr="001C50D7" w:rsidRDefault="00C621D6" w:rsidP="00C621D6">
      <w:pPr>
        <w:tabs>
          <w:tab w:val="left" w:pos="360"/>
        </w:tabs>
        <w:autoSpaceDE w:val="0"/>
        <w:autoSpaceDN w:val="0"/>
        <w:adjustRightInd w:val="0"/>
        <w:ind w:firstLine="360"/>
        <w:jc w:val="both"/>
      </w:pPr>
      <w:r w:rsidRPr="001C50D7">
        <w:t xml:space="preserve">You will be asked to file an electronic copyright form immediately upon completing the submission process (authors are responsible for obtaining any security clearances). Failure to submit the electronic copyright could result in publishing delays later.  You will also have the opportunity to designate your article as “open access” if you agree to pay the IEEE open access fee. </w:t>
      </w:r>
    </w:p>
    <w:p w14:paraId="3CF2C8B4" w14:textId="77777777" w:rsidR="00C621D6" w:rsidRPr="00C621D6" w:rsidRDefault="00C621D6" w:rsidP="00C621D6"/>
    <w:p w14:paraId="490A80C6" w14:textId="77777777" w:rsidR="009C7D17" w:rsidRPr="0088508F" w:rsidRDefault="00EE6FFC" w:rsidP="009C7D17">
      <w:pPr>
        <w:pStyle w:val="Heading2"/>
      </w:pPr>
      <w:r>
        <w:t xml:space="preserve">Final Stage Using ScholarOne </w:t>
      </w:r>
      <w:r w:rsidR="009C7D17">
        <w:t xml:space="preserve"> </w:t>
      </w:r>
      <w:r w:rsidR="009C7D17" w:rsidRPr="00065755">
        <w:t>Manuscripts</w:t>
      </w:r>
    </w:p>
    <w:p w14:paraId="32FB0E89" w14:textId="77777777" w:rsidR="00C621D6" w:rsidRPr="001C50D7" w:rsidRDefault="00C621D6" w:rsidP="00C621D6">
      <w:pPr>
        <w:tabs>
          <w:tab w:val="left" w:pos="360"/>
        </w:tabs>
        <w:autoSpaceDE w:val="0"/>
        <w:autoSpaceDN w:val="0"/>
        <w:adjustRightInd w:val="0"/>
        <w:ind w:firstLine="360"/>
        <w:jc w:val="both"/>
      </w:pPr>
      <w:r w:rsidRPr="001C50D7">
        <w:t xml:space="preserve">Upon acceptance, you will receive an email with specific instructions regarding the submission of your final files.  To avoid any delays in publication, please be sure to follow these instructions.  Most journals require that final submissions be uploaded through ScholarOne Manuscripts, although some may still accept final submissions via email.  Final submissions </w:t>
      </w:r>
      <w:r w:rsidRPr="001C50D7">
        <w:lastRenderedPageBreak/>
        <w:t xml:space="preserve">should include source files of your accepted manuscript, high quality graphic files, and a formatted pdf file.  If you have any questions regarding the final submission process, please contact the administrative contact for the journal. </w:t>
      </w:r>
    </w:p>
    <w:p w14:paraId="6469791B" w14:textId="77777777" w:rsidR="00C621D6" w:rsidRPr="001C50D7" w:rsidRDefault="00C621D6" w:rsidP="00C621D6">
      <w:pPr>
        <w:tabs>
          <w:tab w:val="left" w:pos="360"/>
        </w:tabs>
        <w:autoSpaceDE w:val="0"/>
        <w:autoSpaceDN w:val="0"/>
        <w:adjustRightInd w:val="0"/>
        <w:ind w:firstLine="360"/>
        <w:jc w:val="both"/>
        <w:rPr>
          <w:color w:val="000000"/>
        </w:rPr>
      </w:pPr>
      <w:r w:rsidRPr="001C50D7">
        <w:rPr>
          <w:color w:val="FF0000"/>
        </w:rPr>
        <w:t xml:space="preserve"> </w:t>
      </w:r>
      <w:r w:rsidRPr="001C50D7">
        <w:rPr>
          <w:color w:val="000000"/>
        </w:rPr>
        <w:t xml:space="preserve">In addition to this, upload a file with complete contact information for all authors. Include full mailing addresses, telephone numbers, fax numbers, and e-mail addresses. Designate the author who submitted the manuscript on ScholarOne Manuscripts as the “corresponding author.” This is the only author to whom proofs of the paper will be sent. </w:t>
      </w:r>
    </w:p>
    <w:p w14:paraId="3D57EAC2" w14:textId="77777777" w:rsidR="009C7D17" w:rsidRDefault="00C2378A" w:rsidP="00C2378A">
      <w:pPr>
        <w:pStyle w:val="Text"/>
      </w:pPr>
      <w:r>
        <w:rPr>
          <w:rFonts w:ascii="Helv" w:hAnsi="Helv" w:cs="Helv"/>
          <w:color w:val="000000"/>
        </w:rPr>
        <w:br/>
      </w:r>
    </w:p>
    <w:p w14:paraId="70D5E82B" w14:textId="77777777" w:rsidR="00E97B99" w:rsidRPr="00E97B99" w:rsidRDefault="00E97B99" w:rsidP="001F4C5C">
      <w:pPr>
        <w:pStyle w:val="Heading2"/>
      </w:pPr>
      <w:r w:rsidRPr="00E97B99">
        <w:t>Copyright Form</w:t>
      </w:r>
    </w:p>
    <w:p w14:paraId="5938B5B3" w14:textId="77777777" w:rsidR="007530A3" w:rsidRDefault="0081663F" w:rsidP="00E97B99">
      <w:pPr>
        <w:pStyle w:val="Text"/>
        <w:rPr>
          <w:color w:val="222222"/>
          <w:shd w:val="clear" w:color="auto" w:fill="FFFFFF"/>
        </w:rPr>
      </w:pPr>
      <w:r w:rsidRPr="00342BE1">
        <w:rPr>
          <w:color w:val="222222"/>
          <w:shd w:val="clear" w:color="auto" w:fill="FFFFFF"/>
        </w:rPr>
        <w:t xml:space="preserve">Authors must submit an electronic IEEE Copyright Form (eCF) upon submitting their final manuscript files.  </w:t>
      </w:r>
      <w:r w:rsidR="00342BE1">
        <w:rPr>
          <w:color w:val="222222"/>
          <w:shd w:val="clear" w:color="auto" w:fill="FFFFFF"/>
        </w:rPr>
        <w:t>You</w:t>
      </w:r>
      <w:r w:rsidRPr="00342BE1">
        <w:rPr>
          <w:color w:val="222222"/>
          <w:shd w:val="clear" w:color="auto" w:fill="FFFFFF"/>
        </w:rPr>
        <w:t xml:space="preserve"> can a</w:t>
      </w:r>
      <w:r w:rsidR="00342BE1">
        <w:rPr>
          <w:color w:val="222222"/>
          <w:shd w:val="clear" w:color="auto" w:fill="FFFFFF"/>
        </w:rPr>
        <w:t>ccess the eCF system through your</w:t>
      </w:r>
      <w:r w:rsidRPr="00342BE1">
        <w:rPr>
          <w:color w:val="222222"/>
          <w:shd w:val="clear" w:color="auto" w:fill="FFFFFF"/>
        </w:rPr>
        <w:t xml:space="preserve"> manuscript submission system or through the Author Gateway.</w:t>
      </w:r>
      <w:r w:rsidR="007530A3">
        <w:rPr>
          <w:color w:val="222222"/>
          <w:shd w:val="clear" w:color="auto" w:fill="FFFFFF"/>
        </w:rPr>
        <w:t xml:space="preserve"> </w:t>
      </w:r>
      <w:r w:rsidR="00342BE1">
        <w:rPr>
          <w:color w:val="222222"/>
          <w:shd w:val="clear" w:color="auto" w:fill="FFFFFF"/>
        </w:rPr>
        <w:t>You</w:t>
      </w:r>
      <w:r w:rsidRPr="00342BE1">
        <w:rPr>
          <w:color w:val="222222"/>
          <w:shd w:val="clear" w:color="auto" w:fill="FFFFFF"/>
        </w:rPr>
        <w:t xml:space="preserve"> are responsible for obtaining any necessary approvals and/or security clearances.</w:t>
      </w:r>
      <w:r w:rsidR="007530A3">
        <w:rPr>
          <w:color w:val="222222"/>
          <w:shd w:val="clear" w:color="auto" w:fill="FFFFFF"/>
        </w:rPr>
        <w:t xml:space="preserve"> For additional information on intellectual property rights, visit the IEEE Intellectual Property Rights department web page at </w:t>
      </w:r>
    </w:p>
    <w:p w14:paraId="6F9F8C6F" w14:textId="77777777" w:rsidR="00E97B99" w:rsidRDefault="007530A3" w:rsidP="007530A3">
      <w:pPr>
        <w:pStyle w:val="Text"/>
        <w:ind w:firstLine="0"/>
      </w:pPr>
      <w:hyperlink r:id="rId16" w:history="1">
        <w:r w:rsidRPr="007530A3">
          <w:rPr>
            <w:rStyle w:val="Hyperlink"/>
            <w:shd w:val="clear" w:color="auto" w:fill="FFFFFF"/>
          </w:rPr>
          <w:t>http://www.ieee.org/publications_standards/publications/rights/index.html</w:t>
        </w:r>
      </w:hyperlink>
      <w:r>
        <w:rPr>
          <w:color w:val="222222"/>
          <w:shd w:val="clear" w:color="auto" w:fill="FFFFFF"/>
        </w:rPr>
        <w:t xml:space="preserve">. </w:t>
      </w:r>
    </w:p>
    <w:p w14:paraId="49BF6368" w14:textId="44004BE9" w:rsidR="005D72BB" w:rsidRPr="00314F82" w:rsidRDefault="00314F82" w:rsidP="00314F82">
      <w:pPr>
        <w:pStyle w:val="Text"/>
      </w:pPr>
      <w:r w:rsidRPr="00314F82">
        <w:rPr>
          <w:color w:val="222222"/>
          <w:shd w:val="clear" w:color="auto" w:fill="FFFFFF"/>
        </w:rPr>
        <w:t>are required for every article submitted for peer review.</w:t>
      </w:r>
    </w:p>
    <w:p w14:paraId="78154E0E" w14:textId="77777777" w:rsidR="005D72BB" w:rsidRDefault="005D72BB" w:rsidP="005D72BB">
      <w:pPr>
        <w:pStyle w:val="Text"/>
        <w:ind w:firstLine="0"/>
      </w:pPr>
    </w:p>
    <w:p w14:paraId="646077C1" w14:textId="77777777" w:rsidR="00E97402" w:rsidRDefault="00E97402">
      <w:pPr>
        <w:pStyle w:val="ReferenceHead"/>
      </w:pPr>
      <w:r>
        <w:t>References</w:t>
      </w:r>
    </w:p>
    <w:p w14:paraId="63DF0CF0" w14:textId="77777777" w:rsidR="0076355A" w:rsidRPr="0076355A" w:rsidRDefault="0076355A" w:rsidP="0076355A">
      <w:pPr>
        <w:shd w:val="clear" w:color="auto" w:fill="FFFFFF"/>
        <w:spacing w:line="276" w:lineRule="auto"/>
        <w:rPr>
          <w:color w:val="222222"/>
          <w:sz w:val="16"/>
          <w:szCs w:val="16"/>
        </w:rPr>
      </w:pPr>
    </w:p>
    <w:p w14:paraId="4B1500E2" w14:textId="77777777" w:rsidR="00C11E83" w:rsidRDefault="00C11E83" w:rsidP="00C11E83">
      <w:pPr>
        <w:widowControl w:val="0"/>
        <w:autoSpaceDE w:val="0"/>
        <w:autoSpaceDN w:val="0"/>
        <w:adjustRightInd w:val="0"/>
        <w:ind w:right="-20"/>
        <w:rPr>
          <w:i/>
          <w:iCs/>
          <w:color w:val="000000"/>
        </w:rPr>
      </w:pPr>
      <w:r>
        <w:rPr>
          <w:i/>
          <w:iCs/>
          <w:color w:val="000000"/>
        </w:rPr>
        <w:t>Examples:</w:t>
      </w:r>
    </w:p>
    <w:p w14:paraId="2397CF34" w14:textId="77777777" w:rsidR="00FB0F28" w:rsidRDefault="00FB0F28" w:rsidP="00C11E83">
      <w:pPr>
        <w:widowControl w:val="0"/>
        <w:autoSpaceDE w:val="0"/>
        <w:autoSpaceDN w:val="0"/>
        <w:adjustRightInd w:val="0"/>
        <w:ind w:right="-20"/>
        <w:rPr>
          <w:i/>
          <w:iCs/>
          <w:color w:val="000000"/>
        </w:rPr>
      </w:pPr>
    </w:p>
    <w:p w14:paraId="766730BC" w14:textId="77777777" w:rsidR="00FB0F28" w:rsidRDefault="00FB0F28" w:rsidP="00C11E83">
      <w:pPr>
        <w:widowControl w:val="0"/>
        <w:autoSpaceDE w:val="0"/>
        <w:autoSpaceDN w:val="0"/>
        <w:adjustRightInd w:val="0"/>
        <w:ind w:right="-20"/>
        <w:rPr>
          <w:color w:val="000000"/>
        </w:rPr>
      </w:pPr>
    </w:p>
    <w:p w14:paraId="21A6F498" w14:textId="409B66D0" w:rsidR="00FB0F28" w:rsidRPr="00FB0F28" w:rsidRDefault="00FB0F28" w:rsidP="00FB0F28">
      <w:pPr>
        <w:pStyle w:val="References"/>
      </w:pPr>
      <w:r w:rsidRPr="00FB0F28">
        <w:t>Chen, S. Davis, H. Jiang, and A. Novobilski, “CUDA-Based Genetic Algorithm on Traveling Salesman Problem,” in Computer and Information Science 2011, R. Lee, Ed. Berlin, Germany: Springer, 2011, pp. 241–252.</w:t>
      </w:r>
    </w:p>
    <w:p w14:paraId="78C75D26" w14:textId="295CFF47" w:rsidR="00FB0F28" w:rsidRPr="00FB0F28" w:rsidRDefault="00FB0F28" w:rsidP="00FB0F28">
      <w:pPr>
        <w:pStyle w:val="References"/>
      </w:pPr>
      <w:r w:rsidRPr="00FB0F28">
        <w:t>M. BinJubier, M. A. Ismail, E. H. Tusher, and M. Aljanabi, “A GPU Accelerated Parallel Genetic Algorithm for the Traveling Salesman Problem,” Journal of Soft Computing and Data Mining, vol. 5, no. 2, pp. 137–150, 2024, doi: 10.30880/jscdm.2024.05.02.010.</w:t>
      </w:r>
    </w:p>
    <w:p w14:paraId="7C68C910" w14:textId="3CFB270F" w:rsidR="00C11E83" w:rsidRDefault="00FB0F28" w:rsidP="00FB0F28">
      <w:pPr>
        <w:pStyle w:val="References"/>
      </w:pPr>
      <w:r w:rsidRPr="00FB0F28">
        <w:t>W.-B. Qiao, J.-C. Créput, N. Wang, K. Meng, and A. Mansouri, “Breaking TSP Local Search Barriers: Scalable Multi-GPU Parallelisation of 4-opt, 5-opt, 6-opt and Hybrid Variable λ-opt,” Expert Systems With Applications, vol. 296, Art. no. 129110, 2026, doi: 10.1016/j.eswa.2025.129110.</w:t>
      </w:r>
      <w:r w:rsidR="00C11E83">
        <w:t>G.</w:t>
      </w:r>
      <w:r w:rsidR="00C11E83">
        <w:rPr>
          <w:spacing w:val="1"/>
        </w:rPr>
        <w:t xml:space="preserve"> </w:t>
      </w:r>
      <w:r w:rsidR="00C11E83">
        <w:t>O.</w:t>
      </w:r>
      <w:r w:rsidR="00C11E83">
        <w:rPr>
          <w:spacing w:val="1"/>
        </w:rPr>
        <w:t xml:space="preserve"> </w:t>
      </w:r>
      <w:r w:rsidR="00C11E83">
        <w:t>Y</w:t>
      </w:r>
      <w:r w:rsidR="00C11E83">
        <w:rPr>
          <w:spacing w:val="1"/>
        </w:rPr>
        <w:t>o</w:t>
      </w:r>
      <w:r w:rsidR="00C11E83">
        <w:t>un</w:t>
      </w:r>
      <w:r w:rsidR="00C11E83">
        <w:rPr>
          <w:spacing w:val="1"/>
        </w:rPr>
        <w:t>g</w:t>
      </w:r>
      <w:r w:rsidR="00C11E83">
        <w:t>,</w:t>
      </w:r>
      <w:r w:rsidR="00C11E83">
        <w:rPr>
          <w:spacing w:val="1"/>
        </w:rPr>
        <w:t xml:space="preserve"> </w:t>
      </w:r>
      <w:r w:rsidR="00C11E83">
        <w:t>“Sy</w:t>
      </w:r>
      <w:r w:rsidR="00C11E83">
        <w:rPr>
          <w:spacing w:val="1"/>
        </w:rPr>
        <w:t>n</w:t>
      </w:r>
      <w:r w:rsidR="00C11E83">
        <w:t>t</w:t>
      </w:r>
      <w:r w:rsidR="00C11E83">
        <w:rPr>
          <w:spacing w:val="1"/>
        </w:rPr>
        <w:t>h</w:t>
      </w:r>
      <w:r w:rsidR="00C11E83">
        <w:t>etic</w:t>
      </w:r>
      <w:r w:rsidR="00C11E83">
        <w:rPr>
          <w:spacing w:val="1"/>
        </w:rPr>
        <w:t xml:space="preserve"> </w:t>
      </w:r>
      <w:r w:rsidR="00C11E83">
        <w:t>str</w:t>
      </w:r>
      <w:r w:rsidR="00C11E83">
        <w:rPr>
          <w:spacing w:val="1"/>
        </w:rPr>
        <w:t>u</w:t>
      </w:r>
      <w:r w:rsidR="00C11E83">
        <w:t>ct</w:t>
      </w:r>
      <w:r w:rsidR="00C11E83">
        <w:rPr>
          <w:spacing w:val="1"/>
        </w:rPr>
        <w:t>ur</w:t>
      </w:r>
      <w:r w:rsidR="00C11E83">
        <w:t>e</w:t>
      </w:r>
      <w:r w:rsidR="00C11E83">
        <w:rPr>
          <w:spacing w:val="1"/>
        </w:rPr>
        <w:t xml:space="preserve"> </w:t>
      </w:r>
      <w:r w:rsidR="00C11E83">
        <w:t>of</w:t>
      </w:r>
      <w:r w:rsidR="00C11E83">
        <w:rPr>
          <w:spacing w:val="1"/>
        </w:rPr>
        <w:t xml:space="preserve"> </w:t>
      </w:r>
      <w:r w:rsidR="00C11E83">
        <w:t>i</w:t>
      </w:r>
      <w:r w:rsidR="00C11E83">
        <w:rPr>
          <w:spacing w:val="1"/>
        </w:rPr>
        <w:t>n</w:t>
      </w:r>
      <w:r w:rsidR="00C11E83">
        <w:t>d</w:t>
      </w:r>
      <w:r w:rsidR="00C11E83">
        <w:rPr>
          <w:spacing w:val="1"/>
        </w:rPr>
        <w:t>u</w:t>
      </w:r>
      <w:r w:rsidR="00C11E83">
        <w:t>str</w:t>
      </w:r>
      <w:r w:rsidR="00C11E83">
        <w:rPr>
          <w:spacing w:val="-2"/>
        </w:rPr>
        <w:t>i</w:t>
      </w:r>
      <w:r w:rsidR="00C11E83">
        <w:t>al</w:t>
      </w:r>
      <w:r w:rsidR="00C11E83">
        <w:rPr>
          <w:spacing w:val="1"/>
        </w:rPr>
        <w:t xml:space="preserve"> p</w:t>
      </w:r>
      <w:r w:rsidR="00C11E83">
        <w:t>lastics,”</w:t>
      </w:r>
      <w:r w:rsidR="00C11E83">
        <w:rPr>
          <w:spacing w:val="1"/>
        </w:rPr>
        <w:t xml:space="preserve"> </w:t>
      </w:r>
      <w:r w:rsidR="00C11E83">
        <w:t xml:space="preserve">in </w:t>
      </w:r>
      <w:r w:rsidR="00C11E83">
        <w:rPr>
          <w:i/>
          <w:iCs/>
        </w:rPr>
        <w:t>Pl</w:t>
      </w:r>
      <w:r w:rsidR="00C11E83">
        <w:rPr>
          <w:i/>
          <w:iCs/>
          <w:spacing w:val="1"/>
        </w:rPr>
        <w:t>a</w:t>
      </w:r>
      <w:r w:rsidR="00C11E83">
        <w:rPr>
          <w:i/>
          <w:iCs/>
        </w:rPr>
        <w:t xml:space="preserve">stics, </w:t>
      </w:r>
      <w:r w:rsidR="00C11E83">
        <w:rPr>
          <w:i/>
          <w:iCs/>
          <w:spacing w:val="38"/>
        </w:rPr>
        <w:t xml:space="preserve"> </w:t>
      </w:r>
      <w:r w:rsidR="00C11E83">
        <w:t>2</w:t>
      </w:r>
      <w:r w:rsidR="00C11E83">
        <w:rPr>
          <w:spacing w:val="-1"/>
        </w:rPr>
        <w:t>n</w:t>
      </w:r>
      <w:r w:rsidR="00C11E83">
        <w:t xml:space="preserve">d </w:t>
      </w:r>
      <w:r w:rsidR="00C11E83">
        <w:rPr>
          <w:spacing w:val="39"/>
        </w:rPr>
        <w:t xml:space="preserve"> </w:t>
      </w:r>
      <w:r w:rsidR="00C11E83">
        <w:t>ed</w:t>
      </w:r>
      <w:r w:rsidR="00C11E83">
        <w:rPr>
          <w:spacing w:val="-1"/>
        </w:rPr>
        <w:t>.</w:t>
      </w:r>
      <w:r w:rsidR="00C11E83">
        <w:t xml:space="preserve">, </w:t>
      </w:r>
      <w:r w:rsidR="00C11E83">
        <w:rPr>
          <w:spacing w:val="38"/>
        </w:rPr>
        <w:t xml:space="preserve"> </w:t>
      </w:r>
      <w:r w:rsidR="00C11E83">
        <w:t xml:space="preserve">vol. </w:t>
      </w:r>
      <w:r w:rsidR="00C11E83">
        <w:rPr>
          <w:spacing w:val="38"/>
        </w:rPr>
        <w:t xml:space="preserve"> </w:t>
      </w:r>
      <w:r w:rsidR="00C11E83">
        <w:rPr>
          <w:spacing w:val="-1"/>
        </w:rPr>
        <w:t>3</w:t>
      </w:r>
      <w:r w:rsidR="004B558A">
        <w:t xml:space="preserve">, </w:t>
      </w:r>
      <w:r w:rsidR="004B558A">
        <w:rPr>
          <w:spacing w:val="38"/>
        </w:rPr>
        <w:t>J</w:t>
      </w:r>
      <w:r w:rsidR="00C11E83">
        <w:t xml:space="preserve">. </w:t>
      </w:r>
      <w:r w:rsidR="00C11E83">
        <w:rPr>
          <w:spacing w:val="39"/>
        </w:rPr>
        <w:t xml:space="preserve"> </w:t>
      </w:r>
      <w:r w:rsidR="00C11E83">
        <w:t>Pet</w:t>
      </w:r>
      <w:r w:rsidR="00C11E83">
        <w:rPr>
          <w:spacing w:val="-1"/>
        </w:rPr>
        <w:t>e</w:t>
      </w:r>
      <w:r w:rsidR="00C11E83">
        <w:t>rs</w:t>
      </w:r>
      <w:r w:rsidR="004B558A">
        <w:t xml:space="preserve">, </w:t>
      </w:r>
      <w:r w:rsidR="004B558A">
        <w:rPr>
          <w:spacing w:val="38"/>
        </w:rPr>
        <w:t>Ed</w:t>
      </w:r>
      <w:r w:rsidR="00C11E83">
        <w:t xml:space="preserve">. </w:t>
      </w:r>
      <w:r w:rsidR="00C11E83">
        <w:rPr>
          <w:spacing w:val="38"/>
        </w:rPr>
        <w:t xml:space="preserve"> </w:t>
      </w:r>
      <w:r w:rsidR="004B558A">
        <w:t>N</w:t>
      </w:r>
      <w:r w:rsidR="004B558A">
        <w:rPr>
          <w:spacing w:val="-1"/>
        </w:rPr>
        <w:t>e</w:t>
      </w:r>
      <w:r w:rsidR="004B558A">
        <w:t xml:space="preserve">w </w:t>
      </w:r>
      <w:r w:rsidR="004B558A">
        <w:rPr>
          <w:spacing w:val="38"/>
        </w:rPr>
        <w:t>York</w:t>
      </w:r>
      <w:r w:rsidR="004B558A">
        <w:rPr>
          <w:spacing w:val="-1"/>
        </w:rPr>
        <w:t>, NY, USA</w:t>
      </w:r>
      <w:r w:rsidR="00C11E83">
        <w:t>: McGraw-Hill,</w:t>
      </w:r>
      <w:r w:rsidR="00C11E83">
        <w:rPr>
          <w:spacing w:val="-1"/>
        </w:rPr>
        <w:t xml:space="preserve"> </w:t>
      </w:r>
      <w:r w:rsidR="00C11E83">
        <w:rPr>
          <w:spacing w:val="1"/>
        </w:rPr>
        <w:t>1</w:t>
      </w:r>
      <w:r w:rsidR="00C11E83">
        <w:t>96</w:t>
      </w:r>
      <w:r w:rsidR="00C11E83">
        <w:rPr>
          <w:spacing w:val="1"/>
        </w:rPr>
        <w:t>4</w:t>
      </w:r>
      <w:r w:rsidR="00C11E83">
        <w:t>,</w:t>
      </w:r>
      <w:r w:rsidR="00C11E83">
        <w:rPr>
          <w:spacing w:val="-1"/>
        </w:rPr>
        <w:t xml:space="preserve"> </w:t>
      </w:r>
      <w:r w:rsidR="00C11E83">
        <w:t>p</w:t>
      </w:r>
      <w:r w:rsidR="00C11E83">
        <w:rPr>
          <w:spacing w:val="1"/>
        </w:rPr>
        <w:t>p</w:t>
      </w:r>
      <w:r w:rsidR="00C11E83">
        <w:t>.</w:t>
      </w:r>
      <w:r w:rsidR="00C11E83">
        <w:rPr>
          <w:spacing w:val="-1"/>
        </w:rPr>
        <w:t xml:space="preserve"> </w:t>
      </w:r>
      <w:r w:rsidR="00C11E83">
        <w:t>1</w:t>
      </w:r>
      <w:r w:rsidR="00C11E83">
        <w:rPr>
          <w:spacing w:val="1"/>
        </w:rPr>
        <w:t>5</w:t>
      </w:r>
      <w:r w:rsidR="00C11E83">
        <w:t>–6</w:t>
      </w:r>
      <w:r w:rsidR="00C11E83">
        <w:rPr>
          <w:spacing w:val="1"/>
        </w:rPr>
        <w:t>4</w:t>
      </w:r>
      <w:r w:rsidR="00C11E83">
        <w:t>.</w:t>
      </w:r>
    </w:p>
    <w:p w14:paraId="10DF783C" w14:textId="00FB8E0A" w:rsidR="00FB0F28" w:rsidRPr="00FB0F28" w:rsidRDefault="00FB0F28" w:rsidP="00FB0F28">
      <w:pPr>
        <w:pStyle w:val="References"/>
      </w:pPr>
      <w:r w:rsidRPr="00FB0F28">
        <w:t>G. Reinelt, “TSPLIB: A Traveling Salesman Problem Library,” ORSA Journal on Computing, vol. 3, no. 4, pp. 376–384, 1991.</w:t>
      </w:r>
    </w:p>
    <w:p w14:paraId="69163ABA" w14:textId="77777777" w:rsidR="008E0645" w:rsidRDefault="008E0645">
      <w:pPr>
        <w:pStyle w:val="FigureCaption"/>
        <w:rPr>
          <w:b/>
          <w:bCs/>
        </w:rPr>
      </w:pPr>
    </w:p>
    <w:p w14:paraId="14D7DD8C" w14:textId="77777777" w:rsidR="008F594A" w:rsidRPr="007434B3" w:rsidRDefault="008F594A" w:rsidP="007434B3">
      <w:pPr>
        <w:pStyle w:val="FigureCaption"/>
        <w:rPr>
          <w:sz w:val="20"/>
          <w:szCs w:val="20"/>
        </w:rPr>
        <w:sectPr w:rsidR="008F594A" w:rsidRPr="007434B3" w:rsidSect="00837E47">
          <w:headerReference w:type="default" r:id="rId17"/>
          <w:type w:val="continuous"/>
          <w:pgSz w:w="12240" w:h="15840" w:code="1"/>
          <w:pgMar w:top="1008" w:right="936" w:bottom="1008" w:left="936" w:header="432" w:footer="432" w:gutter="0"/>
          <w:cols w:num="2" w:space="288"/>
        </w:sectPr>
      </w:pPr>
    </w:p>
    <w:p w14:paraId="385AED85" w14:textId="77777777" w:rsidR="001B2686" w:rsidRPr="00CD684F" w:rsidRDefault="001B2686" w:rsidP="001B2686">
      <w:pPr>
        <w:adjustRightInd w:val="0"/>
        <w:jc w:val="both"/>
        <w:rPr>
          <w:rFonts w:ascii="Times-Roman" w:hAnsi="Times-Roman" w:cs="Times-Roman"/>
        </w:rPr>
      </w:pPr>
    </w:p>
    <w:p w14:paraId="1356E0DC" w14:textId="77777777" w:rsidR="0037551B" w:rsidRPr="00CD684F" w:rsidRDefault="0037551B" w:rsidP="001B2686">
      <w:pPr>
        <w:pStyle w:val="FigureCaption"/>
        <w:rPr>
          <w:sz w:val="20"/>
          <w:szCs w:val="20"/>
        </w:rPr>
      </w:pPr>
    </w:p>
    <w:sectPr w:rsidR="0037551B" w:rsidRPr="00CD684F" w:rsidSect="00143F2E">
      <w:type w:val="continuous"/>
      <w:pgSz w:w="12240" w:h="15840" w:code="1"/>
      <w:pgMar w:top="1008" w:right="936" w:bottom="1008" w:left="936" w:header="432" w:footer="432" w:gutter="0"/>
      <w:cols w:num="2" w:space="28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B4510F" w14:textId="77777777" w:rsidR="00505148" w:rsidRDefault="00505148">
      <w:r>
        <w:separator/>
      </w:r>
    </w:p>
  </w:endnote>
  <w:endnote w:type="continuationSeparator" w:id="0">
    <w:p w14:paraId="3E7CC422" w14:textId="77777777" w:rsidR="00505148" w:rsidRDefault="005051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charset w:val="00"/>
    <w:family w:val="auto"/>
    <w:pitch w:val="variable"/>
    <w:sig w:usb0="80000067" w:usb1="00000000" w:usb2="00000000" w:usb3="00000000" w:csb0="0000019F" w:csb1="00000000"/>
  </w:font>
  <w:font w:name="Formata-Regular">
    <w:altName w:val="Times New Roman"/>
    <w:panose1 w:val="00000000000000000000"/>
    <w:charset w:val="4D"/>
    <w:family w:val="auto"/>
    <w:notTrueType/>
    <w:pitch w:val="default"/>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Verdana-Italic">
    <w:altName w:val="Verdana"/>
    <w:panose1 w:val="00000000000000000000"/>
    <w:charset w:val="4D"/>
    <w:family w:val="auto"/>
    <w:notTrueType/>
    <w:pitch w:val="default"/>
    <w:sig w:usb0="00000003" w:usb1="00000000" w:usb2="00000000" w:usb3="00000000" w:csb0="00000001" w:csb1="00000000"/>
  </w:font>
  <w:font w:name="Helv">
    <w:altName w:val="Arial"/>
    <w:panose1 w:val="020B0604020202030204"/>
    <w:charset w:val="00"/>
    <w:family w:val="swiss"/>
    <w:notTrueType/>
    <w:pitch w:val="variable"/>
    <w:sig w:usb0="00000003" w:usb1="00000000" w:usb2="00000000" w:usb3="00000000" w:csb0="00000001" w:csb1="00000000"/>
  </w:font>
  <w:font w:name="Times-Roman">
    <w:altName w:val="Times"/>
    <w:panose1 w:val="00000000000000000000"/>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5C144C" w14:textId="77777777" w:rsidR="00505148" w:rsidRDefault="00505148"/>
  </w:footnote>
  <w:footnote w:type="continuationSeparator" w:id="0">
    <w:p w14:paraId="5BD6AF4E" w14:textId="77777777" w:rsidR="00505148" w:rsidRDefault="00505148">
      <w:r>
        <w:continuationSeparator/>
      </w:r>
    </w:p>
  </w:footnote>
  <w:footnote w:id="1">
    <w:p w14:paraId="52A91421" w14:textId="77777777" w:rsidR="007530A3" w:rsidRDefault="007530A3">
      <w:pPr>
        <w:pStyle w:val="FootnoteText"/>
      </w:pPr>
      <w:r>
        <w:t xml:space="preserve">The </w:t>
      </w:r>
      <w:r w:rsidR="00782D9E">
        <w:t>paragraph here</w:t>
      </w:r>
      <w:r>
        <w:t xml:space="preserve"> should contain the authors’ current affiliations, including current address and e-mail. For example, F. A. Author is with the National Institute of Standards and Technology, Boulder, CO 80305 USA (e-mail: author@ boulder.nist.gov). </w:t>
      </w:r>
    </w:p>
    <w:p w14:paraId="3B76062A" w14:textId="77777777" w:rsidR="007530A3" w:rsidRDefault="007530A3">
      <w:pPr>
        <w:pStyle w:val="FootnoteText"/>
      </w:pPr>
      <w:r>
        <w:t>S. B. Author, Jr., was with Rice University, Houston, TX 77005 USA. He is now with the Department of Physics, Colorado State University, Fort Collins, CO 80523 USA (e-mail: author@lamar.colostate.edu).</w:t>
      </w:r>
    </w:p>
    <w:p w14:paraId="39D73A5F" w14:textId="77777777" w:rsidR="007530A3" w:rsidRDefault="007530A3">
      <w:pPr>
        <w:pStyle w:val="FootnoteText"/>
      </w:pPr>
      <w:r>
        <w:t>T. C. Author is with the Electrical Engineering Department, University of Colorado, Boulder, CO 80309 USA, on leave from the National Research Institute for Metals, Tsukuba, Japan (e-mail: author@nrim.go.jp).</w:t>
      </w:r>
    </w:p>
  </w:footnote>
  <w:footnote w:id="2">
    <w:p w14:paraId="10E7226F" w14:textId="77777777" w:rsidR="007530A3" w:rsidRDefault="007530A3" w:rsidP="00C075EF">
      <w:pPr>
        <w:pStyle w:val="FootnoteText"/>
      </w:pPr>
      <w:r>
        <w:rPr>
          <w:rStyle w:val="FootnoteReference"/>
        </w:rPr>
        <w:footnoteRef/>
      </w:r>
      <w: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2858D" w14:textId="77777777" w:rsidR="007530A3" w:rsidRDefault="007530A3">
    <w:pPr>
      <w:framePr w:wrap="auto" w:vAnchor="text" w:hAnchor="margin" w:xAlign="right" w:y="1"/>
    </w:pPr>
    <w:r>
      <w:fldChar w:fldCharType="begin"/>
    </w:r>
    <w:r>
      <w:instrText xml:space="preserve">PAGE  </w:instrText>
    </w:r>
    <w:r>
      <w:fldChar w:fldCharType="separate"/>
    </w:r>
    <w:r w:rsidR="005C0E09">
      <w:rPr>
        <w:noProof/>
      </w:rPr>
      <w:t>1</w:t>
    </w:r>
    <w:r>
      <w:fldChar w:fldCharType="end"/>
    </w:r>
  </w:p>
  <w:p w14:paraId="00342B9A" w14:textId="77777777" w:rsidR="007530A3" w:rsidRDefault="007530A3">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EBB2C53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1FE04BD4"/>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1E8E8124"/>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DB607804"/>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63F4F052"/>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2CBA6604"/>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66FEB2A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36886A36"/>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0FDCED3C"/>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BCAA61E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69F8DF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FFFFFFFB"/>
    <w:multiLevelType w:val="multilevel"/>
    <w:tmpl w:val="62F820A2"/>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rPr>
        <w:b w:val="0"/>
      </w:rPr>
    </w:lvl>
    <w:lvl w:ilvl="2">
      <w:start w:val="1"/>
      <w:numFmt w:val="decimal"/>
      <w:pStyle w:val="Heading3"/>
      <w:lvlText w:val="%3)"/>
      <w:legacy w:legacy="1" w:legacySpace="144" w:legacyIndent="144"/>
      <w:lvlJc w:val="left"/>
      <w:rPr>
        <w:i/>
      </w:rPr>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2" w15:restartNumberingAfterBreak="0">
    <w:nsid w:val="0AD53BAD"/>
    <w:multiLevelType w:val="hybridMultilevel"/>
    <w:tmpl w:val="3A402578"/>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14"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5"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16"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17" w15:restartNumberingAfterBreak="0">
    <w:nsid w:val="37347E93"/>
    <w:multiLevelType w:val="hybridMultilevel"/>
    <w:tmpl w:val="35CADE76"/>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877D64"/>
    <w:multiLevelType w:val="singleLevel"/>
    <w:tmpl w:val="37E4B88C"/>
    <w:lvl w:ilvl="0">
      <w:start w:val="1"/>
      <w:numFmt w:val="decimal"/>
      <w:pStyle w:val="References"/>
      <w:lvlText w:val="[%1]"/>
      <w:lvlJc w:val="left"/>
      <w:pPr>
        <w:tabs>
          <w:tab w:val="num" w:pos="1170"/>
        </w:tabs>
        <w:ind w:left="1170" w:hanging="360"/>
      </w:pPr>
      <w:rPr>
        <w:i w:val="0"/>
      </w:rPr>
    </w:lvl>
  </w:abstractNum>
  <w:abstractNum w:abstractNumId="19"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20" w15:restartNumberingAfterBreak="0">
    <w:nsid w:val="44775830"/>
    <w:multiLevelType w:val="hybridMultilevel"/>
    <w:tmpl w:val="3E4A0EB2"/>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22" w15:restartNumberingAfterBreak="0">
    <w:nsid w:val="48301EFA"/>
    <w:multiLevelType w:val="hybridMultilevel"/>
    <w:tmpl w:val="39DC1FF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24"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25" w15:restartNumberingAfterBreak="0">
    <w:nsid w:val="6DC3293B"/>
    <w:multiLevelType w:val="singleLevel"/>
    <w:tmpl w:val="A28C3CCC"/>
    <w:lvl w:ilvl="0">
      <w:start w:val="1"/>
      <w:numFmt w:val="decimal"/>
      <w:lvlText w:val="[%1]"/>
      <w:lvlJc w:val="left"/>
      <w:pPr>
        <w:tabs>
          <w:tab w:val="num" w:pos="360"/>
        </w:tabs>
        <w:ind w:left="360" w:hanging="360"/>
      </w:pPr>
      <w:rPr>
        <w:b w:val="0"/>
      </w:rPr>
    </w:lvl>
  </w:abstractNum>
  <w:abstractNum w:abstractNumId="26" w15:restartNumberingAfterBreak="0">
    <w:nsid w:val="70C21745"/>
    <w:multiLevelType w:val="hybridMultilevel"/>
    <w:tmpl w:val="C5AA9EB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22C3FDB"/>
    <w:multiLevelType w:val="hybridMultilevel"/>
    <w:tmpl w:val="E0222B8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50A417B"/>
    <w:multiLevelType w:val="hybridMultilevel"/>
    <w:tmpl w:val="78D2826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5CE3AEE"/>
    <w:multiLevelType w:val="hybridMultilevel"/>
    <w:tmpl w:val="A03C883C"/>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891965769">
    <w:abstractNumId w:val="11"/>
  </w:num>
  <w:num w:numId="2" w16cid:durableId="611329897">
    <w:abstractNumId w:val="16"/>
  </w:num>
  <w:num w:numId="3" w16cid:durableId="907032587">
    <w:abstractNumId w:val="16"/>
    <w:lvlOverride w:ilvl="0">
      <w:lvl w:ilvl="0">
        <w:start w:val="1"/>
        <w:numFmt w:val="decimal"/>
        <w:lvlText w:val="%1."/>
        <w:legacy w:legacy="1" w:legacySpace="0" w:legacyIndent="360"/>
        <w:lvlJc w:val="left"/>
        <w:pPr>
          <w:ind w:left="360" w:hanging="360"/>
        </w:pPr>
      </w:lvl>
    </w:lvlOverride>
  </w:num>
  <w:num w:numId="4" w16cid:durableId="595091919">
    <w:abstractNumId w:val="16"/>
    <w:lvlOverride w:ilvl="0">
      <w:lvl w:ilvl="0">
        <w:start w:val="1"/>
        <w:numFmt w:val="decimal"/>
        <w:lvlText w:val="%1."/>
        <w:legacy w:legacy="1" w:legacySpace="0" w:legacyIndent="360"/>
        <w:lvlJc w:val="left"/>
        <w:pPr>
          <w:ind w:left="360" w:hanging="360"/>
        </w:pPr>
      </w:lvl>
    </w:lvlOverride>
  </w:num>
  <w:num w:numId="5" w16cid:durableId="277103169">
    <w:abstractNumId w:val="16"/>
    <w:lvlOverride w:ilvl="0">
      <w:lvl w:ilvl="0">
        <w:start w:val="1"/>
        <w:numFmt w:val="decimal"/>
        <w:lvlText w:val="%1."/>
        <w:legacy w:legacy="1" w:legacySpace="0" w:legacyIndent="360"/>
        <w:lvlJc w:val="left"/>
        <w:pPr>
          <w:ind w:left="360" w:hanging="360"/>
        </w:pPr>
      </w:lvl>
    </w:lvlOverride>
  </w:num>
  <w:num w:numId="6" w16cid:durableId="2002657880">
    <w:abstractNumId w:val="21"/>
  </w:num>
  <w:num w:numId="7" w16cid:durableId="1126123752">
    <w:abstractNumId w:val="21"/>
    <w:lvlOverride w:ilvl="0">
      <w:lvl w:ilvl="0">
        <w:start w:val="1"/>
        <w:numFmt w:val="decimal"/>
        <w:lvlText w:val="%1."/>
        <w:legacy w:legacy="1" w:legacySpace="0" w:legacyIndent="360"/>
        <w:lvlJc w:val="left"/>
        <w:pPr>
          <w:ind w:left="360" w:hanging="360"/>
        </w:pPr>
      </w:lvl>
    </w:lvlOverride>
  </w:num>
  <w:num w:numId="8" w16cid:durableId="520511273">
    <w:abstractNumId w:val="21"/>
    <w:lvlOverride w:ilvl="0">
      <w:lvl w:ilvl="0">
        <w:start w:val="1"/>
        <w:numFmt w:val="decimal"/>
        <w:lvlText w:val="%1."/>
        <w:legacy w:legacy="1" w:legacySpace="0" w:legacyIndent="360"/>
        <w:lvlJc w:val="left"/>
        <w:pPr>
          <w:ind w:left="360" w:hanging="360"/>
        </w:pPr>
      </w:lvl>
    </w:lvlOverride>
  </w:num>
  <w:num w:numId="9" w16cid:durableId="1367369360">
    <w:abstractNumId w:val="21"/>
    <w:lvlOverride w:ilvl="0">
      <w:lvl w:ilvl="0">
        <w:start w:val="1"/>
        <w:numFmt w:val="decimal"/>
        <w:lvlText w:val="%1."/>
        <w:legacy w:legacy="1" w:legacySpace="0" w:legacyIndent="360"/>
        <w:lvlJc w:val="left"/>
        <w:pPr>
          <w:ind w:left="360" w:hanging="360"/>
        </w:pPr>
      </w:lvl>
    </w:lvlOverride>
  </w:num>
  <w:num w:numId="10" w16cid:durableId="635836611">
    <w:abstractNumId w:val="21"/>
    <w:lvlOverride w:ilvl="0">
      <w:lvl w:ilvl="0">
        <w:start w:val="1"/>
        <w:numFmt w:val="decimal"/>
        <w:lvlText w:val="%1."/>
        <w:legacy w:legacy="1" w:legacySpace="0" w:legacyIndent="360"/>
        <w:lvlJc w:val="left"/>
        <w:pPr>
          <w:ind w:left="360" w:hanging="360"/>
        </w:pPr>
      </w:lvl>
    </w:lvlOverride>
  </w:num>
  <w:num w:numId="11" w16cid:durableId="27683047">
    <w:abstractNumId w:val="21"/>
    <w:lvlOverride w:ilvl="0">
      <w:lvl w:ilvl="0">
        <w:start w:val="1"/>
        <w:numFmt w:val="decimal"/>
        <w:lvlText w:val="%1."/>
        <w:legacy w:legacy="1" w:legacySpace="0" w:legacyIndent="360"/>
        <w:lvlJc w:val="left"/>
        <w:pPr>
          <w:ind w:left="360" w:hanging="360"/>
        </w:pPr>
      </w:lvl>
    </w:lvlOverride>
  </w:num>
  <w:num w:numId="12" w16cid:durableId="336276735">
    <w:abstractNumId w:val="18"/>
  </w:num>
  <w:num w:numId="13" w16cid:durableId="278608559">
    <w:abstractNumId w:val="13"/>
  </w:num>
  <w:num w:numId="14" w16cid:durableId="901334276">
    <w:abstractNumId w:val="24"/>
  </w:num>
  <w:num w:numId="15" w16cid:durableId="28994821">
    <w:abstractNumId w:val="23"/>
  </w:num>
  <w:num w:numId="16" w16cid:durableId="786507392">
    <w:abstractNumId w:val="30"/>
  </w:num>
  <w:num w:numId="17" w16cid:durableId="924417091">
    <w:abstractNumId w:val="15"/>
  </w:num>
  <w:num w:numId="18" w16cid:durableId="1595673632">
    <w:abstractNumId w:val="14"/>
  </w:num>
  <w:num w:numId="19" w16cid:durableId="1387947640">
    <w:abstractNumId w:val="25"/>
  </w:num>
  <w:num w:numId="20" w16cid:durableId="2032609654">
    <w:abstractNumId w:val="19"/>
  </w:num>
  <w:num w:numId="21" w16cid:durableId="21366054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863779128">
    <w:abstractNumId w:val="29"/>
  </w:num>
  <w:num w:numId="23" w16cid:durableId="1015307559">
    <w:abstractNumId w:val="28"/>
  </w:num>
  <w:num w:numId="24" w16cid:durableId="1684895872">
    <w:abstractNumId w:val="22"/>
  </w:num>
  <w:num w:numId="25" w16cid:durableId="1602949663">
    <w:abstractNumId w:val="27"/>
  </w:num>
  <w:num w:numId="26" w16cid:durableId="2124496324">
    <w:abstractNumId w:val="12"/>
  </w:num>
  <w:num w:numId="27" w16cid:durableId="155341264">
    <w:abstractNumId w:val="26"/>
  </w:num>
  <w:num w:numId="28" w16cid:durableId="1306200921">
    <w:abstractNumId w:val="17"/>
  </w:num>
  <w:num w:numId="29" w16cid:durableId="1529484430">
    <w:abstractNumId w:val="20"/>
  </w:num>
  <w:num w:numId="30" w16cid:durableId="1518499185">
    <w:abstractNumId w:val="10"/>
  </w:num>
  <w:num w:numId="31" w16cid:durableId="2139639230">
    <w:abstractNumId w:val="8"/>
  </w:num>
  <w:num w:numId="32" w16cid:durableId="92746506">
    <w:abstractNumId w:val="7"/>
  </w:num>
  <w:num w:numId="33" w16cid:durableId="1381711162">
    <w:abstractNumId w:val="6"/>
  </w:num>
  <w:num w:numId="34" w16cid:durableId="483664048">
    <w:abstractNumId w:val="5"/>
  </w:num>
  <w:num w:numId="35" w16cid:durableId="1377387604">
    <w:abstractNumId w:val="9"/>
  </w:num>
  <w:num w:numId="36" w16cid:durableId="2027899036">
    <w:abstractNumId w:val="4"/>
  </w:num>
  <w:num w:numId="37" w16cid:durableId="1311397878">
    <w:abstractNumId w:val="3"/>
  </w:num>
  <w:num w:numId="38" w16cid:durableId="131093573">
    <w:abstractNumId w:val="2"/>
  </w:num>
  <w:num w:numId="39" w16cid:durableId="1381323313">
    <w:abstractNumId w:val="1"/>
  </w:num>
  <w:num w:numId="40" w16cid:durableId="9028301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035B"/>
    <w:rsid w:val="0001526C"/>
    <w:rsid w:val="00042E13"/>
    <w:rsid w:val="000A0C2F"/>
    <w:rsid w:val="000A168B"/>
    <w:rsid w:val="000D2BDE"/>
    <w:rsid w:val="00104BB0"/>
    <w:rsid w:val="0010794E"/>
    <w:rsid w:val="00113F26"/>
    <w:rsid w:val="0013354F"/>
    <w:rsid w:val="00143F2E"/>
    <w:rsid w:val="00144E72"/>
    <w:rsid w:val="001768FF"/>
    <w:rsid w:val="00193931"/>
    <w:rsid w:val="001A60B1"/>
    <w:rsid w:val="001B2686"/>
    <w:rsid w:val="001B36B1"/>
    <w:rsid w:val="001B5121"/>
    <w:rsid w:val="001E7B7A"/>
    <w:rsid w:val="001F4C5C"/>
    <w:rsid w:val="00204478"/>
    <w:rsid w:val="00214E2E"/>
    <w:rsid w:val="00216141"/>
    <w:rsid w:val="00217186"/>
    <w:rsid w:val="002434A1"/>
    <w:rsid w:val="00263943"/>
    <w:rsid w:val="00267B35"/>
    <w:rsid w:val="002E1F95"/>
    <w:rsid w:val="002F1A23"/>
    <w:rsid w:val="002F7910"/>
    <w:rsid w:val="003030F8"/>
    <w:rsid w:val="00304CAE"/>
    <w:rsid w:val="00314239"/>
    <w:rsid w:val="00314F82"/>
    <w:rsid w:val="003427CE"/>
    <w:rsid w:val="00342BE1"/>
    <w:rsid w:val="003461E8"/>
    <w:rsid w:val="00360269"/>
    <w:rsid w:val="0037551B"/>
    <w:rsid w:val="00392DBA"/>
    <w:rsid w:val="003C3322"/>
    <w:rsid w:val="003C68C2"/>
    <w:rsid w:val="003D1EBF"/>
    <w:rsid w:val="003D4CAE"/>
    <w:rsid w:val="003F26BD"/>
    <w:rsid w:val="003F52AD"/>
    <w:rsid w:val="0043144F"/>
    <w:rsid w:val="00431BFA"/>
    <w:rsid w:val="004353CF"/>
    <w:rsid w:val="004631BC"/>
    <w:rsid w:val="00484761"/>
    <w:rsid w:val="00484DD5"/>
    <w:rsid w:val="004B558A"/>
    <w:rsid w:val="004C1E16"/>
    <w:rsid w:val="004C2543"/>
    <w:rsid w:val="004D15CA"/>
    <w:rsid w:val="004E3E4C"/>
    <w:rsid w:val="004F23A0"/>
    <w:rsid w:val="005003E3"/>
    <w:rsid w:val="00505148"/>
    <w:rsid w:val="005052CD"/>
    <w:rsid w:val="005141A9"/>
    <w:rsid w:val="00535307"/>
    <w:rsid w:val="00550A26"/>
    <w:rsid w:val="00550BF5"/>
    <w:rsid w:val="00567A70"/>
    <w:rsid w:val="005A2A15"/>
    <w:rsid w:val="005C0E09"/>
    <w:rsid w:val="005C6EA6"/>
    <w:rsid w:val="005D1B15"/>
    <w:rsid w:val="005D2824"/>
    <w:rsid w:val="005D4F1A"/>
    <w:rsid w:val="005D72BB"/>
    <w:rsid w:val="005E692F"/>
    <w:rsid w:val="0060245A"/>
    <w:rsid w:val="0062114B"/>
    <w:rsid w:val="00623698"/>
    <w:rsid w:val="00625E96"/>
    <w:rsid w:val="00647C09"/>
    <w:rsid w:val="00651F2C"/>
    <w:rsid w:val="00677C22"/>
    <w:rsid w:val="00693D5D"/>
    <w:rsid w:val="006B7F03"/>
    <w:rsid w:val="006C7307"/>
    <w:rsid w:val="00725B45"/>
    <w:rsid w:val="00735879"/>
    <w:rsid w:val="007434B3"/>
    <w:rsid w:val="007530A3"/>
    <w:rsid w:val="0076355A"/>
    <w:rsid w:val="0077750D"/>
    <w:rsid w:val="00782D9E"/>
    <w:rsid w:val="007A7D60"/>
    <w:rsid w:val="007C4336"/>
    <w:rsid w:val="007F7AA6"/>
    <w:rsid w:val="0081663F"/>
    <w:rsid w:val="00823624"/>
    <w:rsid w:val="00837E47"/>
    <w:rsid w:val="008518FE"/>
    <w:rsid w:val="0085659C"/>
    <w:rsid w:val="00864212"/>
    <w:rsid w:val="00872026"/>
    <w:rsid w:val="0087792E"/>
    <w:rsid w:val="00883EAF"/>
    <w:rsid w:val="00885258"/>
    <w:rsid w:val="008A30C3"/>
    <w:rsid w:val="008A3C23"/>
    <w:rsid w:val="008C49CC"/>
    <w:rsid w:val="008D69E9"/>
    <w:rsid w:val="008E0645"/>
    <w:rsid w:val="008F594A"/>
    <w:rsid w:val="00904C7E"/>
    <w:rsid w:val="0091035B"/>
    <w:rsid w:val="00922085"/>
    <w:rsid w:val="00963944"/>
    <w:rsid w:val="009A1F6E"/>
    <w:rsid w:val="009C7D17"/>
    <w:rsid w:val="009E484E"/>
    <w:rsid w:val="009E52D0"/>
    <w:rsid w:val="009E658F"/>
    <w:rsid w:val="009F40FB"/>
    <w:rsid w:val="00A04395"/>
    <w:rsid w:val="00A22FCB"/>
    <w:rsid w:val="00A25B3B"/>
    <w:rsid w:val="00A40127"/>
    <w:rsid w:val="00A472F1"/>
    <w:rsid w:val="00A5237D"/>
    <w:rsid w:val="00A554A3"/>
    <w:rsid w:val="00A758EA"/>
    <w:rsid w:val="00A91937"/>
    <w:rsid w:val="00A9434E"/>
    <w:rsid w:val="00A95C50"/>
    <w:rsid w:val="00AB79A6"/>
    <w:rsid w:val="00AC4850"/>
    <w:rsid w:val="00B15125"/>
    <w:rsid w:val="00B16DB5"/>
    <w:rsid w:val="00B47B59"/>
    <w:rsid w:val="00B53F81"/>
    <w:rsid w:val="00B56C2B"/>
    <w:rsid w:val="00B62954"/>
    <w:rsid w:val="00B65BD3"/>
    <w:rsid w:val="00B70469"/>
    <w:rsid w:val="00B72DD8"/>
    <w:rsid w:val="00B72E09"/>
    <w:rsid w:val="00BF0C69"/>
    <w:rsid w:val="00BF629B"/>
    <w:rsid w:val="00BF655C"/>
    <w:rsid w:val="00C04A43"/>
    <w:rsid w:val="00C075EF"/>
    <w:rsid w:val="00C11E83"/>
    <w:rsid w:val="00C210E1"/>
    <w:rsid w:val="00C2378A"/>
    <w:rsid w:val="00C378A1"/>
    <w:rsid w:val="00C621D6"/>
    <w:rsid w:val="00C75907"/>
    <w:rsid w:val="00C82D86"/>
    <w:rsid w:val="00C907C9"/>
    <w:rsid w:val="00CB4B8D"/>
    <w:rsid w:val="00CC0DDA"/>
    <w:rsid w:val="00CD684F"/>
    <w:rsid w:val="00D06623"/>
    <w:rsid w:val="00D14C6B"/>
    <w:rsid w:val="00D5536F"/>
    <w:rsid w:val="00D56935"/>
    <w:rsid w:val="00D716BA"/>
    <w:rsid w:val="00D758C6"/>
    <w:rsid w:val="00D7612F"/>
    <w:rsid w:val="00D90C10"/>
    <w:rsid w:val="00D92E96"/>
    <w:rsid w:val="00DA258C"/>
    <w:rsid w:val="00DA4345"/>
    <w:rsid w:val="00DA5B8A"/>
    <w:rsid w:val="00DE07FA"/>
    <w:rsid w:val="00DE20DB"/>
    <w:rsid w:val="00DF15D9"/>
    <w:rsid w:val="00DF2DDE"/>
    <w:rsid w:val="00DF77C8"/>
    <w:rsid w:val="00E01667"/>
    <w:rsid w:val="00E36209"/>
    <w:rsid w:val="00E37AF9"/>
    <w:rsid w:val="00E420BB"/>
    <w:rsid w:val="00E50DF6"/>
    <w:rsid w:val="00E6366C"/>
    <w:rsid w:val="00E965C5"/>
    <w:rsid w:val="00E96A3A"/>
    <w:rsid w:val="00E97402"/>
    <w:rsid w:val="00E97B99"/>
    <w:rsid w:val="00EB2E9D"/>
    <w:rsid w:val="00ED1E14"/>
    <w:rsid w:val="00EE6FFC"/>
    <w:rsid w:val="00EF10AC"/>
    <w:rsid w:val="00EF4701"/>
    <w:rsid w:val="00EF4F13"/>
    <w:rsid w:val="00EF564E"/>
    <w:rsid w:val="00EF703C"/>
    <w:rsid w:val="00F22198"/>
    <w:rsid w:val="00F33D49"/>
    <w:rsid w:val="00F3481E"/>
    <w:rsid w:val="00F577F6"/>
    <w:rsid w:val="00F65266"/>
    <w:rsid w:val="00F751E1"/>
    <w:rsid w:val="00F932B6"/>
    <w:rsid w:val="00FB0F28"/>
    <w:rsid w:val="00FC0B7B"/>
    <w:rsid w:val="00FD347F"/>
    <w:rsid w:val="00FF16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D8CAACE"/>
  <w15:chartTrackingRefBased/>
  <w15:docId w15:val="{AC088B5C-3B28-4408-B68D-2946C5E654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Normal"/>
    <w:link w:val="Heading1Char"/>
    <w:uiPriority w:val="9"/>
    <w:qFormat/>
    <w:pPr>
      <w:keepNext/>
      <w:numPr>
        <w:numId w:val="1"/>
      </w:numPr>
      <w:spacing w:before="240" w:after="80"/>
      <w:jc w:val="center"/>
      <w:outlineLvl w:val="0"/>
    </w:pPr>
    <w:rPr>
      <w:smallCaps/>
      <w:kern w:val="28"/>
    </w:rPr>
  </w:style>
  <w:style w:type="paragraph" w:styleId="Heading2">
    <w:name w:val="heading 2"/>
    <w:basedOn w:val="Normal"/>
    <w:next w:val="Normal"/>
    <w:link w:val="Heading2Char"/>
    <w:uiPriority w:val="9"/>
    <w:qFormat/>
    <w:pPr>
      <w:keepNext/>
      <w:numPr>
        <w:ilvl w:val="1"/>
        <w:numId w:val="1"/>
      </w:numPr>
      <w:spacing w:before="120" w:after="60"/>
      <w:outlineLvl w:val="1"/>
    </w:pPr>
    <w:rPr>
      <w:i/>
      <w:iCs/>
    </w:rPr>
  </w:style>
  <w:style w:type="paragraph" w:styleId="Heading3">
    <w:name w:val="heading 3"/>
    <w:basedOn w:val="Normal"/>
    <w:next w:val="Normal"/>
    <w:uiPriority w:val="9"/>
    <w:qFormat/>
    <w:pPr>
      <w:keepNext/>
      <w:numPr>
        <w:ilvl w:val="2"/>
        <w:numId w:val="1"/>
      </w:numPr>
      <w:outlineLvl w:val="2"/>
    </w:pPr>
    <w:rPr>
      <w:i/>
      <w:iCs/>
    </w:rPr>
  </w:style>
  <w:style w:type="paragraph" w:styleId="Heading4">
    <w:name w:val="heading 4"/>
    <w:basedOn w:val="Normal"/>
    <w:next w:val="Normal"/>
    <w:uiPriority w:val="9"/>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qFormat/>
    <w:pPr>
      <w:numPr>
        <w:ilvl w:val="4"/>
        <w:numId w:val="1"/>
      </w:numPr>
      <w:spacing w:before="240" w:after="60"/>
      <w:outlineLvl w:val="4"/>
    </w:pPr>
    <w:rPr>
      <w:sz w:val="18"/>
      <w:szCs w:val="18"/>
    </w:rPr>
  </w:style>
  <w:style w:type="paragraph" w:styleId="Heading6">
    <w:name w:val="heading 6"/>
    <w:basedOn w:val="Normal"/>
    <w:next w:val="Normal"/>
    <w:uiPriority w:val="9"/>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pPr>
      <w:framePr w:w="9360" w:hSpace="187" w:vSpace="187" w:wrap="notBeside" w:vAnchor="text" w:hAnchor="page" w:xAlign="center" w:y="1"/>
      <w:jc w:val="center"/>
    </w:pPr>
    <w:rPr>
      <w:kern w:val="28"/>
      <w:sz w:val="48"/>
      <w:szCs w:val="48"/>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3F52AD"/>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9420538">
      <w:bodyDiv w:val="1"/>
      <w:marLeft w:val="0"/>
      <w:marRight w:val="0"/>
      <w:marTop w:val="0"/>
      <w:marBottom w:val="0"/>
      <w:divBdr>
        <w:top w:val="none" w:sz="0" w:space="0" w:color="auto"/>
        <w:left w:val="none" w:sz="0" w:space="0" w:color="auto"/>
        <w:bottom w:val="none" w:sz="0" w:space="0" w:color="auto"/>
        <w:right w:val="none" w:sz="0" w:space="0" w:color="auto"/>
      </w:divBdr>
      <w:divsChild>
        <w:div w:id="319309106">
          <w:marLeft w:val="0"/>
          <w:marRight w:val="0"/>
          <w:marTop w:val="0"/>
          <w:marBottom w:val="0"/>
          <w:divBdr>
            <w:top w:val="none" w:sz="0" w:space="0" w:color="auto"/>
            <w:left w:val="none" w:sz="0" w:space="0" w:color="auto"/>
            <w:bottom w:val="none" w:sz="0" w:space="0" w:color="auto"/>
            <w:right w:val="none" w:sz="0" w:space="0" w:color="auto"/>
          </w:divBdr>
        </w:div>
        <w:div w:id="1397623839">
          <w:marLeft w:val="0"/>
          <w:marRight w:val="0"/>
          <w:marTop w:val="0"/>
          <w:marBottom w:val="0"/>
          <w:divBdr>
            <w:top w:val="none" w:sz="0" w:space="0" w:color="auto"/>
            <w:left w:val="none" w:sz="0" w:space="0" w:color="auto"/>
            <w:bottom w:val="none" w:sz="0" w:space="0" w:color="auto"/>
            <w:right w:val="none" w:sz="0" w:space="0" w:color="auto"/>
          </w:divBdr>
        </w:div>
      </w:divsChild>
    </w:div>
    <w:div w:id="1679380084">
      <w:bodyDiv w:val="1"/>
      <w:marLeft w:val="0"/>
      <w:marRight w:val="0"/>
      <w:marTop w:val="0"/>
      <w:marBottom w:val="0"/>
      <w:divBdr>
        <w:top w:val="none" w:sz="0" w:space="0" w:color="auto"/>
        <w:left w:val="none" w:sz="0" w:space="0" w:color="auto"/>
        <w:bottom w:val="none" w:sz="0" w:space="0" w:color="auto"/>
        <w:right w:val="none" w:sz="0" w:space="0" w:color="auto"/>
      </w:divBdr>
      <w:divsChild>
        <w:div w:id="966931408">
          <w:marLeft w:val="0"/>
          <w:marRight w:val="0"/>
          <w:marTop w:val="0"/>
          <w:marBottom w:val="0"/>
          <w:divBdr>
            <w:top w:val="none" w:sz="0" w:space="0" w:color="auto"/>
            <w:left w:val="none" w:sz="0" w:space="0" w:color="auto"/>
            <w:bottom w:val="none" w:sz="0" w:space="0" w:color="auto"/>
            <w:right w:val="none" w:sz="0" w:space="0" w:color="auto"/>
          </w:divBdr>
        </w:div>
        <w:div w:id="973607158">
          <w:marLeft w:val="0"/>
          <w:marRight w:val="0"/>
          <w:marTop w:val="0"/>
          <w:marBottom w:val="0"/>
          <w:divBdr>
            <w:top w:val="none" w:sz="0" w:space="0" w:color="auto"/>
            <w:left w:val="none" w:sz="0" w:space="0" w:color="auto"/>
            <w:bottom w:val="none" w:sz="0" w:space="0" w:color="auto"/>
            <w:right w:val="none" w:sz="0" w:space="0" w:color="auto"/>
          </w:divBdr>
        </w:div>
        <w:div w:id="1100833501">
          <w:marLeft w:val="0"/>
          <w:marRight w:val="0"/>
          <w:marTop w:val="0"/>
          <w:marBottom w:val="0"/>
          <w:divBdr>
            <w:top w:val="none" w:sz="0" w:space="0" w:color="auto"/>
            <w:left w:val="none" w:sz="0" w:space="0" w:color="auto"/>
            <w:bottom w:val="none" w:sz="0" w:space="0" w:color="auto"/>
            <w:right w:val="none" w:sz="0" w:space="0" w:color="auto"/>
          </w:divBdr>
        </w:div>
      </w:divsChild>
    </w:div>
  </w:divs>
  <w:encoding w:val="macintosh"/>
  <w:relyOnVML/>
  <w:allowPNG/>
  <w:pixelsPerInch w:val="72"/>
</w:webSettings>
</file>

<file path=word/_rels/document.xml.rels><?xml version="1.0" encoding="UTF-8" standalone="yes"?>
<Relationships xmlns="http://schemas.openxmlformats.org/package/2006/relationships"><Relationship Id="rId8" Type="http://schemas.openxmlformats.org/officeDocument/2006/relationships/hyperlink" Target="https://www.ieee.org/publications_standards/publications/authors/author_templates.html" TargetMode="External"/><Relationship Id="rId13" Type="http://schemas.openxmlformats.org/officeDocument/2006/relationships/hyperlink" Target="mailto:graphics@ieee.org"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graphicsqc.ieee.org/"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www.ieee.org/publications_standards/publications/rights/index.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hyperlink" Target="http://www.ieee.org/publications_standards/publications/authors/authors_submission.html" TargetMode="External"/><Relationship Id="rId10" Type="http://schemas.openxmlformats.org/officeDocument/2006/relationships/image" Target="media/image1.wmf"/><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www.ieee.org/authortools" TargetMode="External"/><Relationship Id="rId14" Type="http://schemas.openxmlformats.org/officeDocument/2006/relationships/hyperlink" Target="http://www.ieee.org/authortoo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4064CBC-ABCC-4FA6-93ED-863B21F5D4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397</TotalTime>
  <Pages>6</Pages>
  <Words>4301</Words>
  <Characters>24522</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vt:lpstr>
    </vt:vector>
  </TitlesOfParts>
  <Company>IEEE</Company>
  <LinksUpToDate>false</LinksUpToDate>
  <CharactersWithSpaces>28766</CharactersWithSpaces>
  <SharedDoc>false</SharedDoc>
  <HLinks>
    <vt:vector size="42" baseType="variant">
      <vt:variant>
        <vt:i4>65575</vt:i4>
      </vt:variant>
      <vt:variant>
        <vt:i4>24</vt:i4>
      </vt:variant>
      <vt:variant>
        <vt:i4>0</vt:i4>
      </vt:variant>
      <vt:variant>
        <vt:i4>5</vt:i4>
      </vt:variant>
      <vt:variant>
        <vt:lpwstr>http://www.ieee.org/publications_standards/publications/rights/index.html</vt:lpwstr>
      </vt:variant>
      <vt:variant>
        <vt:lpwstr/>
      </vt:variant>
      <vt:variant>
        <vt:i4>1703942</vt:i4>
      </vt:variant>
      <vt:variant>
        <vt:i4>21</vt:i4>
      </vt:variant>
      <vt:variant>
        <vt:i4>0</vt:i4>
      </vt:variant>
      <vt:variant>
        <vt:i4>5</vt:i4>
      </vt:variant>
      <vt:variant>
        <vt:lpwstr>http://www.ieee.org/publications_standards/publications/authors/authors_submission.html</vt:lpwstr>
      </vt:variant>
      <vt:variant>
        <vt:lpwstr/>
      </vt:variant>
      <vt:variant>
        <vt:i4>3670073</vt:i4>
      </vt:variant>
      <vt:variant>
        <vt:i4>18</vt:i4>
      </vt:variant>
      <vt:variant>
        <vt:i4>0</vt:i4>
      </vt:variant>
      <vt:variant>
        <vt:i4>5</vt:i4>
      </vt:variant>
      <vt:variant>
        <vt:lpwstr>http://www.ieee.org/authortools</vt:lpwstr>
      </vt:variant>
      <vt:variant>
        <vt:lpwstr/>
      </vt:variant>
      <vt:variant>
        <vt:i4>2555906</vt:i4>
      </vt:variant>
      <vt:variant>
        <vt:i4>15</vt:i4>
      </vt:variant>
      <vt:variant>
        <vt:i4>0</vt:i4>
      </vt:variant>
      <vt:variant>
        <vt:i4>5</vt:i4>
      </vt:variant>
      <vt:variant>
        <vt:lpwstr>mailto:graphics@ieee.org</vt:lpwstr>
      </vt:variant>
      <vt:variant>
        <vt:lpwstr/>
      </vt:variant>
      <vt:variant>
        <vt:i4>7405602</vt:i4>
      </vt:variant>
      <vt:variant>
        <vt:i4>12</vt:i4>
      </vt:variant>
      <vt:variant>
        <vt:i4>0</vt:i4>
      </vt:variant>
      <vt:variant>
        <vt:i4>5</vt:i4>
      </vt:variant>
      <vt:variant>
        <vt:lpwstr>http://graphicsqc.ieee.org/</vt:lpwstr>
      </vt:variant>
      <vt:variant>
        <vt:lpwstr/>
      </vt:variant>
      <vt:variant>
        <vt:i4>3670073</vt:i4>
      </vt:variant>
      <vt:variant>
        <vt:i4>6</vt:i4>
      </vt:variant>
      <vt:variant>
        <vt:i4>0</vt:i4>
      </vt:variant>
      <vt:variant>
        <vt:i4>5</vt:i4>
      </vt:variant>
      <vt:variant>
        <vt:lpwstr>http://www.ieee.org/authortools</vt:lpwstr>
      </vt:variant>
      <vt:variant>
        <vt:lpwstr/>
      </vt:variant>
      <vt:variant>
        <vt:i4>2818096</vt:i4>
      </vt:variant>
      <vt:variant>
        <vt:i4>0</vt:i4>
      </vt:variant>
      <vt:variant>
        <vt:i4>0</vt:i4>
      </vt:variant>
      <vt:variant>
        <vt:i4>5</vt:i4>
      </vt:variant>
      <vt:variant>
        <vt:lpwstr>https://www.ieee.org/publications_standards/publications/authors/author_templates.html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dc:creator>
  <cp:keywords/>
  <cp:lastModifiedBy>Rumsey, Christopher Stephen - (rumsey)</cp:lastModifiedBy>
  <cp:revision>8</cp:revision>
  <cp:lastPrinted>2012-08-02T21:53:00Z</cp:lastPrinted>
  <dcterms:created xsi:type="dcterms:W3CDTF">2026-04-29T18:57:00Z</dcterms:created>
  <dcterms:modified xsi:type="dcterms:W3CDTF">2026-05-02T19:02:00Z</dcterms:modified>
</cp:coreProperties>
</file>