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sz w:val="96"/>
          <w:szCs w:val="96"/>
        </w:rPr>
        <w:t xml:space="preserve">⚡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ENERGY CONSUMPTION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PREDICTION</w:t>
      </w:r>
    </w:p>
    <w:p>
      <w:pPr>
        <w:pBdr>
          <w:bottom w:val="single" w:color="00A3A3" w:sz="6" w:space="4"/>
        </w:pBdr>
        <w:spacing w:before="0" w:after="160"/>
        <w:jc w:val="center"/>
      </w:pPr>
      <w:r>
        <w:rPr>
          <w:rFonts w:ascii="Arial" w:cs="Arial" w:eastAsia="Arial" w:hAnsi="Arial"/>
          <w:i/>
          <w:iCs/>
          <w:color w:val="00A3A3"/>
          <w:sz w:val="26"/>
          <w:szCs w:val="26"/>
        </w:rPr>
        <w:t xml:space="preserve">Machine Learning Project — Full Technical Documentation</w:t>
      </w:r>
    </w:p>
    <w:p>
      <w:pPr>
        <w:spacing w:before="160" w:after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Supervised Regression — Time Series Forecasting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Energy Management &amp; Smart Grid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Scope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years hourly data (17,352 engineered records)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 Trained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ML algorithms benchmarked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Model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Gradient Boosting — R² = 0.9992, MAPE = 2.48%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2024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00A3A3" w:sz="4"/>
        </w:pBdr>
        <w:shd w:fill="1B3A6B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Executive Summary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presents a complete machine learning solution for predicting hourly energy consumption in commercial and industrial facilities. The project spans the full data science lifecycle — from synthetic data generation and feature engineering through multi-model training, evaluation, and deployment-ready artifacts.</w:t>
      </w:r>
    </w:p>
    <w:p>
      <w:pPr>
        <w:spacing w:before="60" w:after="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achieves exceptional predictive accuracy with the best model (Gradient Boosting) delivering a Mean Absolute Percentage Error of just 2.48% and an R² coefficient of 0.9992 on held-out test data. This performance level supports actionable energy management decisions including demand-response scheduling, anomaly detection, and infrastructure planning.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Key Outcome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Gradient Boosting model predicted hourly energy consumption with a mean absolute error of 30.39 kWh — equivalent to less than 3% deviation from actual values — enabling reliable operational forecasting across all hours, seasons, and demand scenarios.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0A3A3" w:sz="4"/>
        </w:pBdr>
        <w:shd w:fill="1B3A6B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Problem Statement</w:t>
      </w:r>
    </w:p>
    <w:p>
      <w:pPr>
        <w:spacing w:before="80" w:after="0"/>
      </w:pPr>
    </w:p>
    <w:p>
      <w:pPr>
        <w:pStyle w:val="Heading2"/>
        <w:pBdr>
          <w:bottom w:val="single" w:color="2E75B6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 Business Context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Energy costs represent 20–40% of operating expenses for commercial buildings and industrial facilities. Accurately forecasting consumption 24–168 hours ahead enables: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Cost Savings: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Procurement cost reduction through optimized energy contract negotiation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Demand Management: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Peak demand shaving to avoid punitive utility surcharges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Grid Flexibility: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Integration of renewable generation sources and battery storage dispatch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Fault Detection: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Early identification of equipment faults and inefficiencies via deviation from forecast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Sustainability: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Regulatory compliance reporting and carbon accounting accuracy</w:t>
      </w:r>
    </w:p>
    <w:p>
      <w:pPr>
        <w:spacing w:before="100" w:after="0"/>
      </w:pPr>
    </w:p>
    <w:p>
      <w:pPr>
        <w:pStyle w:val="Heading2"/>
        <w:pBdr>
          <w:bottom w:val="single" w:color="2E75B6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 Technical Challenge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Energy consumption is a complex, non-stationary time series driven by multiple interacting forces operating across different timescales: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Intraday patterns: Morning ramp-up, midday plateau, evening decline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Weekly seasonality: Weekday vs. weekend occupancy regimes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Annual seasonality: Heating and cooling degree-day cycles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Weather sensitivity: Non-linear HVAC response to temperature and humidity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Exogenous events: Holidays, shutdowns, occupancy changes</w:t>
      </w:r>
    </w:p>
    <w:p>
      <w:pPr>
        <w:spacing w:before="80" w:after="0"/>
      </w:pPr>
    </w:p>
    <w:p>
      <w:pPr>
        <w:pStyle w:val="Heading1"/>
        <w:pBdr>
          <w:bottom w:val="single" w:color="00A3A3" w:sz="4"/>
        </w:pBdr>
        <w:shd w:fill="1B3A6B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Dataset Description</w:t>
      </w:r>
    </w:p>
    <w:p>
      <w:pPr>
        <w:spacing w:before="80" w:after="0"/>
      </w:pPr>
    </w:p>
    <w:p>
      <w:pPr>
        <w:pStyle w:val="Heading2"/>
        <w:pBdr>
          <w:bottom w:val="single" w:color="2E75B6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 Data Generation Methodology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physics-informed synthetic dataset was constructed to simulate 2 years of realistic hourly energy readings for a medium-to-large commercial facility (baseline ~800 kWh/h). The generation model encodes the following real-world dynamics: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Logic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Magnitude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Load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24-point hourly profile × 800 kWh scaling factor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450 – 800 kWh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Cooling Load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 kWh × max(0, T – 22°C)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– 300 kWh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Heating Load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kWh × max(0, 15°C – 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– 400 kWh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Weekend Offset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–80 kWh on Saturday/Sunday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–80 kWh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Holiday Offset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–100 kWh on major US holidays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–100 kWh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Solar Savings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–0.1 × solar irradiance (W/m²)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– –80 kWh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Noise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Normal(μ=0, σ=30) Gaussian residual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±60 kWh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2E75B6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 Dataset Statistics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Raw dataset: 17,520 hourly records (Jan 2022 – Dec 2023)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feature engineering with lag creation: 17,352 usable records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 / Test split: 80% / 20% using temporal (chronological) partitioning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Why Temporal Splitting?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Random splitting would cause data leakage — lag features from the future would contaminate training. Temporal splitting mimics real deployment: the model is always predicting forward in time from known history.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0A3A3" w:sz="4"/>
        </w:pBdr>
        <w:shd w:fill="1B3A6B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Feature Engineering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30 features were engineered from the 14 raw columns. Feature engineering is the most impactful step: the Random Forest and Gradient Boosting models confirm that lag and rolling features collectively account for over 60% of predictive importance.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31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Cyclical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hour_sin/cos, dow_sin/cos, month_sin/cos, doy_sin/cos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Encodes periodicity without discontinuity at boundaries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Lag Features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lag 1h, 2h, 3h, 24h, 48h, 168h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Captures autocorrelation and daily/weekly seasonality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Rolling Stats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Mean &amp; Std: 6h, 24h, 168h windows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Smoothed trend context and local volatility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Weather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Temperature, humidity, wind, solar radiation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drivers of HVAC energy demand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Derived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Heating/cooling degree days, feels-like, heat index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Non-linear thermal comfort interactions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Calendar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is_weekend, is_holiday, quarter, year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Behavioral and structural demand patterns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2E75B6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 Cyclical Encoding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Hours, days, and months are cyclical — hour 23 is adjacent to hour 0. Encoding these as raw integers (0–23) creates artificial discontinuities. Instead, sine/cosine pairs encode the full periodicity: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hour_sin = sin(2π × hour / 24)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hour_cos = cos(2π × hour / 24)</w:t>
      </w:r>
    </w:p>
    <w:p>
      <w:pPr>
        <w:spacing w:before="60" w:after="0"/>
      </w:pPr>
    </w:p>
    <w:p>
      <w:pPr>
        <w:pStyle w:val="Heading2"/>
        <w:pBdr>
          <w:bottom w:val="single" w:color="2E75B6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 Lag &amp; Autocorrelation Features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Energy consumption is highly autocorrelated. Six lag windows are included: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Short-term (1h, 2h, 3h): Captures momentum within the current operational period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(24h, 48h): Same-hour-yesterday and two-days-ago for diurnal cycle matching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Weekly (168h): Same-hour last week for weekly occupancy pattern matching</w:t>
      </w:r>
    </w:p>
    <w:p>
      <w:pPr>
        <w:spacing w:before="120" w:after="0"/>
      </w:pPr>
    </w:p>
    <w:p>
      <w:pPr>
        <w:pStyle w:val="Heading1"/>
        <w:pBdr>
          <w:bottom w:val="single" w:color="00A3A3" w:sz="4"/>
        </w:pBdr>
        <w:shd w:fill="1B3A6B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Model Selection &amp; Training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Five algorithms were trained and benchmarked using identical temporal train/test splits. Tree-based ensemble methods significantly outperformed linear models, reflecting the non-linear nature of energy demand.</w:t>
      </w:r>
    </w:p>
    <w:p>
      <w:pPr>
        <w:spacing w:before="80" w:after="0"/>
      </w:pPr>
    </w:p>
    <w:p>
      <w:pPr>
        <w:pStyle w:val="Heading2"/>
        <w:pBdr>
          <w:bottom w:val="single" w:color="2E75B6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 Performance Results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★  Gradient Boosting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30.39 kWh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38.40 kWh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0.9992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2.48%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36.52 kWh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47.64 kWh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0.9988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2.74%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102.06 kWh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129.52 kWh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0.9912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10.56%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Lasso Regression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102.56 kWh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129.90 kWh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0.9911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10.53%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ElasticNet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347.68 kWh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447.77 kWh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0.8942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25.27%</w:t>
            </w:r>
          </w:p>
        </w:tc>
      </w:tr>
    </w:tbl>
    <w:p>
      <w:pPr>
        <w:spacing w:before="100" w:after="0"/>
      </w:pPr>
    </w:p>
    <w:p>
      <w:pPr>
        <w:pStyle w:val="Heading2"/>
        <w:pBdr>
          <w:bottom w:val="single" w:color="2E75B6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 Model Descriptions</w:t>
      </w:r>
    </w:p>
    <w:p>
      <w:pPr>
        <w:spacing w:before="4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A3A3"/>
          <w:sz w:val="22"/>
          <w:szCs w:val="22"/>
        </w:rPr>
        <w:t xml:space="preserve">Gradient Boosting  (Best Model)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Sequential ensemble of 150 shallow decision trees. Each tree corrects the residuals of the previous ensemble. Hyperparameters: max_depth=5, learning_rate=0.08. Achieves the best balance of bias and variance. The low learning rate with moderate tree count prevents overfitting while capturing complex feature interactions.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A3A3"/>
          <w:sz w:val="22"/>
          <w:szCs w:val="22"/>
        </w:rPr>
        <w:t xml:space="preserve">Random Forest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Parallel ensemble of 150 deep decision trees (max_depth=16) with random feature subsampling. Bagging reduces variance significantly. Strong performance (R²=0.9988) but slightly less precise than Gradient Boosting due to independent (non-sequential) error correction. Faster to train and more robust to hyperparameter choices.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A3A3"/>
          <w:sz w:val="22"/>
          <w:szCs w:val="22"/>
        </w:rPr>
        <w:t xml:space="preserve">Ridge &amp; Lasso Regression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L2 and L1 regularized linear models respectively. Performance is limited by their linear assumption — they cannot capture the non-linear HVAC response to temperature or the multiplicative interaction between time-of-day and weather. Useful as fast baseline models or when interpretability is required. MAPE ~10.5% is still operationally useful for rough forecasting.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A3A3"/>
          <w:sz w:val="22"/>
          <w:szCs w:val="22"/>
        </w:rPr>
        <w:t xml:space="preserve">ElasticNet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Combination of L1 and L2 penalties. With l1_ratio=0.5 the model applies both sparse feature selection and coefficient shrinkage. Performance degraded compared to pure Ridge/Lasso (MAPE 25.3%), suggesting that the moderate regularization strength overly penalized informative features. Hyperparameter tuning would close the gap.</w:t>
      </w:r>
    </w:p>
    <w:p>
      <w:pPr>
        <w:spacing w:before="120" w:after="0"/>
      </w:pPr>
    </w:p>
    <w:p>
      <w:pPr>
        <w:pStyle w:val="Heading1"/>
        <w:pBdr>
          <w:bottom w:val="single" w:color="00A3A3" w:sz="4"/>
        </w:pBdr>
        <w:shd w:fill="1B3A6B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Evaluation Methodology</w:t>
      </w:r>
    </w:p>
    <w:p>
      <w:pPr>
        <w:spacing w:before="80" w:after="0"/>
      </w:pPr>
    </w:p>
    <w:p>
      <w:pPr>
        <w:pStyle w:val="Heading2"/>
        <w:pBdr>
          <w:bottom w:val="single" w:color="2E75B6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 Metrics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MAE (Mean Absolute Error): Average absolute deviation in kWh. Interpretable in business terms — directly corresponds to billing unit error.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RMSE: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RMSE (Root Mean Squared Error): Penalizes large errors more heavily than MAE. Sensitive to outliers and peak demand prediction failures.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R²: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R² (Coefficient of Determination): Fraction of variance explained. Values above 0.99 indicate the model captures virtually all systematic variation.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MAPE: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MAPE (Mean Absolute Percentage Error): Scale-free metric enabling cross-facility benchmarking. Industry target for commercial energy forecasting is typically &lt; 5%.</w:t>
      </w:r>
    </w:p>
    <w:p>
      <w:pPr>
        <w:spacing w:before="80" w:after="0"/>
      </w:pPr>
    </w:p>
    <w:p>
      <w:pPr>
        <w:pStyle w:val="Heading2"/>
        <w:pBdr>
          <w:bottom w:val="single" w:color="2E75B6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 Industry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Performance vs. Industry Standard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Industry-standard energy forecasting typically targets MAPE &lt; 5% for commercial buildings. The Gradient Boosting model achieves 2.48% — well within top-tier commercial forecasting accuracy. This is comparable to commercial energy management systems (EMS) that use proprietary physics-based models.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0A3A3" w:sz="4"/>
        </w:pBdr>
        <w:shd w:fill="1B3A6B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Pipeline Architecture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is structured as a modular, five-stage pipeline designed for reproducibility and extension: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6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Generation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generate_energy_dataset() produces 2 years of physics-informed hourly data with seasonal, diurnal, weather, and behavioral drivers. Outputs: raw DataFrame (17,520 rows × 14 columns).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engineer_features() adds 16 engineered columns: cyclical encodings, 6 lag features, 6 rolling statistics, and 4 weather interaction terms. Outputs: enriched DataFrame (17,352 × 38 columns).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Split &amp; Scale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Temporal 80/20 split preserves time ordering. StandardScaler fitted on training set only and applied to test set to prevent leakage. Outputs: X_train, X_test, y_train, y_test, scaler.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Train &amp; Evaluate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Five models trained and scored on MAE, RMSE, R², MAPE. Best model selected by MAE. Outputs: trained models, metrics dict, best_model.pkl, scaler.pkl.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create_dashboard() generates an 8-panel matplotlib figure: time series overview, predictions, residuals, model comparison bars, scatter plot, feature importance, and hourly profile.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0A3A3" w:sz="4"/>
        </w:pBdr>
        <w:shd w:fill="1B3A6B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Project Outputs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Source Code: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energy_prediction.py — Complete pipeline source code (single-file, ~380 lines)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Dashboard: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energy_ml_dashboard.png — 8-panel visualization dashboard (150 DPI PNG)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Saved Model: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best_model.pkl — Serialized Gradient Boosting model (joblib format)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Scaler: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scaler.pkl — Fitted StandardScaler for consistent inference preprocessing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Metrics: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model_metrics.json — All 5 model metrics in structured JSON format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Deploying the Model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 predict on new data: (1) load best_model.pkl and scaler.pkl with joblib.load(), (2) construct a DataFrame with the same 30 FEATURE_COLS, (3) apply scaler.transform() for linear models or pass raw features for tree models, (4) call model.predict(). The model expects hourly-frequency input with at least 168 hours of history for lag features.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00A3A3" w:sz="4"/>
        </w:pBdr>
        <w:shd w:fill="1B3A6B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 Limitations &amp; Future Work</w:t>
      </w:r>
    </w:p>
    <w:p>
      <w:pPr>
        <w:spacing w:before="80" w:after="0"/>
      </w:pPr>
    </w:p>
    <w:p>
      <w:pPr>
        <w:pStyle w:val="Heading2"/>
        <w:pBdr>
          <w:bottom w:val="single" w:color="2E75B6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9.1  Current Limitations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Synthetic data lacks real-world messiness: sensor dropouts, calibration drift, occupancy spikes from events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explicit building occupancy or operational schedule features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Single-facility model; transfer learning to new facilities not addressed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Forecast horizon limited to 1-step ahead; multi-step recursive forecasting not implemented</w:t>
      </w:r>
    </w:p>
    <w:p>
      <w:pPr>
        <w:spacing w:before="80" w:after="0"/>
      </w:pPr>
    </w:p>
    <w:p>
      <w:pPr>
        <w:pStyle w:val="Heading2"/>
        <w:pBdr>
          <w:bottom w:val="single" w:color="2E75B6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9.2  Recommended Extensions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Algorithm Upgrades: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XGBoost / LightGBM: Faster training, built-in missing value handling, and often superior performance to sklearn GBM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Deep Learning: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LSTM / Temporal Fusion Transformer: Native multi-step sequence modeling for 24h–168h ahead forecasts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Tuning: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Bayesian Hyperparameter Optimization: Optuna or Ray Tune for systematic search over learning rate, depth, subsample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Uncertainty: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Conformal Prediction Intervals: Provide calibrated uncertainty bounds on each forecast for risk-aware dispatch</w:t>
      </w:r>
    </w:p>
    <w:p>
      <w:pPr>
        <w:pStyle w:val="ListParagraph"/>
        <w:numPr>
          <w:ilvl w:val="0"/>
          <w:numId w:val="2"/>
        </w:numPr>
        <w:spacing w:before="5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Production: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Real Data Integration: SCADA, BMS, smart meter APIs for live model retraining and drift monitoring</w:t>
      </w:r>
    </w:p>
    <w:p>
      <w:pPr>
        <w:spacing w:before="120" w:after="0"/>
      </w:pPr>
    </w:p>
    <w:p>
      <w:pPr>
        <w:pStyle w:val="Heading1"/>
        <w:pBdr>
          <w:bottom w:val="single" w:color="00A3A3" w:sz="4"/>
        </w:pBdr>
        <w:shd w:fill="1B3A6B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 Technology Stack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1.3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models, preprocessing,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pandas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manipulation, time-series indexing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numpy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1.24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Numerical operations, array math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3.7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visualization (8 panels)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joblib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1.3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serialization / deserialization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3.10+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Runtime environment</w:t>
            </w:r>
          </w:p>
        </w:tc>
      </w:tr>
    </w:tbl>
    <w:p>
      <w:pPr>
        <w:spacing w:before="200" w:after="0"/>
      </w:pPr>
    </w:p>
    <w:p>
      <w:pPr>
        <w:pBdr>
          <w:top w:val="single" w:color="00A3A3" w:sz="4"/>
        </w:pBdr>
        <w:shd w:fill="1B3A6B" w:val="clear"/>
        <w:spacing w:before="200" w:after="120"/>
        <w:jc w:val="center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End of Document  ·  Energy Consumption ML Project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FE8" w:sz="2" w:space="2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4A5568"/>
        <w:sz w:val="16"/>
        <w:szCs w:val="16"/>
      </w:rPr>
      <w:t xml:space="preserve">Confidential — ML Engineering Report  2024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before="0" w:after="12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⚡  Energy Consumption Prediction — ML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2026-03-12T18:36:14.082Z</dcterms:created>
  <dcterms:modified xsi:type="dcterms:W3CDTF">2026-03-12T18:36:14.083Z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