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480" w:lineRule="auto" w:before="0"/>
      </w:pPr>
    </w:p>
    <w:p>
      <w:pPr>
        <w:spacing w:after="0" w:line="480" w:lineRule="auto" w:before="0"/>
        <w:jc w:val="center"/>
      </w:pPr>
      <w:r>
        <w:rPr>
          <w:rFonts w:ascii="Times New Roman" w:hAnsi="Times New Roman" w:eastAsia="Times New Roman" w:cs="Times New Roman"/>
          <w:b/>
          <w:color w:val="000000"/>
          <w:sz w:val="24"/>
        </w:rPr>
        <w:t>CS 499 COMPUTER SCIENCE CAPSTONE</w:t>
      </w:r>
    </w:p>
    <w:p>
      <w:pPr>
        <w:pStyle w:val="Title"/>
        <w:spacing w:line="480" w:lineRule="auto" w:before="0" w:after="0"/>
      </w:pPr>
      <w:r>
        <w:rPr>
          <w:rFonts w:ascii="Times New Roman" w:hAnsi="Times New Roman" w:eastAsia="Times New Roman" w:cs="Times New Roman"/>
          <w:color w:val="000000"/>
          <w:sz w:val="24"/>
        </w:rPr>
        <w:t>Milestone Two Narrative</w:t>
      </w:r>
    </w:p>
    <w:p>
      <w:pPr>
        <w:pStyle w:val="Subtitle"/>
        <w:spacing w:line="480" w:lineRule="auto" w:before="0" w:after="0"/>
      </w:pPr>
      <w:r>
        <w:rPr>
          <w:rFonts w:ascii="Times New Roman" w:hAnsi="Times New Roman" w:eastAsia="Times New Roman" w:cs="Times New Roman"/>
          <w:color w:val="000000"/>
          <w:sz w:val="24"/>
        </w:rPr>
        <w:t>Enhancement One: Software Design and Engineering</w:t>
      </w:r>
    </w:p>
    <w:p>
      <w:pPr>
        <w:spacing w:before="0" w:after="0" w:line="480" w:lineRule="auto"/>
        <w:jc w:val="center"/>
      </w:pPr>
      <w:r>
        <w:rPr>
          <w:rFonts w:ascii="Times New Roman" w:hAnsi="Times New Roman" w:eastAsia="Times New Roman" w:cs="Times New Roman"/>
          <w:b/>
          <w:color w:val="000000"/>
          <w:sz w:val="24"/>
        </w:rPr>
        <w:t>CS 320 Contact, Task, and Appointment Service Suite</w:t>
      </w:r>
    </w:p>
    <w:p>
      <w:pPr>
        <w:spacing w:after="0" w:line="480" w:lineRule="auto" w:before="0"/>
        <w:jc w:val="center"/>
      </w:pPr>
      <w:r>
        <w:rPr>
          <w:rFonts w:ascii="Times New Roman" w:hAnsi="Times New Roman" w:eastAsia="Times New Roman" w:cs="Times New Roman"/>
          <w:b/>
          <w:color w:val="000000"/>
          <w:sz w:val="24"/>
        </w:rPr>
        <w:t>Madison Parker</w:t>
      </w:r>
    </w:p>
    <w:p>
      <w:pPr>
        <w:spacing w:after="0" w:line="480" w:lineRule="auto" w:before="0"/>
        <w:jc w:val="center"/>
      </w:pPr>
      <w:r>
        <w:rPr>
          <w:rFonts w:ascii="Times New Roman" w:hAnsi="Times New Roman" w:eastAsia="Times New Roman" w:cs="Times New Roman"/>
          <w:b w:val="0"/>
          <w:color w:val="000000"/>
          <w:sz w:val="24"/>
        </w:rPr>
        <w:t>Southern New Hampshire University</w:t>
      </w:r>
    </w:p>
    <w:p>
      <w:pPr>
        <w:spacing w:after="0" w:line="480" w:lineRule="auto" w:before="0"/>
        <w:jc w:val="center"/>
      </w:pPr>
      <w:r>
        <w:rPr>
          <w:rFonts w:ascii="Times New Roman" w:hAnsi="Times New Roman" w:eastAsia="Times New Roman" w:cs="Times New Roman"/>
          <w:color w:val="000000"/>
          <w:sz w:val="24"/>
        </w:rPr>
        <w:t>July 13, 2026</w:t>
      </w:r>
    </w:p>
    <w:p>
      <w:pPr>
        <w:spacing w:after="0" w:line="480" w:lineRule="auto" w:before="0"/>
      </w:pPr>
    </w:p>
    <w:p>
      <w:pPr>
        <w:pStyle w:val="LeadCallout"/>
        <w:spacing w:line="480" w:lineRule="auto" w:before="0" w:after="0"/>
        <w:jc w:val="left"/>
        <w:shd w:fill="F4F6F9" w:val="clear"/>
      </w:pPr>
      <w:r>
        <w:rPr>
          <w:rFonts w:ascii="Times New Roman" w:hAnsi="Times New Roman" w:eastAsia="Times New Roman" w:cs="Times New Roman"/>
          <w:color w:val="000000"/>
          <w:sz w:val="24"/>
        </w:rPr>
        <w:t>This enhancement turns three small, disconnected Java services into one organized and testable service suite while preserving the original CS 320 requirements. The completed design makes validation, state ownership, update behavior, and failure policies explicit.</w:t>
      </w:r>
    </w:p>
    <w:p>
      <w:pPr>
        <w:spacing w:line="480" w:lineRule="auto" w:before="0" w:after="0"/>
      </w:pPr>
      <w:r>
        <w:rPr>
          <w:rFonts w:ascii="Times New Roman" w:hAnsi="Times New Roman" w:eastAsia="Times New Roman" w:cs="Times New Roman"/>
          <w:color w:val="000000"/>
          <w:sz w:val="24"/>
        </w:rPr>
        <w:br w:type="page"/>
      </w:r>
    </w:p>
    <w:p>
      <w:pPr>
        <w:pStyle w:val="Heading1"/>
        <w:spacing w:line="480" w:lineRule="auto" w:before="0" w:after="0"/>
      </w:pPr>
      <w:r>
        <w:rPr>
          <w:rFonts w:ascii="Times New Roman" w:hAnsi="Times New Roman" w:eastAsia="Times New Roman" w:cs="Times New Roman"/>
          <w:color w:val="000000"/>
          <w:sz w:val="24"/>
        </w:rPr>
        <w:t>Artifact Description and Selection</w:t>
      </w:r>
    </w:p>
    <w:p>
      <w:pPr>
        <w:spacing w:line="480" w:lineRule="auto" w:before="0" w:after="0"/>
      </w:pPr>
      <w:r>
        <w:rPr>
          <w:rFonts w:ascii="Times New Roman" w:hAnsi="Times New Roman" w:eastAsia="Times New Roman" w:cs="Times New Roman"/>
          <w:color w:val="000000"/>
          <w:sz w:val="24"/>
        </w:rPr>
        <w:t>The original artifact is a Java service suite created in May 2026 during my CS 320 Software Testing, Automation, and Quality Assurance coursework. It contains contact, task, and appointment model classes, three in-memory service classes, and JUnit tests for the required field limits and service behavior. Each service stores records in a HashMap by an immutable identifier and supports adding, updating, finding, and deleting records. The original files are included without modification in the submission package so the enhancement can be evaluated against a fixed baseline.</w:t>
      </w:r>
    </w:p>
    <w:p>
      <w:pPr>
        <w:spacing w:line="480" w:lineRule="auto" w:before="0" w:after="0"/>
      </w:pPr>
      <w:r>
        <w:rPr>
          <w:rFonts w:ascii="Times New Roman" w:hAnsi="Times New Roman" w:eastAsia="Times New Roman" w:cs="Times New Roman"/>
          <w:color w:val="000000"/>
          <w:sz w:val="24"/>
        </w:rPr>
        <w:t>I selected this artifact because a small codebase can still reveal meaningful design decisions. The original version already demonstrated validation, unique identifiers, collection use, and automated testing, but its three folders repeated similar logic and did not define a consistent service contract. It also returned mutable objects directly, used null to represent a missing record, and allowed multi-field updates to change one field before a later validation failure. These limitations created a focused opportunity to improve architecture and reliability without disguising the original assignment under a large framework.</w:t>
      </w:r>
    </w:p>
    <w:p>
      <w:pPr>
        <w:pStyle w:val="Heading2"/>
        <w:spacing w:line="480" w:lineRule="auto" w:before="0" w:after="0"/>
      </w:pPr>
      <w:r>
        <w:rPr>
          <w:rFonts w:ascii="Times New Roman" w:hAnsi="Times New Roman" w:eastAsia="Times New Roman" w:cs="Times New Roman"/>
          <w:color w:val="000000"/>
          <w:sz w:val="24"/>
        </w:rPr>
        <w:t>Baseline Findings Established During Code Review</w:t>
      </w:r>
    </w:p>
    <w:p>
      <w:pPr>
        <w:spacing w:line="480" w:lineRule="auto" w:before="0" w:after="0"/>
      </w:pPr>
      <w:r>
        <w:rPr>
          <w:rFonts w:ascii="Times New Roman" w:hAnsi="Times New Roman" w:eastAsia="Times New Roman" w:cs="Times New Roman"/>
          <w:color w:val="000000"/>
          <w:sz w:val="24"/>
        </w:rPr>
        <w:t>The original baseline contains 12 Java files: three model classes, three service classes, and six JUnit test classes. ContactService, TaskService, and AppointmentService are stored in separate default-package folders, so the relationship among the three services is implied by naming rather than expressed through packages or a shared type. Each service owns a HashMap keyed by the record identifier, but the public method names and failure behavior are not uniform. For example, getContact returns null when an identifier is absent, while deleteContact calls a private findContact method that throws a general IllegalArgumentException. This difference forces callers to know a separate absence policy for retrieval and deletion even though both operations concern the same stored record.</w:t>
      </w:r>
    </w:p>
    <w:p>
      <w:pPr>
        <w:spacing w:line="480" w:lineRule="auto" w:before="0" w:after="0"/>
      </w:pPr>
      <w:r>
        <w:rPr>
          <w:rFonts w:ascii="Times New Roman" w:hAnsi="Times New Roman" w:eastAsia="Times New Roman" w:cs="Times New Roman"/>
          <w:color w:val="000000"/>
          <w:sz w:val="24"/>
        </w:rPr>
        <w:t>The review also separated a design flaw from a simple formatting problem. In the original ContactService.addContact method, the exact caller-supplied Contact reference is inserted into the map. The getContact method returns that same stored reference. Therefore, a caller can add a contact, retain the original variable, call a setter later, and change service state without going through ContactService. TaskService has the same aliasing path. Appointment protects its Date field internally, but AppointmentService still stores and returns the mutable Appointment object itself. These findings justified a service-boundary enhancement because they affect behavior and state ownership, not only code appearance.</w:t>
      </w:r>
    </w:p>
    <w:p>
      <w:pPr>
        <w:spacing w:line="480" w:lineRule="auto" w:before="0" w:after="0"/>
      </w:pPr>
      <w:r>
        <w:rPr>
          <w:rFonts w:ascii="Times New Roman" w:hAnsi="Times New Roman" w:eastAsia="Times New Roman" w:cs="Times New Roman"/>
          <w:color w:val="000000"/>
          <w:sz w:val="24"/>
        </w:rPr>
        <w:t>I used an incremental review approach: preserve the baseline, identify the behavior at each input and output boundary, implement one policy at a time, and add a negative check for the failure state. This follows the course emphasis on systematic code review and the OWASP recommendation to examine validation and data-handling paths rather than limiting review to style defects (OWASP Foundation, 2017). The resulting enhancement map records the original condition, changed source location, expected behavior, and verification evidence for each decision.</w:t>
      </w:r>
    </w:p>
    <w:p>
      <w:pPr>
        <w:pStyle w:val="Heading2"/>
        <w:spacing w:line="480" w:lineRule="auto" w:before="0" w:after="0"/>
      </w:pPr>
      <w:r>
        <w:rPr>
          <w:rFonts w:ascii="Times New Roman" w:hAnsi="Times New Roman" w:eastAsia="Times New Roman" w:cs="Times New Roman"/>
          <w:color w:val="000000"/>
          <w:sz w:val="24"/>
        </w:rPr>
        <w:t>Refinement of the Module One Plan</w:t>
      </w:r>
    </w:p>
    <w:p>
      <w:pPr>
        <w:spacing w:line="480" w:lineRule="auto" w:before="0" w:after="0"/>
      </w:pPr>
      <w:r>
        <w:rPr>
          <w:rFonts w:ascii="Times New Roman" w:hAnsi="Times New Roman" w:eastAsia="Times New Roman" w:cs="Times New Roman"/>
          <w:color w:val="000000"/>
          <w:sz w:val="24"/>
        </w:rPr>
        <w:t>Module One initially identified the CS 250 SNHU Travel planning materials for the software design and engineering category. Those files remain useful evidence of Agile planning, user stories, stakeholder communication, and acceptance criteria. During the code review, however, the planning materials did not provide enough source code for the required code-level walkthrough and enhancement. The code-review script therefore identifies the CS 320 suite as the concrete Category One artifact. This is a refinement of scope rather than a silent substitution: CS 250 remains the planning context, while CS 320 supplies the implementation evidence.</w:t>
      </w:r>
    </w:p>
    <w:p>
      <w:pPr>
        <w:spacing w:line="480" w:lineRule="auto" w:before="0" w:after="0"/>
      </w:pPr>
      <w:r>
        <w:rPr>
          <w:rFonts w:ascii="Times New Roman" w:hAnsi="Times New Roman" w:eastAsia="Times New Roman" w:cs="Times New Roman"/>
          <w:color w:val="000000"/>
          <w:sz w:val="24"/>
        </w:rPr>
        <w:t>The same CS 320 artifact will also support the algorithms and data structures category through a separate cumulative enhancement. Category One evaluates architecture, validation, service boundaries, and testability. Category Two evaluates search, filtering, sorting, data-structure selection, and complexity. Using one multifaceted artifact keeps the portfolio coherent while allowing each milestone to make distinct, traceable claims.</w:t>
      </w:r>
    </w:p>
    <w:p>
      <w:pPr>
        <w:pStyle w:val="Heading1"/>
        <w:spacing w:line="480" w:lineRule="auto" w:before="0" w:after="0"/>
      </w:pPr>
      <w:r>
        <w:rPr>
          <w:rFonts w:ascii="Times New Roman" w:hAnsi="Times New Roman" w:eastAsia="Times New Roman" w:cs="Times New Roman"/>
          <w:color w:val="000000"/>
          <w:sz w:val="24"/>
        </w:rPr>
        <w:t>Completed Software Design Enhancement</w:t>
      </w:r>
    </w:p>
    <w:tbl>
      <w:tblPr>
        <w:tblStyle w:val="TableGrid"/>
        <w:tblW w:type="dxa" w:w="9360"/>
        <w:tblLayout w:type="fixed"/>
        <w:tblLook w:firstColumn="1" w:firstRow="1" w:lastColumn="0" w:lastRow="0" w:noHBand="0" w:noVBand="1" w:val="04A0"/>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00"/>
        <w:gridCol w:w="3000"/>
        <w:gridCol w:w="4560"/>
      </w:tblGrid>
      <w:tr>
        <w:trPr>
          <w:tblHeader w:val="true"/>
          <w:cantSplit w:val="true"/>
        </w:trPr>
        <w:tc>
          <w:tcPr>
            <w:tcW w:type="dxa" w:w="1800"/>
            <w:shd w:fill="F4F6F9"/>
            <w:tcMar>
              <w:top w:w="80" w:type="dxa"/>
              <w:bottom w:w="80" w:type="dxa"/>
              <w:start w:w="120" w:type="dxa"/>
              <w:end w:w="120" w:type="dxa"/>
            </w:tcMar>
            <w:vAlign w:val="center"/>
          </w:tcPr>
          <w:p>
            <w:pPr>
              <w:spacing w:before="0" w:after="0" w:line="480" w:lineRule="auto"/>
              <w:jc w:val="center"/>
            </w:pPr>
            <w:r>
              <w:rPr>
                <w:rFonts w:ascii="Times New Roman" w:hAnsi="Times New Roman" w:eastAsia="Times New Roman" w:cs="Times New Roman"/>
                <w:b/>
                <w:color w:val="000000"/>
                <w:sz w:val="24"/>
              </w:rPr>
              <w:t>Design area</w:t>
            </w:r>
          </w:p>
        </w:tc>
        <w:tc>
          <w:tcPr>
            <w:tcW w:type="dxa" w:w="3000"/>
            <w:shd w:fill="F4F6F9"/>
            <w:tcMar>
              <w:top w:w="80" w:type="dxa"/>
              <w:bottom w:w="80" w:type="dxa"/>
              <w:start w:w="120" w:type="dxa"/>
              <w:end w:w="120" w:type="dxa"/>
            </w:tcMar>
            <w:vAlign w:val="center"/>
          </w:tcPr>
          <w:p>
            <w:pPr>
              <w:spacing w:before="0" w:after="0" w:line="480" w:lineRule="auto"/>
              <w:jc w:val="center"/>
            </w:pPr>
            <w:r>
              <w:rPr>
                <w:rFonts w:ascii="Times New Roman" w:hAnsi="Times New Roman" w:eastAsia="Times New Roman" w:cs="Times New Roman"/>
                <w:b/>
                <w:color w:val="000000"/>
                <w:sz w:val="24"/>
              </w:rPr>
              <w:t>Original condition</w:t>
            </w:r>
          </w:p>
        </w:tc>
        <w:tc>
          <w:tcPr>
            <w:tcW w:type="dxa" w:w="4560"/>
            <w:shd w:fill="F4F6F9"/>
            <w:tcMar>
              <w:top w:w="80" w:type="dxa"/>
              <w:bottom w:w="80" w:type="dxa"/>
              <w:start w:w="120" w:type="dxa"/>
              <w:end w:w="120" w:type="dxa"/>
            </w:tcMar>
            <w:vAlign w:val="center"/>
          </w:tcPr>
          <w:p>
            <w:pPr>
              <w:spacing w:before="0" w:after="0" w:line="480" w:lineRule="auto"/>
              <w:jc w:val="center"/>
            </w:pPr>
            <w:r>
              <w:rPr>
                <w:rFonts w:ascii="Times New Roman" w:hAnsi="Times New Roman" w:eastAsia="Times New Roman" w:cs="Times New Roman"/>
                <w:b/>
                <w:color w:val="000000"/>
                <w:sz w:val="24"/>
              </w:rPr>
              <w:t>Completed enhancement</w:t>
            </w:r>
          </w:p>
        </w:tc>
      </w:tr>
      <w:tr>
        <w:trPr>
          <w:cantSplit w:val="true"/>
        </w:trPr>
        <w:tc>
          <w:tcPr>
            <w:tcW w:type="dxa" w:w="18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Structure</w:t>
            </w:r>
          </w:p>
        </w:tc>
        <w:tc>
          <w:tcPr>
            <w:tcW w:type="dxa" w:w="30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Classes in three default-package folders</w:t>
            </w:r>
          </w:p>
        </w:tc>
        <w:tc>
          <w:tcPr>
            <w:tcW w:type="dxa" w:w="456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One Maven project with model, service, validation, repository, and exception packages</w:t>
            </w:r>
          </w:p>
        </w:tc>
      </w:tr>
      <w:tr>
        <w:trPr>
          <w:cantSplit w:val="true"/>
        </w:trPr>
        <w:tc>
          <w:tcPr>
            <w:tcW w:type="dxa" w:w="18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Validation</w:t>
            </w:r>
          </w:p>
        </w:tc>
        <w:tc>
          <w:tcPr>
            <w:tcW w:type="dxa" w:w="30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Repeated limits and null checks</w:t>
            </w:r>
          </w:p>
        </w:tc>
        <w:tc>
          <w:tcPr>
            <w:tcW w:type="dxa" w:w="456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Named constants and shared rules that normalize text and reject null, blank, overlength, or malformed input</w:t>
            </w:r>
          </w:p>
        </w:tc>
      </w:tr>
      <w:tr>
        <w:trPr>
          <w:cantSplit w:val="true"/>
        </w:trPr>
        <w:tc>
          <w:tcPr>
            <w:tcW w:type="dxa" w:w="18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Service policy</w:t>
            </w:r>
          </w:p>
        </w:tc>
        <w:tc>
          <w:tcPr>
            <w:tcW w:type="dxa" w:w="30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Separate patterns and null lookups</w:t>
            </w:r>
          </w:p>
        </w:tc>
        <w:tc>
          <w:tcPr>
            <w:tcW w:type="dxa" w:w="456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Shared RecordRepository&lt;T&gt; contract, Optional&lt;T&gt; lookups, and specific command exceptions</w:t>
            </w:r>
          </w:p>
        </w:tc>
      </w:tr>
      <w:tr>
        <w:trPr>
          <w:cantSplit w:val="true"/>
        </w:trPr>
        <w:tc>
          <w:tcPr>
            <w:tcW w:type="dxa" w:w="18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State ownership</w:t>
            </w:r>
          </w:p>
        </w:tc>
        <w:tc>
          <w:tcPr>
            <w:tcW w:type="dxa" w:w="30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Stored mutable objects returned directly</w:t>
            </w:r>
          </w:p>
        </w:tc>
        <w:tc>
          <w:tcPr>
            <w:tcW w:type="dxa" w:w="456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Copies on input and snapshot copies on output</w:t>
            </w:r>
          </w:p>
        </w:tc>
      </w:tr>
      <w:tr>
        <w:trPr>
          <w:cantSplit w:val="true"/>
        </w:trPr>
        <w:tc>
          <w:tcPr>
            <w:tcW w:type="dxa" w:w="18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Updates</w:t>
            </w:r>
          </w:p>
        </w:tc>
        <w:tc>
          <w:tcPr>
            <w:tcW w:type="dxa" w:w="30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Possible partial mutation</w:t>
            </w:r>
          </w:p>
        </w:tc>
        <w:tc>
          <w:tcPr>
            <w:tcW w:type="dxa" w:w="456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Validate a copy, then replace stored state only after the full change succeeds</w:t>
            </w:r>
          </w:p>
        </w:tc>
      </w:tr>
      <w:tr>
        <w:trPr>
          <w:cantSplit w:val="true"/>
        </w:trPr>
        <w:tc>
          <w:tcPr>
            <w:tcW w:type="dxa" w:w="18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Time</w:t>
            </w:r>
          </w:p>
        </w:tc>
        <w:tc>
          <w:tcPr>
            <w:tcW w:type="dxa" w:w="300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Appointment validation used moving system time</w:t>
            </w:r>
          </w:p>
        </w:tc>
        <w:tc>
          <w:tcPr>
            <w:tcW w:type="dxa" w:w="4560"/>
            <w:tcMar>
              <w:top w:w="80" w:type="dxa"/>
              <w:bottom w:w="80" w:type="dxa"/>
              <w:start w:w="120" w:type="dxa"/>
              <w:end w:w="120" w:type="dxa"/>
            </w:tcMar>
            <w:vAlign w:val="center"/>
          </w:tcPr>
          <w:p>
            <w:pPr>
              <w:spacing w:before="0" w:after="0" w:line="480" w:lineRule="auto"/>
              <w:jc w:val="left"/>
            </w:pPr>
            <w:r>
              <w:rPr>
                <w:rFonts w:ascii="Times New Roman" w:hAnsi="Times New Roman" w:eastAsia="Times New Roman" w:cs="Times New Roman"/>
                <w:color w:val="000000"/>
                <w:sz w:val="24"/>
              </w:rPr>
              <w:t>Clock injection supports deterministic boundary testing while retaining the original constructor</w:t>
            </w:r>
          </w:p>
        </w:tc>
      </w:tr>
    </w:tbl>
    <w:p>
      <w:pPr>
        <w:spacing w:before="0" w:after="0" w:line="480" w:lineRule="auto"/>
      </w:pPr>
    </w:p>
    <w:p>
      <w:pPr>
        <w:pStyle w:val="Heading2"/>
        <w:spacing w:line="480" w:lineRule="auto" w:before="0" w:after="0"/>
      </w:pPr>
      <w:r>
        <w:rPr>
          <w:rFonts w:ascii="Times New Roman" w:hAnsi="Times New Roman" w:eastAsia="Times New Roman" w:cs="Times New Roman"/>
          <w:color w:val="000000"/>
          <w:sz w:val="24"/>
        </w:rPr>
        <w:t>Project Structure and Responsibility Boundaries</w:t>
      </w:r>
    </w:p>
    <w:p>
      <w:pPr>
        <w:spacing w:line="480" w:lineRule="auto" w:before="0" w:after="0"/>
      </w:pPr>
      <w:r>
        <w:rPr>
          <w:rFonts w:ascii="Times New Roman" w:hAnsi="Times New Roman" w:eastAsia="Times New Roman" w:cs="Times New Roman"/>
          <w:color w:val="000000"/>
          <w:sz w:val="24"/>
        </w:rPr>
        <w:t>The enhanced project follows Maven's standard source and test layout and places classes under edu.snhu.cs499. Maven identifies src/main/java and src/test/java as the conventional locations for production and test source, which gives another Java developer an immediately recognizable entry point (Apache Maven Project, n.d.). Within that layout, model classes own record state and field limits; service classes own collection operations; Validation owns rules shared across models; and the exception package identifies duplicate and missing records. RecordRepository&lt;T&gt; defines the common add, findById, deleteById, and size contract. This organization turns the relationship among the three services into a checkable structure instead of relying on similar filenames in unrelated folders.</w:t>
      </w:r>
    </w:p>
    <w:p>
      <w:pPr>
        <w:spacing w:line="480" w:lineRule="auto" w:before="0" w:after="0"/>
      </w:pPr>
      <w:r>
        <w:rPr>
          <w:rFonts w:ascii="Times New Roman" w:hAnsi="Times New Roman" w:eastAsia="Times New Roman" w:cs="Times New Roman"/>
          <w:color w:val="000000"/>
          <w:sz w:val="24"/>
        </w:rPr>
        <w:t>I considered a generic base service but did not introduce one. The three services share several operations, yet their update rules and future retrieval behavior differ. An interface documents the common contract without forcing unrelated implementation details into an inheritance hierarchy. This decision keeps the code recognizable for an academic reviewer and leaves room for category-specific behavior in the next milestone.</w:t>
      </w:r>
    </w:p>
    <w:p>
      <w:pPr>
        <w:pStyle w:val="Heading2"/>
        <w:spacing w:line="480" w:lineRule="auto" w:before="0" w:after="0"/>
      </w:pPr>
      <w:r>
        <w:rPr>
          <w:rFonts w:ascii="Times New Roman" w:hAnsi="Times New Roman" w:eastAsia="Times New Roman" w:cs="Times New Roman"/>
          <w:color w:val="000000"/>
          <w:sz w:val="24"/>
        </w:rPr>
        <w:t>Validation and Explicit Failure Behavior</w:t>
      </w:r>
    </w:p>
    <w:p>
      <w:pPr>
        <w:spacing w:line="480" w:lineRule="auto" w:before="0" w:after="0"/>
      </w:pPr>
      <w:r>
        <w:rPr>
          <w:rFonts w:ascii="Times New Roman" w:hAnsi="Times New Roman" w:eastAsia="Times New Roman" w:cs="Times New Roman"/>
          <w:color w:val="000000"/>
          <w:sz w:val="24"/>
        </w:rPr>
        <w:t>The Validation utility centralizes required-text, identifier, phone, and appointment-date rules. Its requiredText method checks null before calling trim, rejects a normalized empty string, enforces the supplied maximum length, and returns the normalized value that is actually stored. The phone method reuses requiredText and then applies the exact ten-digit expression \d{10}. The original field limits remain intact: identifiers and contact names are limited to 10 characters, contact addresses to 30, task names to 20, and task or appointment descriptions to 50. Named constants in Contact, Task, and Appointment connect those limits to the model that owns them. Centralization reduces inconsistent validation paths and supports the secure-review principle that input validation should be deliberate and traceable (OWASP Foundation, 2017).</w:t>
      </w:r>
    </w:p>
    <w:p>
      <w:pPr>
        <w:spacing w:line="480" w:lineRule="auto" w:before="0" w:after="0"/>
      </w:pPr>
      <w:r>
        <w:rPr>
          <w:rFonts w:ascii="Times New Roman" w:hAnsi="Times New Roman" w:eastAsia="Times New Roman" w:cs="Times New Roman"/>
          <w:color w:val="000000"/>
          <w:sz w:val="24"/>
        </w:rPr>
        <w:t>The lookup and command policies are also explicit. RecordRepository&lt;T&gt;.findById returns Optional&lt;T&gt;; each implementation normalizes the identifier, retrieves the map value, and maps a present value through the model copy constructor. Oracle describes Optional as a return type for representing a possible absence when null is likely to cause errors, which matches this nonexceptional lookup case (Oracle, n.d.-c). Update and delete commands instead throw RecordNotFoundException because those commands cannot complete without an existing record. Duplicate adds throw DuplicateRecordException. These specific contracts replace a general IllegalArgumentException and make the caller's required branch visible in the method signature or exception type.</w:t>
      </w:r>
    </w:p>
    <w:p>
      <w:pPr>
        <w:pStyle w:val="Heading3"/>
        <w:spacing w:line="480" w:lineRule="auto" w:before="0" w:after="0"/>
      </w:pPr>
      <w:r>
        <w:rPr>
          <w:rFonts w:ascii="Times New Roman" w:hAnsi="Times New Roman" w:eastAsia="Times New Roman" w:cs="Times New Roman"/>
          <w:color w:val="000000"/>
          <w:sz w:val="24"/>
        </w:rPr>
        <w:t>Traceability of the Service Contract</w:t>
      </w:r>
    </w:p>
    <w:p>
      <w:pPr>
        <w:keepLines/>
        <w:spacing w:line="480" w:lineRule="auto" w:before="0" w:after="0"/>
        <w:jc w:val="left"/>
        <w:numPr>
          <w:ilvl w:val="0"/>
          <w:numId w:val="10"/>
        </w:numPr>
      </w:pPr>
      <w:r>
        <w:rPr>
          <w:rFonts w:ascii="Times New Roman" w:hAnsi="Times New Roman" w:eastAsia="Times New Roman" w:cs="Times New Roman"/>
          <w:b/>
          <w:color w:val="000000"/>
          <w:sz w:val="24"/>
        </w:rPr>
        <w:t xml:space="preserve">Add path: </w:t>
      </w:r>
      <w:r>
        <w:rPr>
          <w:rFonts w:ascii="Times New Roman" w:hAnsi="Times New Roman" w:eastAsia="Times New Roman" w:cs="Times New Roman"/>
          <w:color w:val="000000"/>
          <w:sz w:val="24"/>
        </w:rPr>
        <w:t>ContactService.add, TaskService.add, and AppointmentService.add reject null, detect duplicate keys, and store a copy constructor result rather than the caller's instance.</w:t>
      </w:r>
    </w:p>
    <w:p>
      <w:pPr>
        <w:keepLines/>
        <w:spacing w:line="480" w:lineRule="auto" w:before="0" w:after="0"/>
        <w:jc w:val="left"/>
        <w:numPr>
          <w:ilvl w:val="0"/>
          <w:numId w:val="10"/>
        </w:numPr>
      </w:pPr>
      <w:r>
        <w:rPr>
          <w:rFonts w:ascii="Times New Roman" w:hAnsi="Times New Roman" w:eastAsia="Times New Roman" w:cs="Times New Roman"/>
          <w:b/>
          <w:color w:val="000000"/>
          <w:sz w:val="24"/>
        </w:rPr>
        <w:t xml:space="preserve">Read path: </w:t>
      </w:r>
      <w:r>
        <w:rPr>
          <w:rFonts w:ascii="Times New Roman" w:hAnsi="Times New Roman" w:eastAsia="Times New Roman" w:cs="Times New Roman"/>
          <w:color w:val="000000"/>
          <w:sz w:val="24"/>
        </w:rPr>
        <w:t>Each findById method returns Optional.empty for a missing key and a new model snapshot for a present key.</w:t>
      </w:r>
    </w:p>
    <w:p>
      <w:pPr>
        <w:keepLines/>
        <w:spacing w:line="480" w:lineRule="auto" w:before="0" w:after="0"/>
        <w:jc w:val="left"/>
        <w:numPr>
          <w:ilvl w:val="0"/>
          <w:numId w:val="10"/>
        </w:numPr>
      </w:pPr>
      <w:r>
        <w:rPr>
          <w:rFonts w:ascii="Times New Roman" w:hAnsi="Times New Roman" w:eastAsia="Times New Roman" w:cs="Times New Roman"/>
          <w:b/>
          <w:color w:val="000000"/>
          <w:sz w:val="24"/>
        </w:rPr>
        <w:t xml:space="preserve">Command failure: </w:t>
      </w:r>
      <w:r>
        <w:rPr>
          <w:rFonts w:ascii="Times New Roman" w:hAnsi="Times New Roman" w:eastAsia="Times New Roman" w:cs="Times New Roman"/>
          <w:color w:val="000000"/>
          <w:sz w:val="24"/>
        </w:rPr>
        <w:t>Each private requireStored method throws RecordNotFoundException with the record type and normalized identifier.</w:t>
      </w:r>
    </w:p>
    <w:p>
      <w:pPr>
        <w:keepLines/>
        <w:spacing w:line="480" w:lineRule="auto" w:before="0" w:after="0"/>
        <w:jc w:val="left"/>
        <w:numPr>
          <w:ilvl w:val="0"/>
          <w:numId w:val="10"/>
        </w:numPr>
      </w:pPr>
      <w:r>
        <w:rPr>
          <w:rFonts w:ascii="Times New Roman" w:hAnsi="Times New Roman" w:eastAsia="Times New Roman" w:cs="Times New Roman"/>
          <w:b/>
          <w:color w:val="000000"/>
          <w:sz w:val="24"/>
        </w:rPr>
        <w:t xml:space="preserve">Delete path: </w:t>
      </w:r>
      <w:r>
        <w:rPr>
          <w:rFonts w:ascii="Times New Roman" w:hAnsi="Times New Roman" w:eastAsia="Times New Roman" w:cs="Times New Roman"/>
          <w:color w:val="000000"/>
          <w:sz w:val="24"/>
        </w:rPr>
        <w:t>deleteById validates the identifier, removes one key, and distinguishes a missing record from successful deletion.</w:t>
      </w:r>
    </w:p>
    <w:p>
      <w:pPr>
        <w:keepLines/>
        <w:spacing w:line="480" w:lineRule="auto" w:before="0" w:after="0"/>
        <w:jc w:val="left"/>
        <w:numPr>
          <w:ilvl w:val="0"/>
          <w:numId w:val="10"/>
        </w:numPr>
      </w:pPr>
      <w:r>
        <w:rPr>
          <w:rFonts w:ascii="Times New Roman" w:hAnsi="Times New Roman" w:eastAsia="Times New Roman" w:cs="Times New Roman"/>
          <w:b/>
          <w:color w:val="000000"/>
          <w:sz w:val="24"/>
        </w:rPr>
        <w:t xml:space="preserve">Count path: </w:t>
      </w:r>
      <w:r>
        <w:rPr>
          <w:rFonts w:ascii="Times New Roman" w:hAnsi="Times New Roman" w:eastAsia="Times New Roman" w:cs="Times New Roman"/>
          <w:color w:val="000000"/>
          <w:sz w:val="24"/>
        </w:rPr>
        <w:t>size reports the map entry count through the common repository contract and is checked after add and delete operations.</w:t>
      </w:r>
    </w:p>
    <w:p>
      <w:pPr>
        <w:pStyle w:val="Heading2"/>
        <w:spacing w:line="480" w:lineRule="auto" w:before="0" w:after="0"/>
      </w:pPr>
      <w:r>
        <w:rPr>
          <w:rFonts w:ascii="Times New Roman" w:hAnsi="Times New Roman" w:eastAsia="Times New Roman" w:cs="Times New Roman"/>
          <w:color w:val="000000"/>
          <w:sz w:val="24"/>
        </w:rPr>
        <w:t>State Ownership and Atomic Updates</w:t>
      </w:r>
    </w:p>
    <w:p>
      <w:pPr>
        <w:spacing w:line="480" w:lineRule="auto" w:before="0" w:after="0"/>
      </w:pPr>
      <w:r>
        <w:rPr>
          <w:rFonts w:ascii="Times New Roman" w:hAnsi="Times New Roman" w:eastAsia="Times New Roman" w:cs="Times New Roman"/>
          <w:color w:val="000000"/>
          <w:sz w:val="24"/>
        </w:rPr>
        <w:t>The original services placed caller-owned objects directly into a HashMap and returned the stored object from lookups. A caller could therefore bypass the service by mutating either reference. The enhanced services store copy-constructed records and return new snapshot copies. Appointment additionally copies mutable Date values on both input and output. The service remains the owner of stored state even though the models retain setters for the original assignment's update requirements.</w:t>
      </w:r>
    </w:p>
    <w:p>
      <w:pPr>
        <w:spacing w:line="480" w:lineRule="auto" w:before="0" w:after="0"/>
      </w:pPr>
      <w:r>
        <w:rPr>
          <w:rFonts w:ascii="Times New Roman" w:hAnsi="Times New Roman" w:eastAsia="Times New Roman" w:cs="Times New Roman"/>
          <w:color w:val="000000"/>
          <w:sz w:val="24"/>
        </w:rPr>
        <w:t>Multi-field updates now follow a copy-validate-replace sequence. For example, ContactService.updateName creates a copy, validates both names on that copy, and writes the updated record only after both setters succeed. If the second value is invalid, the original map entry remains unchanged. This issue was identified during enhancement review and corrected before packaging. The same approach is applied to task and appointment updates.</w:t>
      </w:r>
    </w:p>
    <w:p>
      <w:pPr>
        <w:pStyle w:val="Heading3"/>
        <w:spacing w:line="480" w:lineRule="auto" w:before="0" w:after="0"/>
      </w:pPr>
      <w:r>
        <w:rPr>
          <w:rFonts w:ascii="Times New Roman" w:hAnsi="Times New Roman" w:eastAsia="Times New Roman" w:cs="Times New Roman"/>
          <w:color w:val="000000"/>
          <w:sz w:val="24"/>
        </w:rPr>
        <w:t>Why Copy-Validate-Replace Matters</w:t>
      </w:r>
    </w:p>
    <w:p>
      <w:pPr>
        <w:spacing w:line="480" w:lineRule="auto" w:before="0" w:after="0"/>
      </w:pPr>
      <w:r>
        <w:rPr>
          <w:rFonts w:ascii="Times New Roman" w:hAnsi="Times New Roman" w:eastAsia="Times New Roman" w:cs="Times New Roman"/>
          <w:color w:val="000000"/>
          <w:sz w:val="24"/>
        </w:rPr>
        <w:t>Atomicity in this artifact is an application-level property rather than a database transaction. ContactService.updateName first copies the stored Contact, then calls setFirstName and setLastName on the copy, and only then executes contacts.put. TaskService.update follows the same sequence for name and description, while AppointmentService.update applies the date and description changes to a copied Appointment before replacing the map entry. If validation throws before the final put, the map still points to the untouched original object. The verifier does not stop at confirming the exception; checks 10, 16, and 25 read the record afterward and confirm that the stored values are unchanged. That postcondition is the evidence that the update is all-or-nothing for the fields in each command.</w:t>
      </w:r>
    </w:p>
    <w:p>
      <w:pPr>
        <w:spacing w:line="480" w:lineRule="auto" w:before="0" w:after="0"/>
      </w:pPr>
      <w:r>
        <w:rPr>
          <w:rFonts w:ascii="Times New Roman" w:hAnsi="Times New Roman" w:eastAsia="Times New Roman" w:cs="Times New Roman"/>
          <w:color w:val="000000"/>
          <w:sz w:val="24"/>
        </w:rPr>
        <w:t>Defensive copying is applied at both sides of the service boundary. The add methods copy incoming models, and findById maps a stored record through its copy constructor. Appointment adds another layer because java.util.Date is mutable: Validation.presentOrFutureDate returns a new Date, Appointment.getAppointmentDate returns a new Date, and the Appointment copy constructor routes the value through validation again. This distinction is important because copying only the outer Appointment would still expose the inner Date if its getter returned the stored reference.</w:t>
      </w:r>
    </w:p>
    <w:p>
      <w:pPr>
        <w:pStyle w:val="Heading2"/>
        <w:spacing w:line="480" w:lineRule="auto" w:before="0" w:after="0"/>
      </w:pPr>
      <w:r>
        <w:rPr>
          <w:rFonts w:ascii="Times New Roman" w:hAnsi="Times New Roman" w:eastAsia="Times New Roman" w:cs="Times New Roman"/>
          <w:color w:val="000000"/>
          <w:sz w:val="24"/>
        </w:rPr>
        <w:t>HashMap Fit and Explicit Limitation</w:t>
      </w:r>
    </w:p>
    <w:p>
      <w:pPr>
        <w:spacing w:line="480" w:lineRule="auto" w:before="0" w:after="0"/>
      </w:pPr>
      <w:r>
        <w:rPr>
          <w:rFonts w:ascii="Times New Roman" w:hAnsi="Times New Roman" w:eastAsia="Times New Roman" w:cs="Times New Roman"/>
          <w:color w:val="000000"/>
          <w:sz w:val="24"/>
        </w:rPr>
        <w:t>HashMap remains the backing structure because every core command begins with a unique identifier. Oracle documents expected constant-time get and put behavior when keys are dispersed properly, so the structure supports the service's primary access pattern without adding an ordering cost (Oracle, n.d.-b). The enhancement does not depend on HashMap iteration order; Oracle explicitly states that the class does not guarantee a stable order. This becomes especially important in Milestone Three, where any user-facing result order must be created by an explicit comparator rather than inherited from the map.</w:t>
      </w:r>
    </w:p>
    <w:p>
      <w:pPr>
        <w:spacing w:line="480" w:lineRule="auto" w:before="0" w:after="0"/>
      </w:pPr>
      <w:r>
        <w:rPr>
          <w:rFonts w:ascii="Times New Roman" w:hAnsi="Times New Roman" w:eastAsia="Times New Roman" w:cs="Times New Roman"/>
          <w:color w:val="000000"/>
          <w:sz w:val="24"/>
        </w:rPr>
        <w:t>The current services are intentionally single-process, in-memory teaching components. HashMap is not synchronized, and the code does not claim thread safety, persistence, authentication, or authorization. If these services were placed behind a concurrent application interface, access coordination or a persistent repository implementation would be required. Stating this limit keeps the security and scalability claims proportional to what the submitted code actually implements.</w:t>
      </w:r>
    </w:p>
    <w:p>
      <w:pPr>
        <w:pStyle w:val="Heading2"/>
        <w:spacing w:line="480" w:lineRule="auto" w:before="0" w:after="0"/>
      </w:pPr>
      <w:r>
        <w:rPr>
          <w:rFonts w:ascii="Times New Roman" w:hAnsi="Times New Roman" w:eastAsia="Times New Roman" w:cs="Times New Roman"/>
          <w:color w:val="000000"/>
          <w:sz w:val="24"/>
        </w:rPr>
        <w:t>Deterministic Appointment Validation</w:t>
      </w:r>
    </w:p>
    <w:p>
      <w:pPr>
        <w:spacing w:line="480" w:lineRule="auto" w:before="0" w:after="0"/>
      </w:pPr>
      <w:r>
        <w:rPr>
          <w:rFonts w:ascii="Times New Roman" w:hAnsi="Times New Roman" w:eastAsia="Times New Roman" w:cs="Times New Roman"/>
          <w:color w:val="000000"/>
          <w:sz w:val="24"/>
        </w:rPr>
        <w:t>Appointment retains its original three-argument constructor for normal callers and adds a constructor that accepts java.time.Clock. The original constructor delegates to Clock.systemUTC, while a test can supply Clock.fixed and define the current instant exactly. Oracle identifies controlled time and simplified testing as primary purposes of the Clock abstraction (Oracle, n.d.-a). In the enhanced model, Validation.presentOrFutureDate compares the candidate instant with clock.instant; this removes the moving new Date call that made a boundary test dependent on the moment at which the assertion executed. The design preserves the familiar public constructor while making the time dependency visible and replaceable where precision is required.</w:t>
      </w:r>
    </w:p>
    <w:p>
      <w:pPr>
        <w:pStyle w:val="Heading1"/>
        <w:spacing w:line="480" w:lineRule="auto" w:before="0" w:after="0"/>
      </w:pPr>
      <w:r>
        <w:rPr>
          <w:rFonts w:ascii="Times New Roman" w:hAnsi="Times New Roman" w:eastAsia="Times New Roman" w:cs="Times New Roman"/>
          <w:color w:val="000000"/>
          <w:sz w:val="24"/>
        </w:rPr>
        <w:t>Verification and Evidence</w:t>
      </w:r>
    </w:p>
    <w:p>
      <w:pPr>
        <w:spacing w:line="480" w:lineRule="auto" w:before="0" w:after="0"/>
      </w:pPr>
      <w:r>
        <w:rPr>
          <w:rFonts w:ascii="Times New Roman" w:hAnsi="Times New Roman" w:eastAsia="Times New Roman" w:cs="Times New Roman"/>
          <w:color w:val="000000"/>
          <w:sz w:val="24"/>
        </w:rPr>
        <w:t>The enhanced Maven project contains 97 JUnit test methods across 12 test classes. Six classes preserve the original model and service requirements, and six design-focused classes cover normalization, blank rejection, copy behavior, deterministic time, duplicate and missing-record exceptions, Optional lookups, and atomic updates. JUnit 5 separates test authoring from the engine and build-tool integration used to execute tests, which is why the package includes both conventional test placement and an explicit Maven command (JUnit Team, 2024). In this environment, the JUnit sources were syntax-parsed and compiler-checked against verification stubs; the narrative does not mislabel that review as a completed Maven test run. The included mvn clean test command is the repeatable method for running all 97 methods with JUnit 5.10.2 when Maven can resolve the declared dependency.</w:t>
      </w:r>
    </w:p>
    <w:p>
      <w:pPr>
        <w:spacing w:line="480" w:lineRule="auto" w:before="0" w:after="0"/>
      </w:pPr>
      <w:r>
        <w:rPr>
          <w:rFonts w:ascii="Times New Roman" w:hAnsi="Times New Roman" w:eastAsia="Times New Roman" w:cs="Times New Roman"/>
          <w:color w:val="000000"/>
          <w:sz w:val="24"/>
        </w:rPr>
        <w:t>A dependency-free verification program was also compiled with the Java 17 compiler and -Xlint:all, then executed against the production source. All 26 checks passed with no compiler errors or warnings. The recorded output covers the highest-risk changes, including snapshot behavior and preservation of stored state after failed multi-field updates. Integrity hashes are included for the 13 technical baseline files—12 Java files and the portfolio reflection readme—so an instructor can confirm that the included baseline was not edited in place.</w:t>
      </w:r>
    </w:p>
    <w:p>
      <w:pPr>
        <w:pStyle w:val="Heading2"/>
        <w:spacing w:line="480" w:lineRule="auto" w:before="0" w:after="0"/>
      </w:pPr>
      <w:r>
        <w:rPr>
          <w:rFonts w:ascii="Times New Roman" w:hAnsi="Times New Roman" w:eastAsia="Times New Roman" w:cs="Times New Roman"/>
          <w:color w:val="000000"/>
          <w:sz w:val="24"/>
        </w:rPr>
        <w:t>What the Recorded Evidence Proves</w:t>
      </w:r>
    </w:p>
    <w:p>
      <w:pPr>
        <w:spacing w:line="480" w:lineRule="auto" w:before="0" w:after="0"/>
      </w:pPr>
      <w:r>
        <w:rPr>
          <w:rFonts w:ascii="Times New Roman" w:hAnsi="Times New Roman" w:eastAsia="Times New Roman" w:cs="Times New Roman"/>
          <w:color w:val="000000"/>
          <w:sz w:val="24"/>
        </w:rPr>
        <w:t>The evidence is divided so that each claim has a clear limit. The SHA-256 manifest proves that the 13 included technical baseline files are the same bytes used for the Module One comparison. Successful Java 17 compilation with -Xlint:all proves that the enhanced production classes and standalone verifier are type-correct under that compiler and produced no reported warnings. The 26 executed checks prove the listed runtime postconditions, such as copy isolation, exception selection, and unchanged state after rejected updates. The 97 JUnit methods show the breadth of the included automated test design, but they are not reported as executed in this environment. This wording prevents test quantity, compilation, and runtime verification from being blended into one unsupported claim.</w:t>
      </w:r>
    </w:p>
    <w:p>
      <w:pPr>
        <w:keepLines/>
        <w:spacing w:line="480" w:lineRule="auto" w:before="0" w:after="0"/>
        <w:jc w:val="left"/>
        <w:numPr>
          <w:ilvl w:val="0"/>
          <w:numId w:val="10"/>
        </w:numPr>
      </w:pPr>
      <w:r>
        <w:rPr>
          <w:rFonts w:ascii="Times New Roman" w:hAnsi="Times New Roman" w:eastAsia="Times New Roman" w:cs="Times New Roman"/>
          <w:b/>
          <w:color w:val="000000"/>
          <w:sz w:val="24"/>
        </w:rPr>
        <w:t xml:space="preserve">Original baseline: </w:t>
      </w:r>
      <w:r>
        <w:rPr>
          <w:rFonts w:ascii="Times New Roman" w:hAnsi="Times New Roman" w:eastAsia="Times New Roman" w:cs="Times New Roman"/>
          <w:color w:val="000000"/>
          <w:sz w:val="24"/>
        </w:rPr>
        <w:t>01_ORIGINAL_ARTIFACT_UNMODIFIED contains the exact 13 technical Module One CS 320 files.</w:t>
      </w:r>
    </w:p>
    <w:p>
      <w:pPr>
        <w:keepLines/>
        <w:spacing w:line="480" w:lineRule="auto" w:before="0" w:after="0"/>
        <w:jc w:val="left"/>
        <w:numPr>
          <w:ilvl w:val="0"/>
          <w:numId w:val="10"/>
        </w:numPr>
      </w:pPr>
      <w:r>
        <w:rPr>
          <w:rFonts w:ascii="Times New Roman" w:hAnsi="Times New Roman" w:eastAsia="Times New Roman" w:cs="Times New Roman"/>
          <w:b/>
          <w:color w:val="000000"/>
          <w:sz w:val="24"/>
        </w:rPr>
        <w:t xml:space="preserve">Enhanced source: </w:t>
      </w:r>
      <w:r>
        <w:rPr>
          <w:rFonts w:ascii="Times New Roman" w:hAnsi="Times New Roman" w:eastAsia="Times New Roman" w:cs="Times New Roman"/>
          <w:color w:val="000000"/>
          <w:sz w:val="24"/>
        </w:rPr>
        <w:t>02_ENHANCED_SOFTWARE_DESIGN_ARTIFACT/cs320-service-suite contains the Maven project.</w:t>
      </w:r>
    </w:p>
    <w:p>
      <w:pPr>
        <w:keepLines/>
        <w:spacing w:line="480" w:lineRule="auto" w:before="0" w:after="0"/>
        <w:jc w:val="left"/>
        <w:numPr>
          <w:ilvl w:val="0"/>
          <w:numId w:val="10"/>
        </w:numPr>
      </w:pPr>
      <w:r>
        <w:rPr>
          <w:rFonts w:ascii="Times New Roman" w:hAnsi="Times New Roman" w:eastAsia="Times New Roman" w:cs="Times New Roman"/>
          <w:b/>
          <w:color w:val="000000"/>
          <w:sz w:val="24"/>
        </w:rPr>
        <w:t xml:space="preserve">Design rationale: </w:t>
      </w:r>
      <w:r>
        <w:rPr>
          <w:rFonts w:ascii="Times New Roman" w:hAnsi="Times New Roman" w:eastAsia="Times New Roman" w:cs="Times New Roman"/>
          <w:color w:val="000000"/>
          <w:sz w:val="24"/>
        </w:rPr>
        <w:t>03_DOCUMENTATION connects each change to a requirement and rubric indicator.</w:t>
      </w:r>
    </w:p>
    <w:p>
      <w:pPr>
        <w:keepLines/>
        <w:spacing w:line="480" w:lineRule="auto" w:before="0" w:after="0"/>
        <w:jc w:val="left"/>
        <w:numPr>
          <w:ilvl w:val="0"/>
          <w:numId w:val="10"/>
        </w:numPr>
      </w:pPr>
      <w:r>
        <w:rPr>
          <w:rFonts w:ascii="Times New Roman" w:hAnsi="Times New Roman" w:eastAsia="Times New Roman" w:cs="Times New Roman"/>
          <w:b/>
          <w:color w:val="000000"/>
          <w:sz w:val="24"/>
        </w:rPr>
        <w:t xml:space="preserve">Recorded checks: </w:t>
      </w:r>
      <w:r>
        <w:rPr>
          <w:rFonts w:ascii="Times New Roman" w:hAnsi="Times New Roman" w:eastAsia="Times New Roman" w:cs="Times New Roman"/>
          <w:color w:val="000000"/>
          <w:sz w:val="24"/>
        </w:rPr>
        <w:t>04_EVIDENCE contains the verifier, its 26 passing results, and original-file hashes.</w:t>
      </w:r>
    </w:p>
    <w:p>
      <w:pPr>
        <w:pStyle w:val="Heading1"/>
        <w:spacing w:line="480" w:lineRule="auto" w:before="0" w:after="0"/>
      </w:pPr>
      <w:r>
        <w:rPr>
          <w:rFonts w:ascii="Times New Roman" w:hAnsi="Times New Roman" w:eastAsia="Times New Roman" w:cs="Times New Roman"/>
          <w:color w:val="000000"/>
          <w:sz w:val="24"/>
        </w:rPr>
        <w:t>Course Outcome Coverage</w:t>
      </w:r>
    </w:p>
    <w:p>
      <w:pPr>
        <w:pStyle w:val="Heading2"/>
        <w:spacing w:line="480" w:lineRule="auto" w:before="0" w:after="0"/>
      </w:pPr>
      <w:r>
        <w:rPr>
          <w:rFonts w:ascii="Times New Roman" w:hAnsi="Times New Roman" w:eastAsia="Times New Roman" w:cs="Times New Roman"/>
          <w:color w:val="000000"/>
          <w:sz w:val="24"/>
        </w:rPr>
        <w:t>Outcome One: Collaborative Environments</w:t>
      </w:r>
    </w:p>
    <w:p>
      <w:pPr>
        <w:spacing w:line="480" w:lineRule="auto" w:before="0" w:after="0"/>
      </w:pPr>
      <w:r>
        <w:rPr>
          <w:rFonts w:ascii="Times New Roman" w:hAnsi="Times New Roman" w:eastAsia="Times New Roman" w:cs="Times New Roman"/>
          <w:color w:val="000000"/>
          <w:sz w:val="24"/>
        </w:rPr>
        <w:t>This milestone makes progress toward Outcome One through reviewable requirements and decisions. The CS 250 materials preserve the stakeholder and Agile context, while the enhancement map, repository contract, and explicit failure policies give another developer a shared basis for evaluating behavior. This artifact does not claim that an individual code enhancement alone demonstrates a complete collaborative environment.</w:t>
      </w:r>
    </w:p>
    <w:p>
      <w:pPr>
        <w:pStyle w:val="Heading2"/>
        <w:spacing w:line="480" w:lineRule="auto" w:before="0" w:after="0"/>
      </w:pPr>
      <w:r>
        <w:rPr>
          <w:rFonts w:ascii="Times New Roman" w:hAnsi="Times New Roman" w:eastAsia="Times New Roman" w:cs="Times New Roman"/>
          <w:color w:val="000000"/>
          <w:sz w:val="24"/>
        </w:rPr>
        <w:t>Outcome Two: Professional Communication</w:t>
      </w:r>
    </w:p>
    <w:p>
      <w:pPr>
        <w:spacing w:line="480" w:lineRule="auto" w:before="0" w:after="0"/>
      </w:pPr>
      <w:r>
        <w:rPr>
          <w:rFonts w:ascii="Times New Roman" w:hAnsi="Times New Roman" w:eastAsia="Times New Roman" w:cs="Times New Roman"/>
          <w:color w:val="000000"/>
          <w:sz w:val="24"/>
        </w:rPr>
        <w:t>The code-review script, narrative, package guide, before-and-after map, design rationale, and recorded verification communicate the same implementation from different levels of detail. The structure supports an instructor who needs a direct grading path and a technical reviewer who wants to inspect classes, tests, and output. Technical terms are tied to concrete source locations instead of being presented as unsupported claims.</w:t>
      </w:r>
    </w:p>
    <w:p>
      <w:pPr>
        <w:pStyle w:val="Heading2"/>
        <w:spacing w:line="480" w:lineRule="auto" w:before="0" w:after="0"/>
      </w:pPr>
      <w:r>
        <w:rPr>
          <w:rFonts w:ascii="Times New Roman" w:hAnsi="Times New Roman" w:eastAsia="Times New Roman" w:cs="Times New Roman"/>
          <w:color w:val="000000"/>
          <w:sz w:val="24"/>
        </w:rPr>
        <w:t>Outcome Four: Computing Techniques and Tools</w:t>
      </w:r>
    </w:p>
    <w:p>
      <w:pPr>
        <w:spacing w:line="480" w:lineRule="auto" w:before="0" w:after="0"/>
      </w:pPr>
      <w:r>
        <w:rPr>
          <w:rFonts w:ascii="Times New Roman" w:hAnsi="Times New Roman" w:eastAsia="Times New Roman" w:cs="Times New Roman"/>
          <w:color w:val="000000"/>
          <w:sz w:val="24"/>
        </w:rPr>
        <w:t>Outcome Four is the primary result of this enhancement. Java 17 packages, Maven layout, generics, Optional, Clock injection, defensive copies, custom exceptions, and repeatable testing are used to improve a working solution. The value is not the number of technologies added; it is that each technique solves a specific weakness in maintainability, consistency, state protection, or testability.</w:t>
      </w:r>
    </w:p>
    <w:p>
      <w:pPr>
        <w:pStyle w:val="Heading2"/>
        <w:spacing w:line="480" w:lineRule="auto" w:before="0" w:after="0"/>
      </w:pPr>
      <w:r>
        <w:rPr>
          <w:rFonts w:ascii="Times New Roman" w:hAnsi="Times New Roman" w:eastAsia="Times New Roman" w:cs="Times New Roman"/>
          <w:color w:val="000000"/>
          <w:sz w:val="24"/>
        </w:rPr>
        <w:t>Outcome Five: Security Mindset</w:t>
      </w:r>
    </w:p>
    <w:p>
      <w:pPr>
        <w:spacing w:line="480" w:lineRule="auto" w:before="0" w:after="0"/>
      </w:pPr>
      <w:r>
        <w:rPr>
          <w:rFonts w:ascii="Times New Roman" w:hAnsi="Times New Roman" w:eastAsia="Times New Roman" w:cs="Times New Roman"/>
          <w:color w:val="000000"/>
          <w:sz w:val="24"/>
        </w:rPr>
        <w:t>The enhancement applies a security mindset at the service boundary by rejecting invalid inputs, preserving immutable identifiers, preventing mutation through returned references, copying Date values, and ensuring failed updates do not leave partial state. The OWASP code-review guidance treats validation and data integrity as review concerns, and those concerns are represented here through concrete entry-point checks and post-failure state verification (OWASP Foundation, 2017). These controls reduce unintended state changes and make failure behavior auditable. They are defensive-programming measures within an in-memory service, not a claim that the artifact implements authentication, authorization, encryption, or network security.</w:t>
      </w:r>
    </w:p>
    <w:p>
      <w:pPr>
        <w:spacing w:line="480" w:lineRule="auto" w:before="0" w:after="0"/>
      </w:pPr>
      <w:r>
        <w:rPr>
          <w:rFonts w:ascii="Times New Roman" w:hAnsi="Times New Roman" w:eastAsia="Times New Roman" w:cs="Times New Roman"/>
          <w:color w:val="000000"/>
          <w:sz w:val="24"/>
        </w:rPr>
        <w:t>The planned course-outcome coverage is therefore met with one documented update: the Category One implementation evidence moved from CS 250 to CS 320 after the code review showed that the planning artifact did not contain sufficient source. Outcome Four remains primary; Outcomes Two and Five are directly supported; and Outcome One is represented through planning context and reviewability rather than overstated as full team collaboration.</w:t>
      </w:r>
    </w:p>
    <w:p>
      <w:pPr>
        <w:pStyle w:val="Heading1"/>
        <w:spacing w:line="480" w:lineRule="auto" w:before="0" w:after="0"/>
      </w:pPr>
      <w:r>
        <w:rPr>
          <w:rFonts w:ascii="Times New Roman" w:hAnsi="Times New Roman" w:eastAsia="Times New Roman" w:cs="Times New Roman"/>
          <w:color w:val="000000"/>
          <w:sz w:val="24"/>
        </w:rPr>
        <w:t>Reflection on the Enhancement Process</w:t>
      </w:r>
    </w:p>
    <w:p>
      <w:pPr>
        <w:spacing w:line="480" w:lineRule="auto" w:before="0" w:after="0"/>
      </w:pPr>
      <w:r>
        <w:rPr>
          <w:rFonts w:ascii="Times New Roman" w:hAnsi="Times New Roman" w:eastAsia="Times New Roman" w:cs="Times New Roman"/>
          <w:color w:val="000000"/>
          <w:sz w:val="24"/>
        </w:rPr>
        <w:t>The most important lesson from this enhancement was that maintainability depends on behavior at boundaries, not only on folder names or comments. Reorganizing the files into packages improved navigation, but the stronger changes were defining who owns stored state, how a missing record is represented, and whether a failed update can alter part of an object. Those decisions are visible in tests and have consequences for every caller.</w:t>
      </w:r>
    </w:p>
    <w:p>
      <w:pPr>
        <w:spacing w:line="480" w:lineRule="auto" w:before="0" w:after="0"/>
      </w:pPr>
      <w:r>
        <w:rPr>
          <w:rFonts w:ascii="Times New Roman" w:hAnsi="Times New Roman" w:eastAsia="Times New Roman" w:cs="Times New Roman"/>
          <w:color w:val="000000"/>
          <w:sz w:val="24"/>
        </w:rPr>
        <w:t>The main challenge was improving the design without turning a focused CS 320 assignment into an unrelated application. Adding a database, web framework, or extensive inheritance hierarchy would have made the artifact larger but not necessarily better. Retaining HashMap storage and the original constructor patterns kept the requirements recognizable. The enhancement instead adds only the abstractions needed to make policies consistent and testable.</w:t>
      </w:r>
    </w:p>
    <w:p>
      <w:pPr>
        <w:spacing w:line="480" w:lineRule="auto" w:before="0" w:after="0"/>
      </w:pPr>
      <w:r>
        <w:rPr>
          <w:rFonts w:ascii="Times New Roman" w:hAnsi="Times New Roman" w:eastAsia="Times New Roman" w:cs="Times New Roman"/>
          <w:color w:val="000000"/>
          <w:sz w:val="24"/>
        </w:rPr>
        <w:t>Quality review also exposed a partial-update problem in the first enhanced draft. A method that changed one value before validating the next could leave a record halfway updated. Reworking the commands to update a copy and commit once provided a cleaner transaction-like boundary. Finding and correcting that issue reinforced the role of negative tests: a test should verify not only that an exception occurs, but also that the system remains in the expected state afterward.</w:t>
      </w:r>
    </w:p>
    <w:p>
      <w:pPr>
        <w:pStyle w:val="Heading1"/>
        <w:spacing w:line="480" w:lineRule="auto" w:before="0" w:after="0"/>
      </w:pPr>
      <w:r>
        <w:rPr>
          <w:rFonts w:ascii="Times New Roman" w:hAnsi="Times New Roman" w:eastAsia="Times New Roman" w:cs="Times New Roman"/>
          <w:color w:val="000000"/>
          <w:sz w:val="24"/>
        </w:rPr>
        <w:t>Conclusion</w:t>
      </w:r>
    </w:p>
    <w:p>
      <w:pPr>
        <w:spacing w:line="480" w:lineRule="auto" w:before="0" w:after="0"/>
      </w:pPr>
      <w:r>
        <w:rPr>
          <w:rFonts w:ascii="Times New Roman" w:hAnsi="Times New Roman" w:eastAsia="Times New Roman" w:cs="Times New Roman"/>
          <w:color w:val="000000"/>
          <w:sz w:val="24"/>
        </w:rPr>
        <w:t>The completed Category One artifact is still the CS 320 contact, task, and appointment assignment, but it now demonstrates a clearer software design. Responsibilities are separated, common rules are centralized, state changes are controlled, failures are explicit, time-based tests are deterministic, and the evidence is organized for review. These improvements provide substantial progress toward the software design and engineering rubric while creating a stable foundation for the algorithms enhancement.</w:t>
      </w:r>
    </w:p>
    <w:p>
      <w:pPr>
        <w:spacing w:line="480" w:lineRule="auto" w:before="0" w:after="0"/>
      </w:pPr>
      <w:r>
        <w:rPr>
          <w:rFonts w:ascii="Times New Roman" w:hAnsi="Times New Roman" w:eastAsia="Times New Roman" w:cs="Times New Roman"/>
          <w:color w:val="000000"/>
          <w:sz w:val="24"/>
        </w:rPr>
        <w:br w:type="page"/>
      </w:r>
    </w:p>
    <w:p>
      <w:pPr>
        <w:pStyle w:val="Heading1"/>
        <w:spacing w:line="480" w:lineRule="auto" w:before="0" w:after="0"/>
      </w:pPr>
      <w:r>
        <w:rPr>
          <w:rFonts w:ascii="Times New Roman" w:hAnsi="Times New Roman" w:eastAsia="Times New Roman" w:cs="Times New Roman"/>
          <w:color w:val="000000"/>
          <w:sz w:val="24"/>
        </w:rPr>
        <w:t>References</w:t>
      </w:r>
    </w:p>
    <w:p>
      <w:pPr>
        <w:pStyle w:val="SourceList"/>
        <w:spacing w:line="480" w:lineRule="auto" w:before="0" w:after="0"/>
      </w:pPr>
      <w:r>
        <w:rPr>
          <w:rFonts w:ascii="Times New Roman" w:hAnsi="Times New Roman" w:eastAsia="Times New Roman" w:cs="Times New Roman"/>
          <w:color w:val="000000"/>
          <w:sz w:val="24"/>
        </w:rPr>
        <w:t>Apache Maven Project. (n.d.). Introduction to the standard directory layout. https://maven.apache.org/guides/introduction/introduction-to-the-standard-directory-layout.html</w:t>
      </w:r>
    </w:p>
    <w:p>
      <w:pPr>
        <w:pStyle w:val="SourceList"/>
        <w:spacing w:line="480" w:lineRule="auto" w:before="0" w:after="0"/>
      </w:pPr>
      <w:r>
        <w:rPr>
          <w:rFonts w:ascii="Times New Roman" w:hAnsi="Times New Roman" w:eastAsia="Times New Roman" w:cs="Times New Roman"/>
          <w:color w:val="000000"/>
          <w:sz w:val="24"/>
        </w:rPr>
        <w:t>JUnit Team. (2024). JUnit 5.10.2 user guide. https://docs.junit.org/5.10.2/user-guide/</w:t>
      </w:r>
    </w:p>
    <w:p>
      <w:pPr>
        <w:pStyle w:val="SourceList"/>
        <w:spacing w:line="480" w:lineRule="auto" w:before="0" w:after="0"/>
      </w:pPr>
      <w:r>
        <w:rPr>
          <w:rFonts w:ascii="Times New Roman" w:hAnsi="Times New Roman" w:eastAsia="Times New Roman" w:cs="Times New Roman"/>
          <w:color w:val="000000"/>
          <w:sz w:val="24"/>
        </w:rPr>
        <w:t>Oracle. (n.d.-a). Clock (Java SE 17 &amp; JDK 17). https://docs.oracle.com/en/java/javase/17/docs/api/java.base/java/time/Clock.html</w:t>
      </w:r>
    </w:p>
    <w:p>
      <w:pPr>
        <w:pStyle w:val="SourceList"/>
        <w:spacing w:line="480" w:lineRule="auto" w:before="0" w:after="0"/>
      </w:pPr>
      <w:r>
        <w:rPr>
          <w:rFonts w:ascii="Times New Roman" w:hAnsi="Times New Roman" w:eastAsia="Times New Roman" w:cs="Times New Roman"/>
          <w:color w:val="000000"/>
          <w:sz w:val="24"/>
        </w:rPr>
        <w:t>Oracle. (n.d.-b). HashMap (Java SE 17 &amp; JDK 17). https://docs.oracle.com/en/java/javase/17/docs/api/java.base/java/util/HashMap.html</w:t>
      </w:r>
    </w:p>
    <w:p>
      <w:pPr>
        <w:pStyle w:val="SourceList"/>
        <w:spacing w:line="480" w:lineRule="auto" w:before="0" w:after="0"/>
      </w:pPr>
      <w:r>
        <w:rPr>
          <w:rFonts w:ascii="Times New Roman" w:hAnsi="Times New Roman" w:eastAsia="Times New Roman" w:cs="Times New Roman"/>
          <w:color w:val="000000"/>
          <w:sz w:val="24"/>
        </w:rPr>
        <w:t>Oracle. (n.d.-c). Optional (Java SE 17 &amp; JDK 17). https://docs.oracle.com/en/java/javase/17/docs/api/java.base/java/util/Optional.html</w:t>
      </w:r>
    </w:p>
    <w:p>
      <w:pPr>
        <w:pStyle w:val="SourceList"/>
        <w:spacing w:line="480" w:lineRule="auto" w:before="0" w:after="0"/>
      </w:pPr>
      <w:r>
        <w:rPr>
          <w:rFonts w:ascii="Times New Roman" w:hAnsi="Times New Roman" w:eastAsia="Times New Roman" w:cs="Times New Roman"/>
          <w:color w:val="000000"/>
          <w:sz w:val="24"/>
        </w:rPr>
        <w:t>OWASP Foundation. (2017). OWASP code review guide (Version 2.0). https://owasp.org/www-project-code-review-guide/assets/OWASP_Code_Review_Guide_v2.pdf</w:t>
      </w:r>
    </w:p>
    <w:sectPr>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480" w:lineRule="auto"/>
      <w:jc w:val="right"/>
    </w:pPr>
    <w:r>
      <w:rPr>
        <w:rFonts w:ascii="Times New Roman" w:hAnsi="Times New Roman" w:eastAsia="Times New Roman" w:cs="Times New Roman"/>
        <w:color w:val="000000"/>
        <w:sz w:val="24"/>
      </w:rPr>
      <w:t xml:space="preserve">Page </w:t>
    </w:r>
    <w:r>
      <w:rPr>
        <w:rFonts w:ascii="Times New Roman" w:hAnsi="Times New Roman" w:eastAsia="Times New Roman" w:cs="Times New Roman"/>
        <w:color w:val="000000"/>
        <w:sz w:val="2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480" w:lineRule="auto" w:before="0"/>
      <w:jc w:val="left"/>
    </w:pPr>
    <w:r>
      <w:rPr>
        <w:rFonts w:ascii="Times New Roman" w:hAnsi="Times New Roman" w:eastAsia="Times New Roman" w:cs="Times New Roman"/>
        <w:b/>
        <w:color w:val="000000"/>
        <w:sz w:val="24"/>
      </w:rPr>
      <w:t>Madison Parker | CS 499 | Milestone Two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480" w:lineRule="auto"/>
      <w:jc w:val="left"/>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480" w:lineRule="auto" w:before="0"/>
      <w:jc w:val="left"/>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480" w:lineRule="auto" w:before="0"/>
      <w:jc w:val="left"/>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0" w:after="0" w:line="480" w:lineRule="auto"/>
      <w:jc w:val="left"/>
      <w:outlineLvl w:val="0"/>
    </w:pPr>
    <w:rPr>
      <w:rFonts w:asciiTheme="majorHAnsi" w:eastAsiaTheme="majorEastAsia" w:hAnsiTheme="majorHAnsi"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0" w:after="0" w:line="480" w:lineRule="auto"/>
      <w:jc w:val="left"/>
      <w:outlineLvl w:val="3"/>
    </w:pPr>
    <w:rPr>
      <w:rFonts w:asciiTheme="majorHAnsi" w:eastAsiaTheme="majorEastAsia" w:hAnsiTheme="majorHAnsi" w:cstheme="majorBidi"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0" w:after="0" w:line="480" w:lineRule="auto"/>
      <w:jc w:val="left"/>
      <w:outlineLvl w:val="4"/>
    </w:pPr>
    <w:rPr>
      <w:rFonts w:asciiTheme="majorHAnsi" w:eastAsiaTheme="majorEastAsia" w:hAnsiTheme="majorHAnsi" w:cstheme="majorBidi"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0" w:after="0" w:line="480" w:lineRule="auto"/>
      <w:jc w:val="left"/>
      <w:outlineLvl w:val="5"/>
    </w:pPr>
    <w:rPr>
      <w:rFonts w:asciiTheme="majorHAnsi" w:eastAsiaTheme="majorEastAsia" w:hAnsiTheme="majorHAnsi" w:cstheme="majorBidi"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0" w:after="0" w:line="480" w:lineRule="auto"/>
      <w:jc w:val="left"/>
      <w:outlineLvl w:val="6"/>
    </w:pPr>
    <w:rPr>
      <w:rFonts w:asciiTheme="majorHAnsi" w:eastAsiaTheme="majorEastAsia" w:hAnsiTheme="majorHAnsi" w:cstheme="majorBidi"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0" w:after="0" w:line="480" w:lineRule="auto"/>
      <w:jc w:val="left"/>
      <w:outlineLvl w:val="7"/>
    </w:pPr>
    <w:rPr>
      <w:rFonts w:asciiTheme="majorHAnsi" w:eastAsiaTheme="majorEastAsia" w:hAnsiTheme="majorHAnsi" w:cstheme="majorBidi"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0" w:after="0" w:line="480" w:lineRule="auto"/>
      <w:jc w:val="left"/>
      <w:outlineLvl w:val="8"/>
    </w:pPr>
    <w:rPr>
      <w:rFonts w:asciiTheme="majorHAnsi" w:eastAsiaTheme="majorEastAsia" w:hAnsiTheme="majorHAnsi" w:cstheme="majorBidi"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rPr>
  </w:style>
  <w:style w:type="table" w:default="1" w:styleId="TableNormal">
    <w:name w:val="Normal Table"/>
    <w:uiPriority w:val="99"/>
    <w:semiHidden/>
    <w:unhideWhenUsed/>
    <w:pPr>
      <w:spacing w:line="480" w:lineRule="auto" w:before="0" w:after="0"/>
      <w:jc w:val="left"/>
    </w:pPr>
    <w:rPr>
      <w:rFonts w:ascii="Times New Roman" w:hAnsi="Times New Roman" w:eastAsia="Times New Roman" w:cs="Times New Roman"/>
      <w:color w:val="000000"/>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480" w:lineRule="auto" w:before="0"/>
      <w:jc w:val="left"/>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000000"/>
      <w:sz w:val="24"/>
    </w:rPr>
  </w:style>
  <w:style w:type="paragraph" w:styleId="Title">
    <w:name w:val="Title"/>
    <w:basedOn w:val="Normal"/>
    <w:next w:val="Normal"/>
    <w:link w:val="TitleChar"/>
    <w:uiPriority w:val="10"/>
    <w:qFormat/>
    <w:rsid w:val="00FC693F"/>
    <w:pPr>
      <w:spacing w:after="0" w:line="480" w:lineRule="auto" w:before="0"/>
      <w:contextualSpacing/>
      <w:jc w:val="left"/>
    </w:pPr>
    <w:rPr>
      <w:rFonts w:asciiTheme="majorHAnsi" w:eastAsiaTheme="majorEastAsia" w:hAnsiTheme="majorHAnsi"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spacing w:before="0" w:after="0" w:line="480" w:lineRule="auto"/>
      <w:jc w:val="left"/>
    </w:pPr>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spacing w:line="480" w:lineRule="auto" w:before="0" w:after="0"/>
      <w:ind w:left="720"/>
      <w:contextualSpacing/>
      <w:jc w:val="left"/>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0" w:line="480" w:lineRule="auto" w:before="0"/>
      <w:jc w:val="left"/>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rsid w:val="00AA1D8D"/>
    <w:pPr>
      <w:spacing w:after="0" w:line="480" w:lineRule="auto" w:before="0"/>
      <w:jc w:val="left"/>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rPr>
  </w:style>
  <w:style w:type="paragraph" w:styleId="BodyText3">
    <w:name w:val="Body Text 3"/>
    <w:basedOn w:val="Normal"/>
    <w:link w:val="BodyText3Char"/>
    <w:uiPriority w:val="99"/>
    <w:unhideWhenUsed/>
    <w:rsid w:val="00AA1D8D"/>
    <w:pPr>
      <w:spacing w:after="0" w:line="480" w:lineRule="auto" w:before="0"/>
      <w:jc w:val="left"/>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rPr>
  </w:style>
  <w:style w:type="paragraph" w:styleId="List">
    <w:name w:val="List"/>
    <w:basedOn w:val="Normal"/>
    <w:uiPriority w:val="99"/>
    <w:unhideWhenUsed/>
    <w:rsid w:val="00AA1D8D"/>
    <w:pPr>
      <w:spacing w:line="480" w:lineRule="auto" w:before="0" w:after="0"/>
      <w:ind w:left="360" w:hanging="360"/>
      <w:contextualSpacing/>
      <w:jc w:val="left"/>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spacing w:line="480" w:lineRule="auto" w:before="0" w:after="0"/>
      <w:ind w:left="720" w:hanging="360"/>
      <w:contextualSpacing/>
      <w:jc w:val="left"/>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spacing w:line="480" w:lineRule="auto" w:before="0" w:after="0"/>
      <w:ind w:left="1080" w:hanging="360"/>
      <w:contextualSpacing/>
      <w:jc w:val="left"/>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spacing w:line="480" w:lineRule="auto" w:before="0" w:after="0"/>
      <w:contextualSpacing/>
      <w:jc w:val="left"/>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spacing w:line="480" w:lineRule="auto" w:before="0" w:after="0"/>
      <w:contextualSpacing/>
      <w:jc w:val="left"/>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spacing w:line="480" w:lineRule="auto" w:before="0" w:after="0"/>
      <w:contextualSpacing/>
      <w:jc w:val="left"/>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spacing w:line="480" w:lineRule="auto" w:before="0" w:after="0"/>
      <w:contextualSpacing/>
      <w:jc w:val="left"/>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spacing w:line="480" w:lineRule="auto" w:before="0" w:after="0"/>
      <w:contextualSpacing/>
      <w:jc w:val="left"/>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spacing w:line="480" w:lineRule="auto" w:before="0" w:after="0"/>
      <w:contextualSpacing/>
      <w:jc w:val="left"/>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0" w:line="480" w:lineRule="auto" w:before="0"/>
      <w:ind w:left="360"/>
      <w:contextualSpacing/>
      <w:jc w:val="left"/>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0" w:line="480" w:lineRule="auto" w:before="0"/>
      <w:ind w:left="720"/>
      <w:contextualSpacing/>
      <w:jc w:val="left"/>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0" w:line="480" w:lineRule="auto" w:before="0"/>
      <w:ind w:left="1080"/>
      <w:contextualSpacing/>
      <w:jc w:val="left"/>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480" w:lineRule="auto" w:before="0" w:after="0"/>
      <w:jc w:val="left"/>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rPr>
  </w:style>
  <w:style w:type="paragraph" w:styleId="Quote">
    <w:name w:val="Quote"/>
    <w:basedOn w:val="Normal"/>
    <w:next w:val="Normal"/>
    <w:link w:val="QuoteChar"/>
    <w:uiPriority w:val="29"/>
    <w:qFormat/>
    <w:rsid w:val="00FC693F"/>
    <w:pPr>
      <w:spacing w:line="480" w:lineRule="auto" w:before="0" w:after="0"/>
      <w:jc w:val="left"/>
    </w:pPr>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000000"/>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000000"/>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000000"/>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000000"/>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000000"/>
      <w:sz w:val="24"/>
      <w:szCs w:val="20"/>
    </w:rPr>
  </w:style>
  <w:style w:type="paragraph" w:styleId="Caption">
    <w:name w:val="caption"/>
    <w:basedOn w:val="Normal"/>
    <w:next w:val="Normal"/>
    <w:uiPriority w:val="35"/>
    <w:semiHidden/>
    <w:unhideWhenUsed/>
    <w:qFormat/>
    <w:rsid w:val="00FC693F"/>
    <w:pPr>
      <w:spacing w:line="480" w:lineRule="auto" w:before="0" w:after="0"/>
      <w:jc w:val="left"/>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rPr>
  </w:style>
  <w:style w:type="paragraph" w:styleId="IntenseQuote">
    <w:name w:val="Intense Quote"/>
    <w:basedOn w:val="Normal"/>
    <w:next w:val="Normal"/>
    <w:link w:val="IntenseQuoteChar"/>
    <w:uiPriority w:val="30"/>
    <w:qFormat/>
    <w:rsid w:val="00FC693F"/>
    <w:pPr>
      <w:spacing w:before="0" w:after="0" w:line="480" w:lineRule="auto"/>
      <w:ind w:left="936" w:right="936"/>
      <w:jc w:val="left"/>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spacing w:line="480" w:lineRule="auto" w:before="0" w:after="0"/>
      <w:jc w:val="left"/>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480" w:lineRule="auto" w:before="0"/>
      <w:jc w:val="left"/>
    </w:pPr>
    <w:rPr>
      <w:rFonts w:ascii="Times New Roman" w:hAnsi="Times New Roman" w:eastAsia="Times New Roman" w:cs="Times New Roman"/>
      <w:color w:val="000000"/>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480" w:lineRule="auto" w:before="0"/>
      <w:jc w:val="left"/>
    </w:pPr>
    <w:rPr>
      <w:rFonts w:asciiTheme="majorHAnsi" w:eastAsiaTheme="majorEastAsia" w:hAnsiTheme="majorHAnsi" w:cstheme="majorBidi" w:ascii="Times New Roman" w:hAnsi="Times New Roman" w:eastAsia="Times New Roman" w:cs="Times New Roman"/>
      <w:color w:val="000000"/>
      <w:sz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480" w:lineRule="auto" w:before="0"/>
      <w:jc w:val="left"/>
    </w:pPr>
    <w:rPr>
      <w:rFonts w:ascii="Times New Roman" w:hAnsi="Times New Roman" w:eastAsia="Times New Roman" w:cs="Times New Roman"/>
      <w:color w:val="000000"/>
      <w:sz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Callout">
    <w:name w:val="Lead Callout"/>
    <w:pPr>
      <w:keepLines/>
      <w:spacing w:before="0" w:after="0" w:line="480" w:lineRule="auto"/>
      <w:ind w:left="216" w:right="216"/>
      <w:jc w:val="left"/>
    </w:pPr>
    <w:rPr>
      <w:rFonts w:ascii="Times New Roman" w:hAnsi="Times New Roman" w:eastAsia="Times New Roman" w:cs="Times New Roman"/>
      <w:b/>
      <w:color w:val="000000"/>
      <w:sz w:val="24"/>
    </w:rPr>
  </w:style>
  <w:style w:type="paragraph" w:customStyle="1" w:styleId="SourceList">
    <w:name w:val="Source List"/>
    <w:pPr>
      <w:spacing w:after="0" w:line="480" w:lineRule="auto" w:before="0"/>
      <w:ind w:left="504" w:hanging="504"/>
      <w:jc w:val="left"/>
    </w:pPr>
    <w:rPr>
      <w:rFonts w:ascii="Times New Roman" w:hAnsi="Times New Roman" w:eastAsia="Times New Roman" w:cs="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Madison Parker | CS 499 | Milestone Two</dc:title>
  <dc:subject>CS 499 Capstone Enhancement Narrative</dc:subject>
  <dc:creator>Madison Parker</dc:creator>
  <cp:keywords>CS 499, ePortfolio, capstone, software engineering, algorithms</cp:keywords>
  <dc:description/>
  <cp:lastModifiedBy>Madison Parker</cp:lastModifiedBy>
  <cp:revision>1</cp:revision>
  <dcterms:created xsi:type="dcterms:W3CDTF">2026-07-13T00:00:00Z</dcterms:created>
  <dcterms:modified xsi:type="dcterms:W3CDTF">2026-07-19T18:00:00Z</dcterms:modified>
  <cp:category>CS 499 Computer Science Capstone</cp:category>
</cp:coreProperties>
</file>