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480" w:lineRule="auto" w:before="0" w:after="0"/>
        <w:jc w:val="center"/>
      </w:pPr>
      <w:r>
        <w:rPr>
          <w:rFonts w:ascii="Times New Roman" w:hAnsi="Times New Roman" w:eastAsia="Times New Roman" w:cs="Times New Roman"/>
          <w:b/>
          <w:color w:val="000000"/>
          <w:sz w:val="24"/>
        </w:rPr>
        <w:t>CS 499 Module Six Journal</w:t>
      </w:r>
    </w:p>
    <w:p>
      <w:pPr>
        <w:keepNext w:val="0"/>
        <w:spacing w:line="480" w:lineRule="auto" w:before="0" w:after="0"/>
        <w:jc w:val="center"/>
      </w:pPr>
      <w:r>
        <w:rPr>
          <w:rFonts w:ascii="Times New Roman" w:hAnsi="Times New Roman" w:eastAsia="Times New Roman" w:cs="Times New Roman"/>
          <w:b/>
          <w:color w:val="000000"/>
          <w:sz w:val="24"/>
        </w:rPr>
        <w:t>Disruptive Technology and Behavior-Aware Mobile Health</w:t>
      </w:r>
    </w:p>
    <w:p>
      <w:pPr>
        <w:keepNext w:val="0"/>
        <w:spacing w:line="480" w:lineRule="auto" w:before="0" w:after="0"/>
        <w:jc w:val="center"/>
      </w:pPr>
      <w:r>
        <w:rPr>
          <w:rFonts w:ascii="Times New Roman" w:hAnsi="Times New Roman" w:eastAsia="Times New Roman" w:cs="Times New Roman"/>
          <w:b w:val="0"/>
          <w:color w:val="000000"/>
          <w:sz w:val="24"/>
        </w:rPr>
        <w:t>Madison Parker</w:t>
      </w:r>
    </w:p>
    <w:p>
      <w:pPr>
        <w:keepNext w:val="0"/>
        <w:spacing w:line="480" w:lineRule="auto" w:before="0" w:after="0"/>
        <w:jc w:val="center"/>
      </w:pPr>
      <w:r>
        <w:rPr>
          <w:rFonts w:ascii="Times New Roman" w:hAnsi="Times New Roman" w:eastAsia="Times New Roman" w:cs="Times New Roman"/>
          <w:b w:val="0"/>
          <w:color w:val="000000"/>
          <w:sz w:val="24"/>
        </w:rPr>
        <w:t>Southern New Hampshire University</w:t>
      </w:r>
    </w:p>
    <w:p>
      <w:pPr>
        <w:keepNext w:val="0"/>
        <w:spacing w:line="480" w:lineRule="auto" w:before="0" w:after="0"/>
        <w:jc w:val="center"/>
      </w:pPr>
      <w:r>
        <w:rPr>
          <w:rFonts w:ascii="Times New Roman" w:hAnsi="Times New Roman" w:eastAsia="Times New Roman" w:cs="Times New Roman"/>
          <w:b w:val="0"/>
          <w:color w:val="000000"/>
          <w:sz w:val="24"/>
        </w:rPr>
        <w:t>CS 499: Computer Science Capstone</w:t>
      </w:r>
    </w:p>
    <w:p>
      <w:pPr>
        <w:keepNext w:val="0"/>
        <w:spacing w:line="480" w:lineRule="auto" w:before="0" w:after="0"/>
        <w:jc w:val="center"/>
      </w:pPr>
      <w:r>
        <w:rPr>
          <w:rFonts w:ascii="Times New Roman" w:hAnsi="Times New Roman" w:eastAsia="Times New Roman" w:cs="Times New Roman"/>
          <w:b w:val="0"/>
          <w:color w:val="000000"/>
          <w:sz w:val="24"/>
        </w:rPr>
        <w:t>August 3, 2026</w:t>
      </w:r>
    </w:p>
    <w:p>
      <w:pPr>
        <w:spacing w:line="480" w:lineRule="auto" w:before="0" w:after="0"/>
      </w:pPr>
      <w:r>
        <w:rPr>
          <w:rFonts w:ascii="Times New Roman" w:hAnsi="Times New Roman" w:eastAsia="Times New Roman" w:cs="Times New Roman"/>
          <w:sz w:val="24"/>
        </w:rPr>
        <w:br w:type="page"/>
      </w:r>
    </w:p>
    <w:p>
      <w:pPr>
        <w:keepNext/>
        <w:spacing w:line="480" w:lineRule="auto" w:before="0" w:after="0"/>
        <w:jc w:val="left"/>
      </w:pPr>
      <w:r>
        <w:rPr>
          <w:rFonts w:ascii="Times New Roman" w:hAnsi="Times New Roman" w:eastAsia="Times New Roman" w:cs="Times New Roman"/>
          <w:b/>
          <w:color w:val="000000"/>
          <w:sz w:val="24"/>
        </w:rPr>
        <w:t>Purpose and Selection of the Disruptive Technology</w:t>
      </w:r>
    </w:p>
    <w:p>
      <w:pPr>
        <w:keepNext w:val="0"/>
        <w:spacing w:line="480" w:lineRule="auto" w:before="0" w:after="0"/>
        <w:ind w:firstLine="720"/>
        <w:jc w:val="left"/>
      </w:pPr>
      <w:r>
        <w:rPr>
          <w:rFonts w:ascii="Times New Roman" w:hAnsi="Times New Roman" w:eastAsia="Times New Roman" w:cs="Times New Roman"/>
          <w:color w:val="000000"/>
          <w:sz w:val="24"/>
        </w:rPr>
        <w:t>The disruptive technology I selected is the combination of a Bluetooth-enabled smart scale, automatic mobile synchronization, and behavior-aware feedback. I selected this direction because it extends an artifact that already exists in my capstone instead of describing a future product with no connection to my work. My enhanced CS 360 Weight Tracker now has a versioned SQLite schema, authenticated account ownership, numeric validation, deterministic measurement history, and first-to-latest progress reporting. Those completed improvements create the data foundation for a connected scale. An imported reading still needs an owner, a valid value, a measured time, a source, stable ordering, and protection against duplicate insertion.</w:t>
      </w:r>
    </w:p>
    <w:p>
      <w:pPr>
        <w:keepNext w:val="0"/>
        <w:spacing w:line="480" w:lineRule="auto" w:before="0" w:after="0"/>
        <w:ind w:firstLine="720"/>
        <w:jc w:val="left"/>
      </w:pPr>
      <w:r>
        <w:rPr>
          <w:rFonts w:ascii="Times New Roman" w:hAnsi="Times New Roman" w:eastAsia="Times New Roman" w:cs="Times New Roman"/>
          <w:color w:val="000000"/>
          <w:sz w:val="24"/>
        </w:rPr>
        <w:t>The disruptive part is not simply replacing a text box with Bluetooth. Automatic capture changes the relationship among the user, the mobile application, and the database. A person can step on a scale and receive an updated trend without transcribing the number. That shorter feedback loop may reduce typing mistakes and make consistent tracking easier. At the same time, the system must now identify a device, request permissions, interpret an external payload, distinguish users of a shared scale, prevent replayed measurements, and explain how the result was classified. A feature that appears simpler to the user creates more responsibility inside the software.</w:t>
      </w:r>
    </w:p>
    <w:p>
      <w:pPr>
        <w:keepNext w:val="0"/>
        <w:spacing w:line="480" w:lineRule="auto" w:before="0" w:after="0"/>
        <w:ind w:firstLine="720"/>
        <w:jc w:val="left"/>
      </w:pPr>
      <w:r>
        <w:rPr>
          <w:rFonts w:ascii="Times New Roman" w:hAnsi="Times New Roman" w:eastAsia="Times New Roman" w:cs="Times New Roman"/>
          <w:color w:val="000000"/>
          <w:sz w:val="24"/>
        </w:rPr>
        <w:t>This journal evaluates that impact as a design roadmap. It does not claim that a physical scale has been paired or that vendor interoperability is complete. The distinction matters because a professional ePortfolio should separate an implemented foundation from researched future work. The completed database enhancement proves the persistence and security-related behaviors already present. The proposed Bluetooth and adaptive-feedback layers identify the next technical decisions, evidence, and limitations that would be required before the feature could be called complete.</w:t>
      </w:r>
    </w:p>
    <w:p>
      <w:pPr>
        <w:keepNext/>
        <w:spacing w:line="480" w:lineRule="auto" w:before="0" w:after="0"/>
        <w:jc w:val="left"/>
      </w:pPr>
      <w:r>
        <w:rPr>
          <w:rFonts w:ascii="Times New Roman" w:hAnsi="Times New Roman" w:eastAsia="Times New Roman" w:cs="Times New Roman"/>
          <w:b/>
          <w:color w:val="000000"/>
          <w:sz w:val="24"/>
        </w:rPr>
        <w:t>Personal Design Decision: Reinforcing Self-Monitoring Without Shame</w:t>
      </w:r>
    </w:p>
    <w:p>
      <w:pPr>
        <w:keepNext w:val="0"/>
        <w:spacing w:line="480" w:lineRule="auto" w:before="0" w:after="0"/>
        <w:ind w:firstLine="720"/>
        <w:jc w:val="left"/>
      </w:pPr>
      <w:r>
        <w:rPr>
          <w:rFonts w:ascii="Times New Roman" w:hAnsi="Times New Roman" w:eastAsia="Times New Roman" w:cs="Times New Roman"/>
          <w:color w:val="000000"/>
          <w:sz w:val="24"/>
        </w:rPr>
        <w:t>I wanted this extension to make the Weight Tracker more personal than a list of stored numbers. Weight tracking can feel encouraging, frustrating, or judgmental depending on how an interface responds. My proposal allows the overview interface to become green when a meaningful trend moves toward a user's selected goal and to use a restrained red state when the trend moves away from that goal. The green state would include a check icon, the signed difference, and wording such as, "Your seven-day average moved 0.8 lb toward your goal." The red state would use neutral language such as, "Your recent average is above the comparison period. Review the chart or continue tracking." Red would signal attention, not failure.</w:t>
      </w:r>
    </w:p>
    <w:p>
      <w:pPr>
        <w:keepNext w:val="0"/>
        <w:spacing w:line="480" w:lineRule="auto" w:before="0" w:after="0"/>
        <w:ind w:firstLine="720"/>
        <w:jc w:val="left"/>
      </w:pPr>
      <w:r>
        <w:rPr>
          <w:rFonts w:ascii="Times New Roman" w:hAnsi="Times New Roman" w:eastAsia="Times New Roman" w:cs="Times New Roman"/>
          <w:color w:val="000000"/>
          <w:sz w:val="24"/>
        </w:rPr>
        <w:t>The psychological basis is positive reinforcement of consistent self-monitoring. Reinforcement concerns whether a consequence following a behavior makes that behavior more likely to occur again. In this design, the behavior to support is recording or reviewing measurements consistently. Butryn et al. (2007) describe self-monitoring as an opportunity for positive reinforcement when behavior changes correspond with weight-control progress. Their analysis also found greater one-year weight gain among participants whose self-weighing frequency decreased. Burke et al. (2011) similarly found that more frequent self-monitoring was generally associated with stronger outcomes across the literature they reviewed.</w:t>
      </w:r>
    </w:p>
    <w:p>
      <w:pPr>
        <w:keepNext w:val="0"/>
        <w:spacing w:line="480" w:lineRule="auto" w:before="0" w:after="0"/>
        <w:ind w:firstLine="720"/>
        <w:jc w:val="left"/>
      </w:pPr>
      <w:r>
        <w:rPr>
          <w:rFonts w:ascii="Times New Roman" w:hAnsi="Times New Roman" w:eastAsia="Times New Roman" w:cs="Times New Roman"/>
          <w:color w:val="000000"/>
          <w:sz w:val="24"/>
        </w:rPr>
        <w:t>The interface should not reward a lower number every day as though the number were a simple behavior. Body weight changes with hydration, meals, clothing, medication, measurement time, and other factors. Steinberg et al. (2013) found clinically meaningful results from an intervention centered on daily self-weighing with smart-scale and electronic feedback, but that evidence supports a feedback loop rather than a universal color rule. Krukowski et al. (2024a) found mixed evidence about which feedback formats are most effective and reported that weight outcomes were too heterogeneous for a pooled conclusion; a published correction reported a smaller but still significant effect on physical activity (Krukowski et al., 2024b). I therefore treat the adaptive interface as a researched design hypothesis that needs usability and outcome testing, not as a guaranteed health intervention.</w:t>
      </w:r>
    </w:p>
    <w:p>
      <w:pPr>
        <w:keepNext w:val="0"/>
        <w:spacing w:line="480" w:lineRule="auto" w:before="0" w:after="0"/>
        <w:ind w:firstLine="720"/>
        <w:jc w:val="left"/>
      </w:pPr>
      <w:r>
        <w:rPr>
          <w:rFonts w:ascii="Times New Roman" w:hAnsi="Times New Roman" w:eastAsia="Times New Roman" w:cs="Times New Roman"/>
          <w:color w:val="000000"/>
          <w:sz w:val="24"/>
        </w:rPr>
        <w:t>This research changed my original idea. A system that turns green whenever the newest value is lower and red whenever it is higher would be easy to code but psychologically and technically shallow. The revised system evaluates a documented trend, respects the user's goal, explains the comparison, and permits a neutral mode. It reinforces continued engagement without telling the user that a single number is good, bad, healthy, or unhealthy.</w:t>
      </w:r>
    </w:p>
    <w:p>
      <w:pPr>
        <w:keepNext/>
        <w:spacing w:line="480" w:lineRule="auto" w:before="0" w:after="0"/>
        <w:jc w:val="left"/>
      </w:pPr>
      <w:r>
        <w:rPr>
          <w:rFonts w:ascii="Times New Roman" w:hAnsi="Times New Roman" w:eastAsia="Times New Roman" w:cs="Times New Roman"/>
          <w:b/>
          <w:color w:val="000000"/>
          <w:sz w:val="24"/>
        </w:rPr>
        <w:t>Goal-Aware Trend Classification</w:t>
      </w:r>
    </w:p>
    <w:p>
      <w:pPr>
        <w:keepNext w:val="0"/>
        <w:spacing w:line="480" w:lineRule="auto" w:before="0" w:after="0"/>
        <w:ind w:firstLine="720"/>
        <w:jc w:val="left"/>
      </w:pPr>
      <w:r>
        <w:rPr>
          <w:rFonts w:ascii="Times New Roman" w:hAnsi="Times New Roman" w:eastAsia="Times New Roman" w:cs="Times New Roman"/>
          <w:color w:val="000000"/>
          <w:sz w:val="24"/>
        </w:rPr>
        <w:t>The default classifier should compare the mean of the most recent seven calendar days containing measurements with the mean of the preceding seven-day period. The exact minimum sample count and tolerance must be documented. A loss goal classifies a sufficiently lower recent average as progress. A maintenance goal classifies a result inside the selected range as steady progress. A gain goal can classify a sufficiently higher average as progress. If the user has not selected a directional goal, the application should display measurements without a positive or negative judgment.</w:t>
      </w:r>
    </w:p>
    <w:p>
      <w:pPr>
        <w:keepNext w:val="0"/>
        <w:spacing w:line="480" w:lineRule="auto" w:before="0" w:after="0"/>
        <w:ind w:firstLine="720"/>
        <w:jc w:val="left"/>
      </w:pPr>
      <w:r>
        <w:rPr>
          <w:rFonts w:ascii="Times New Roman" w:hAnsi="Times New Roman" w:eastAsia="Times New Roman" w:cs="Times New Roman"/>
          <w:color w:val="000000"/>
          <w:sz w:val="24"/>
        </w:rPr>
        <w:t>The domain service should return a semantic state such as PROGRESS, ATTENTION, STEADY, INSUFFICIENT_DATA, NO_DIRECTIONAL_GOAL, or ADAPTIVE_FEEDBACK_DISABLED. It should also return the signed delta, sample counts, comparison dates, and a plain-language explanation. The Activity or ViewModel can map that result to interface colors, icons, and text. Separating calculation from presentation keeps the business rule testable and prevents a later theme change from altering the meaning of the data.</w:t>
      </w:r>
    </w:p>
    <w:p>
      <w:pPr>
        <w:keepNext w:val="0"/>
        <w:spacing w:line="480" w:lineRule="auto" w:before="0" w:after="0"/>
        <w:ind w:firstLine="720"/>
        <w:jc w:val="left"/>
      </w:pPr>
      <w:r>
        <w:rPr>
          <w:rFonts w:ascii="Times New Roman" w:hAnsi="Times New Roman" w:eastAsia="Times New Roman" w:cs="Times New Roman"/>
          <w:color w:val="000000"/>
          <w:sz w:val="24"/>
        </w:rPr>
        <w:t>The insufficient-data state is especially important. If the current or comparison window does not contain the documented minimum number of measurements, the system should remain neutral and explain that more information is needed. This is more honest than creating a trend from one value. It also gives the user a constructive next step: continue tracking under reasonably consistent conditions.</w:t>
      </w:r>
    </w:p>
    <w:p>
      <w:pPr>
        <w:keepNext/>
        <w:spacing w:line="480" w:lineRule="auto" w:before="0" w:after="0"/>
        <w:jc w:val="left"/>
      </w:pPr>
      <w:r>
        <w:rPr>
          <w:rFonts w:ascii="Times New Roman" w:hAnsi="Times New Roman" w:eastAsia="Times New Roman" w:cs="Times New Roman"/>
          <w:b/>
          <w:color w:val="000000"/>
          <w:sz w:val="24"/>
        </w:rPr>
        <w:t>Accessible Green, Red, and Neutral Interface States</w:t>
      </w:r>
    </w:p>
    <w:p>
      <w:pPr>
        <w:keepNext w:val="0"/>
        <w:spacing w:line="480" w:lineRule="auto" w:before="0" w:after="0"/>
        <w:ind w:firstLine="720"/>
        <w:jc w:val="left"/>
      </w:pPr>
      <w:r>
        <w:rPr>
          <w:rFonts w:ascii="Times New Roman" w:hAnsi="Times New Roman" w:eastAsia="Times New Roman" w:cs="Times New Roman"/>
          <w:color w:val="000000"/>
          <w:sz w:val="24"/>
        </w:rPr>
        <w:t>Color would reinforce meaning rather than carry meaning by itself. The Web Accessibility Initiative (2025) explains that information conveyed by color must also have another visual means. Each state therefore needs a heading, an icon, a signed numeric difference, an explanatory sentence, and an accessible content description. A green or red background that disappears in grayscale must not remove the result.</w:t>
      </w:r>
    </w:p>
    <w:p>
      <w:pPr>
        <w:keepNext w:val="0"/>
        <w:spacing w:line="480" w:lineRule="auto" w:before="0" w:after="0"/>
        <w:ind w:firstLine="720"/>
        <w:jc w:val="left"/>
      </w:pPr>
      <w:r>
        <w:rPr>
          <w:rFonts w:ascii="Times New Roman" w:hAnsi="Times New Roman" w:eastAsia="Times New Roman" w:cs="Times New Roman"/>
          <w:color w:val="000000"/>
          <w:sz w:val="24"/>
        </w:rPr>
        <w:t>The initial palette can use a pale green background (#E8F5E9) with dark green text (#1B5E20) and a pale red background (#FDECEC) with dark red text (#8B1E1E). The approximate contrast ratios are 7.00:1 and 7.99:1, respectively, which exceed the 4.5:1 WCAG 2.2 Level AA threshold for normal text (Web Accessibility Initiative, 2026). The application should also provide a color-blind-safe palette and an option to disable adaptive colors. The overview area can change state without flooding every screen with a saturated warning color.</w:t>
      </w:r>
    </w:p>
    <w:p>
      <w:pPr>
        <w:keepNext w:val="0"/>
        <w:spacing w:line="480" w:lineRule="auto" w:before="0" w:after="0"/>
        <w:ind w:firstLine="720"/>
        <w:jc w:val="left"/>
      </w:pPr>
      <w:r>
        <w:rPr>
          <w:rFonts w:ascii="Times New Roman" w:hAnsi="Times New Roman" w:eastAsia="Times New Roman" w:cs="Times New Roman"/>
          <w:color w:val="000000"/>
          <w:sz w:val="24"/>
        </w:rPr>
        <w:t>The attention state should never use messages such as "You failed" or "Bad week." It should offer a next action: review the chart, add a private note about circumstances, verify measurement consistency, or continue collecting data. The application should not repeatedly notify the user about a higher trend. It should not present public badges, share measurements by default, or assume that weight loss is every user's goal. These constraints turn a visually inventive idea into a responsible product decision.</w:t>
      </w:r>
    </w:p>
    <w:p>
      <w:pPr>
        <w:keepNext/>
        <w:spacing w:line="480" w:lineRule="auto" w:before="0" w:after="0"/>
        <w:jc w:val="left"/>
      </w:pPr>
      <w:r>
        <w:rPr>
          <w:rFonts w:ascii="Times New Roman" w:hAnsi="Times New Roman" w:eastAsia="Times New Roman" w:cs="Times New Roman"/>
          <w:b/>
          <w:color w:val="000000"/>
          <w:sz w:val="24"/>
        </w:rPr>
        <w:t>Commercial Precedent and Bluetooth Interoperability</w:t>
      </w:r>
    </w:p>
    <w:p>
      <w:pPr>
        <w:keepNext w:val="0"/>
        <w:spacing w:line="480" w:lineRule="auto" w:before="0" w:after="0"/>
        <w:ind w:firstLine="720"/>
        <w:jc w:val="left"/>
      </w:pPr>
      <w:r>
        <w:rPr>
          <w:rFonts w:ascii="Times New Roman" w:hAnsi="Times New Roman" w:eastAsia="Times New Roman" w:cs="Times New Roman"/>
          <w:color w:val="000000"/>
          <w:sz w:val="24"/>
        </w:rPr>
        <w:t>Withings provides a commercial precedent for the experience. Its Body+ documentation states that measurements automatically synchronize with the Withings application after a weigh-in and that the transfer can use Wi-Fi or Bluetooth depending on the configuration (Withings, n.d.). This confirms that automatic scale-to-app capture is an established product expectation and gives the Weight Tracker a realistic industry direction.</w:t>
      </w:r>
    </w:p>
    <w:p>
      <w:pPr>
        <w:keepNext w:val="0"/>
        <w:spacing w:line="480" w:lineRule="auto" w:before="0" w:after="0"/>
        <w:ind w:firstLine="720"/>
        <w:jc w:val="left"/>
      </w:pPr>
      <w:r>
        <w:rPr>
          <w:rFonts w:ascii="Times New Roman" w:hAnsi="Times New Roman" w:eastAsia="Times New Roman" w:cs="Times New Roman"/>
          <w:color w:val="000000"/>
          <w:sz w:val="24"/>
        </w:rPr>
        <w:t>The Withings example does not prove that my application can directly read a Withings scale. A commercial product may depend on vendor-controlled pairing, protocols, accounts, or services. Direct integration would require a documented vendor interface, an approved integration, or a standards-based device. Stating that boundary prevents the portfolio from turning a market precedent into an unsupported interoperability claim.</w:t>
      </w:r>
    </w:p>
    <w:p>
      <w:pPr>
        <w:keepNext w:val="0"/>
        <w:spacing w:line="480" w:lineRule="auto" w:before="0" w:after="0"/>
        <w:ind w:firstLine="720"/>
        <w:jc w:val="left"/>
      </w:pPr>
      <w:r>
        <w:rPr>
          <w:rFonts w:ascii="Times New Roman" w:hAnsi="Times New Roman" w:eastAsia="Times New Roman" w:cs="Times New Roman"/>
          <w:color w:val="000000"/>
          <w:sz w:val="24"/>
        </w:rPr>
        <w:t>The Bluetooth Special Interest Group's Weight Scale Service version 1.0.1 provides a standards-based path. The service is intended for consumer healthcare and sports or fitness scales. Its measurement data can include weight and optional timestamp, user ID, body mass index, and height fields (Bluetooth Special Interest Group, 2024). A device adapter could detect support for that service, parse only documented fields, and reject unsupported packets. Vendor-specific behavior would belong in a separate adapter with its own documentation and physical-device tests.</w:t>
      </w:r>
    </w:p>
    <w:p>
      <w:pPr>
        <w:keepNext/>
        <w:spacing w:line="480" w:lineRule="auto" w:before="0" w:after="0"/>
        <w:jc w:val="left"/>
      </w:pPr>
      <w:r>
        <w:rPr>
          <w:rFonts w:ascii="Times New Roman" w:hAnsi="Times New Roman" w:eastAsia="Times New Roman" w:cs="Times New Roman"/>
          <w:b/>
          <w:color w:val="000000"/>
          <w:sz w:val="24"/>
        </w:rPr>
        <w:t>Android, Database, and Security Architecture</w:t>
      </w:r>
    </w:p>
    <w:p>
      <w:pPr>
        <w:keepNext w:val="0"/>
        <w:spacing w:line="480" w:lineRule="auto" w:before="0" w:after="0"/>
        <w:ind w:firstLine="720"/>
        <w:jc w:val="left"/>
      </w:pPr>
      <w:r>
        <w:rPr>
          <w:rFonts w:ascii="Times New Roman" w:hAnsi="Times New Roman" w:eastAsia="Times New Roman" w:cs="Times New Roman"/>
          <w:color w:val="000000"/>
          <w:sz w:val="24"/>
        </w:rPr>
        <w:t>The implementation should separate pairing, packet parsing, normalization, persistence, trend calculation, and presentation. A pairing coordinator would run only after the user selects Connect a Scale. A device adapter would detect a supported service and parse a payload without writing directly to SQLite. A normalization service would convert units and apply the same numeric range rules used for manual entries. An import repository would persist the owner, value, timestamp, source, device, and external identifier in one transaction. A trend service would calculate the semantic state, and a presentation mapper would select text, icons, and accessible colors.</w:t>
      </w:r>
    </w:p>
    <w:p>
      <w:pPr>
        <w:keepNext w:val="0"/>
        <w:spacing w:line="480" w:lineRule="auto" w:before="0" w:after="0"/>
        <w:ind w:firstLine="720"/>
        <w:jc w:val="left"/>
      </w:pPr>
      <w:r>
        <w:rPr>
          <w:rFonts w:ascii="Times New Roman" w:hAnsi="Times New Roman" w:eastAsia="Times New Roman" w:cs="Times New Roman"/>
          <w:color w:val="000000"/>
          <w:sz w:val="24"/>
        </w:rPr>
        <w:t>Android permission behavior is part of the design rather than a last-minute manifest change. On Android 12 and later, BLUETOOTH_SCAN and BLUETOOTH_CONNECT are runtime permissions that require user approval (Android Developers, 2026a). The request should occur when the user starts pairing and explain why Nearby devices access is needed. On supported versions, Companion Device Manager can perform initial discovery on behalf of the application and reduce unnecessary location-permission exposure (Android Developers, 2026b). The final choice depends on the minimum SDK, target device, and protocol.</w:t>
      </w:r>
    </w:p>
    <w:p>
      <w:pPr>
        <w:keepNext w:val="0"/>
        <w:spacing w:line="480" w:lineRule="auto" w:before="0" w:after="0"/>
        <w:ind w:firstLine="720"/>
        <w:jc w:val="left"/>
      </w:pPr>
      <w:r>
        <w:rPr>
          <w:rFonts w:ascii="Times New Roman" w:hAnsi="Times New Roman" w:eastAsia="Times New Roman" w:cs="Times New Roman"/>
          <w:color w:val="000000"/>
          <w:sz w:val="24"/>
        </w:rPr>
        <w:t>The database would add a connected_devices table associated with authenticated user_id and would extend weight_entries with source_type, measured_at, nullable device_id, and nullable external_measurement_id. A unique constraint on user, device, and external measurement identifier would make repeated notifications idempotent. If a protocol lacks a stable identifier, the adapter would need a documented deduplication policy based on protected device identity, timestamp, and normalized value. That policy must avoid merging two legitimate measurements taken close together.</w:t>
      </w:r>
    </w:p>
    <w:p>
      <w:pPr>
        <w:keepNext w:val="0"/>
        <w:spacing w:line="480" w:lineRule="auto" w:before="0" w:after="0"/>
        <w:ind w:firstLine="720"/>
        <w:jc w:val="left"/>
      </w:pPr>
      <w:r>
        <w:rPr>
          <w:rFonts w:ascii="Times New Roman" w:hAnsi="Times New Roman" w:eastAsia="Times New Roman" w:cs="Times New Roman"/>
          <w:color w:val="000000"/>
          <w:sz w:val="24"/>
        </w:rPr>
        <w:t>Bluetooth creates new security and privacy risks. The application should scan for a limited time after explicit user action, require device confirmation, reject malformed lengths and impossible values, and prevent replayed measurements. Pairing a scale does not authorize one account to read another account's history. Every connected device and imported entry remains scoped to the authenticated user ID. Shared-scale user identifiers must be mapped only after confirmation; the software should never assign an unrecognized measurement by guessing.</w:t>
      </w:r>
    </w:p>
    <w:p>
      <w:pPr>
        <w:keepNext w:val="0"/>
        <w:spacing w:line="480" w:lineRule="auto" w:before="0" w:after="0"/>
        <w:ind w:firstLine="720"/>
        <w:jc w:val="left"/>
      </w:pPr>
      <w:r>
        <w:rPr>
          <w:rFonts w:ascii="Times New Roman" w:hAnsi="Times New Roman" w:eastAsia="Times New Roman" w:cs="Times New Roman"/>
          <w:color w:val="000000"/>
          <w:sz w:val="24"/>
        </w:rPr>
        <w:t>Raw hardware addresses should not be retained unless technically unavoidable. A protected stable identifier or non-sensitive alias is preferable. Users need a visible disconnect control, a description of what remains on the device, and a way to remove imported records. Background collection should not be enabled silently. The current local database is not presented as encrypted storage, so production protection of sensitive data at rest remains a documented limitation.</w:t>
      </w:r>
    </w:p>
    <w:p>
      <w:pPr>
        <w:keepNext/>
        <w:spacing w:line="480" w:lineRule="auto" w:before="0" w:after="0"/>
        <w:jc w:val="left"/>
      </w:pPr>
      <w:r>
        <w:rPr>
          <w:rFonts w:ascii="Times New Roman" w:hAnsi="Times New Roman" w:eastAsia="Times New Roman" w:cs="Times New Roman"/>
          <w:b/>
          <w:color w:val="000000"/>
          <w:sz w:val="24"/>
        </w:rPr>
        <w:t>Verification Plan and Completion Criteria</w:t>
      </w:r>
    </w:p>
    <w:p>
      <w:pPr>
        <w:keepNext w:val="0"/>
        <w:spacing w:line="480" w:lineRule="auto" w:before="0" w:after="0"/>
        <w:ind w:firstLine="720"/>
        <w:jc w:val="left"/>
      </w:pPr>
      <w:r>
        <w:rPr>
          <w:rFonts w:ascii="Times New Roman" w:hAnsi="Times New Roman" w:eastAsia="Times New Roman" w:cs="Times New Roman"/>
          <w:color w:val="000000"/>
          <w:sz w:val="24"/>
        </w:rPr>
        <w:t>A polished implementation would need evidence at several levels. Domain tests would cover loss, maintenance, gain, and no-goal modes; tolerance boundaries; exact and insufficient sample counts; pounds-to-kilograms conversion; same-day measurements; time-zone transitions; and disabled adaptive feedback. Repository tests would confirm account ownership, device relationships, source metadata, unique imports, transaction rollback, ordered history, and migration from the current database version.</w:t>
      </w:r>
    </w:p>
    <w:p>
      <w:pPr>
        <w:keepNext w:val="0"/>
        <w:spacing w:line="480" w:lineRule="auto" w:before="0" w:after="0"/>
        <w:ind w:firstLine="720"/>
        <w:jc w:val="left"/>
      </w:pPr>
      <w:r>
        <w:rPr>
          <w:rFonts w:ascii="Times New Roman" w:hAnsi="Times New Roman" w:eastAsia="Times New Roman" w:cs="Times New Roman"/>
          <w:color w:val="000000"/>
          <w:sz w:val="24"/>
        </w:rPr>
        <w:t>Adapter tests would use non-personal fixtures for valid Weight Scale Service packets, optional timestamp and user fields, unsupported flags, truncated data, unexpected units, out-of-range measurements, and repeated packets. Interface tests would confirm that every state remains understandable with color removed, text meets contrast requirements, focus order remains usable, content descriptions report the same result, and adaptive colors can be disabled.</w:t>
      </w:r>
    </w:p>
    <w:p>
      <w:pPr>
        <w:keepNext w:val="0"/>
        <w:spacing w:line="480" w:lineRule="auto" w:before="0" w:after="0"/>
        <w:ind w:firstLine="720"/>
        <w:jc w:val="left"/>
      </w:pPr>
      <w:r>
        <w:rPr>
          <w:rFonts w:ascii="Times New Roman" w:hAnsi="Times New Roman" w:eastAsia="Times New Roman" w:cs="Times New Roman"/>
          <w:color w:val="000000"/>
          <w:sz w:val="24"/>
        </w:rPr>
        <w:t>Physical-device testing is a separate acceptance requirement. The evidence record should identify scale model, firmware, phone model, Android version, protocol, expected value, imported value, latency, duplicate behavior, reconnect behavior, and permission denial or recovery. An emulator can verify parsing, database behavior, and theme mapping, but it cannot prove radio interoperability. The feature should not be called complete until at least one documented supported scale passes the physical acceptance plan.</w:t>
      </w:r>
    </w:p>
    <w:p>
      <w:pPr>
        <w:keepNext/>
        <w:spacing w:line="480" w:lineRule="auto" w:before="0" w:after="0"/>
        <w:jc w:val="left"/>
      </w:pPr>
      <w:r>
        <w:rPr>
          <w:rFonts w:ascii="Times New Roman" w:hAnsi="Times New Roman" w:eastAsia="Times New Roman" w:cs="Times New Roman"/>
          <w:b/>
          <w:color w:val="000000"/>
          <w:sz w:val="24"/>
        </w:rPr>
        <w:t>Effect on Computer Science Practice and Capstone Reflection</w:t>
      </w:r>
    </w:p>
    <w:p>
      <w:pPr>
        <w:keepNext w:val="0"/>
        <w:spacing w:line="480" w:lineRule="auto" w:before="0" w:after="0"/>
        <w:ind w:firstLine="720"/>
        <w:jc w:val="left"/>
      </w:pPr>
      <w:r>
        <w:rPr>
          <w:rFonts w:ascii="Times New Roman" w:hAnsi="Times New Roman" w:eastAsia="Times New Roman" w:cs="Times New Roman"/>
          <w:color w:val="000000"/>
          <w:sz w:val="24"/>
        </w:rPr>
        <w:t>This technology illustrates why disruptive products often make internal systems more complicated while making the visible experience simpler. The user sees a measurement appear automatically. The developer must coordinate wireless communication, operating-system permissions, external data validation, idempotent persistence, account authorization, accessibility, privacy, and behavior-aware language. A decision in one layer affects the others. For example, a device timestamp changes database ordering, trend windows, duplicate detection, and the explanation shown to the user.</w:t>
      </w:r>
    </w:p>
    <w:p>
      <w:pPr>
        <w:keepNext w:val="0"/>
        <w:spacing w:line="480" w:lineRule="auto" w:before="0" w:after="0"/>
        <w:ind w:firstLine="720"/>
        <w:jc w:val="left"/>
      </w:pPr>
      <w:r>
        <w:rPr>
          <w:rFonts w:ascii="Times New Roman" w:hAnsi="Times New Roman" w:eastAsia="Times New Roman" w:cs="Times New Roman"/>
          <w:color w:val="000000"/>
          <w:sz w:val="24"/>
        </w:rPr>
        <w:t>The extension also changes how success should be communicated. A professional engineer must explain where data came from, why a trend received a classification, what the interface communicates, what evidence was executed, and what limitations remain. Withings demonstrates that automatic synchronization exists, but it does not prove direct access from this project. The Bluetooth specification defines interoperable data fields, but it does not prove that a specific scale implements them correctly. Research supports self-monitoring and feedback, but it does not prove that red and green themes will improve health outcomes for every user.</w:t>
      </w:r>
    </w:p>
    <w:p>
      <w:pPr>
        <w:keepNext w:val="0"/>
        <w:spacing w:line="480" w:lineRule="auto" w:before="0" w:after="0"/>
        <w:ind w:firstLine="720"/>
        <w:jc w:val="left"/>
      </w:pPr>
      <w:r>
        <w:rPr>
          <w:rFonts w:ascii="Times New Roman" w:hAnsi="Times New Roman" w:eastAsia="Times New Roman" w:cs="Times New Roman"/>
          <w:color w:val="000000"/>
          <w:sz w:val="24"/>
        </w:rPr>
        <w:t>The most important improvement in my thinking is that an inventive feature is not only an extra screen or technology name. It is a set of explicit responsibilities, trade-offs, safeguards, and tests connected to a real user need. The completed Weight Tracker enhancement demonstrates the database foundation. This Module Six roadmap shows how I would extend it without overstating what is built. That balance between ambition and evidence is part of the professional standard I want the final ePortfolio to demonstrate.</w:t>
      </w:r>
    </w:p>
    <w:p>
      <w:pPr>
        <w:keepNext/>
        <w:spacing w:line="480" w:lineRule="auto" w:before="0" w:after="0"/>
        <w:jc w:val="left"/>
      </w:pPr>
      <w:r>
        <w:rPr>
          <w:rFonts w:ascii="Times New Roman" w:hAnsi="Times New Roman" w:eastAsia="Times New Roman" w:cs="Times New Roman"/>
          <w:b/>
          <w:color w:val="000000"/>
          <w:sz w:val="24"/>
        </w:rPr>
        <w:t>References</w:t>
      </w:r>
    </w:p>
    <w:p>
      <w:pPr>
        <w:keepNext w:val="0"/>
        <w:spacing w:line="480" w:lineRule="auto" w:before="0" w:after="0"/>
        <w:ind w:left="720" w:hanging="720"/>
        <w:jc w:val="left"/>
      </w:pPr>
      <w:r>
        <w:rPr>
          <w:rFonts w:ascii="Times New Roman" w:hAnsi="Times New Roman" w:eastAsia="Times New Roman" w:cs="Times New Roman"/>
          <w:color w:val="000000"/>
          <w:sz w:val="24"/>
        </w:rPr>
        <w:t>Android Developers. (2026a). Bluetooth permissions. https://developer.android.com/develop/connectivity/bluetooth/bt-permissions</w:t>
      </w:r>
    </w:p>
    <w:p>
      <w:pPr>
        <w:keepNext w:val="0"/>
        <w:spacing w:line="480" w:lineRule="auto" w:before="0" w:after="0"/>
        <w:ind w:left="720" w:hanging="720"/>
        <w:jc w:val="left"/>
      </w:pPr>
      <w:r>
        <w:rPr>
          <w:rFonts w:ascii="Times New Roman" w:hAnsi="Times New Roman" w:eastAsia="Times New Roman" w:cs="Times New Roman"/>
          <w:color w:val="000000"/>
          <w:sz w:val="24"/>
        </w:rPr>
        <w:t>Android Developers. (2026b). Companion device pairing. https://developer.android.com/develop/connectivity/bluetooth/companion-device-pairing</w:t>
      </w:r>
    </w:p>
    <w:p>
      <w:pPr>
        <w:keepNext w:val="0"/>
        <w:spacing w:line="480" w:lineRule="auto" w:before="0" w:after="0"/>
        <w:ind w:left="720" w:hanging="720"/>
        <w:jc w:val="left"/>
      </w:pPr>
      <w:r>
        <w:rPr>
          <w:rFonts w:ascii="Times New Roman" w:hAnsi="Times New Roman" w:eastAsia="Times New Roman" w:cs="Times New Roman"/>
          <w:color w:val="000000"/>
          <w:sz w:val="24"/>
        </w:rPr>
        <w:t>Bluetooth Special Interest Group. (2024). Weight Scale Service (Version 1.0.1). https://www.bluetooth.com/wp-content/uploads/Files/Specification/HTML/WSS_v1.0.1/out/en/index-en.html</w:t>
      </w:r>
    </w:p>
    <w:p>
      <w:pPr>
        <w:keepNext w:val="0"/>
        <w:spacing w:line="480" w:lineRule="auto" w:before="0" w:after="0"/>
        <w:ind w:left="720" w:hanging="720"/>
        <w:jc w:val="left"/>
      </w:pPr>
      <w:r>
        <w:rPr>
          <w:rFonts w:ascii="Times New Roman" w:hAnsi="Times New Roman" w:eastAsia="Times New Roman" w:cs="Times New Roman"/>
          <w:color w:val="000000"/>
          <w:sz w:val="24"/>
        </w:rPr>
        <w:t>Burke, L. E., Wang, J., &amp; Sevick, M. A. (2011). Self-monitoring in weight loss: A systematic review of the literature. Journal of the American Dietetic Association, 111(1), 92-102. https://doi.org/10.1016/j.jada.2010.10.008</w:t>
      </w:r>
    </w:p>
    <w:p>
      <w:pPr>
        <w:keepNext w:val="0"/>
        <w:spacing w:line="480" w:lineRule="auto" w:before="0" w:after="0"/>
        <w:ind w:left="720" w:hanging="720"/>
        <w:jc w:val="left"/>
      </w:pPr>
      <w:r>
        <w:rPr>
          <w:rFonts w:ascii="Times New Roman" w:hAnsi="Times New Roman" w:eastAsia="Times New Roman" w:cs="Times New Roman"/>
          <w:color w:val="000000"/>
          <w:sz w:val="24"/>
        </w:rPr>
        <w:t>Butryn, M. L., Phelan, S., Hill, J. O., &amp; Wing, R. R. (2007). Consistent self-monitoring of weight: A key component of successful weight loss maintenance. Obesity, 15(12), 3091-3096. https://doi.org/10.1038/oby.2007.368</w:t>
      </w:r>
    </w:p>
    <w:p>
      <w:pPr>
        <w:keepNext w:val="0"/>
        <w:spacing w:line="480" w:lineRule="auto" w:before="0" w:after="0"/>
        <w:ind w:left="720" w:hanging="720"/>
        <w:jc w:val="left"/>
      </w:pPr>
      <w:r>
        <w:rPr>
          <w:rFonts w:ascii="Times New Roman" w:hAnsi="Times New Roman" w:eastAsia="Times New Roman" w:cs="Times New Roman"/>
          <w:color w:val="000000"/>
          <w:sz w:val="24"/>
        </w:rPr>
        <w:t>Krukowski, R. A., Denton, A. H., &amp; König, L. M. (2024a). Impact of feedback generation and presentation on self-monitoring behaviors, dietary intake, physical activity, and weight: A systematic review and meta-analysis. International Journal of Behavioral Nutrition and Physical Activity, 21, Article 3. https://doi.org/10.1186/s12966-023-01555-6</w:t>
      </w:r>
    </w:p>
    <w:p>
      <w:pPr>
        <w:spacing w:line="480" w:lineRule="auto" w:before="0" w:after="0"/>
      </w:pPr>
      <w:r>
        <w:rPr>
          <w:rFonts w:ascii="Times New Roman" w:hAnsi="Times New Roman" w:eastAsia="Times New Roman" w:cs="Times New Roman"/>
          <w:sz w:val="24"/>
        </w:rPr>
        <w:t>Krukowski, R. A., Denton, A. H., &amp; König, L. M. (2024b). Correction: Impact of feedback generation and presentation on self-monitoring behaviors, dietary intake, physical activity, and weight: A systematic review and meta-analysis. International Journal of Behavioral Nutrition and Physical Activity, 21, Article 20. https://doi.org/10.1186/s12966-024-01569-8</w:t>
      </w:r>
    </w:p>
    <w:p>
      <w:pPr>
        <w:keepNext w:val="0"/>
        <w:spacing w:line="480" w:lineRule="auto" w:before="0" w:after="0"/>
        <w:ind w:left="720" w:hanging="720"/>
        <w:jc w:val="left"/>
      </w:pPr>
      <w:r>
        <w:rPr>
          <w:rFonts w:ascii="Times New Roman" w:hAnsi="Times New Roman" w:eastAsia="Times New Roman" w:cs="Times New Roman"/>
          <w:color w:val="000000"/>
          <w:sz w:val="24"/>
        </w:rPr>
        <w:t>Steinberg, D. M., Tate, D. F., Bennett, G. G., Ennett, S., Samuel-Hodge, C., &amp; Ward, D. S. (2013). The efficacy of a daily self-weighing weight loss intervention using smart scales and e-mail. Obesity, 21(9), 1789-1797. https://doi.org/10.1002/oby.20396</w:t>
      </w:r>
    </w:p>
    <w:p>
      <w:pPr>
        <w:keepNext w:val="0"/>
        <w:spacing w:line="480" w:lineRule="auto" w:before="0" w:after="0"/>
        <w:ind w:left="720" w:hanging="720"/>
        <w:jc w:val="left"/>
      </w:pPr>
      <w:r>
        <w:rPr>
          <w:rFonts w:ascii="Times New Roman" w:hAnsi="Times New Roman" w:eastAsia="Times New Roman" w:cs="Times New Roman"/>
          <w:color w:val="000000"/>
          <w:sz w:val="24"/>
        </w:rPr>
        <w:t>Web Accessibility Initiative. (2025). Understanding Success Criterion 1.4.1: Use of color. World Wide Web Consortium. https://www.w3.org/WAI/WCAG22/Understanding/use-of-color.html</w:t>
      </w:r>
    </w:p>
    <w:p>
      <w:pPr>
        <w:keepNext w:val="0"/>
        <w:spacing w:line="480" w:lineRule="auto" w:before="0" w:after="0"/>
        <w:ind w:left="720" w:hanging="720"/>
        <w:jc w:val="left"/>
      </w:pPr>
      <w:r>
        <w:rPr>
          <w:rFonts w:ascii="Times New Roman" w:hAnsi="Times New Roman" w:eastAsia="Times New Roman" w:cs="Times New Roman"/>
          <w:color w:val="000000"/>
          <w:sz w:val="24"/>
        </w:rPr>
        <w:t>Web Accessibility Initiative. (2026). Understanding Success Criterion 1.4.3: Contrast (minimum). World Wide Web Consortium. https://www.w3.org/WAI/WCAG22/Understanding/contrast-minimum.html</w:t>
      </w:r>
    </w:p>
    <w:p>
      <w:pPr>
        <w:keepNext w:val="0"/>
        <w:spacing w:line="480" w:lineRule="auto" w:before="0" w:after="0"/>
        <w:ind w:left="720" w:hanging="720"/>
        <w:jc w:val="left"/>
      </w:pPr>
      <w:r>
        <w:rPr>
          <w:rFonts w:ascii="Times New Roman" w:hAnsi="Times New Roman" w:eastAsia="Times New Roman" w:cs="Times New Roman"/>
          <w:color w:val="000000"/>
          <w:sz w:val="24"/>
        </w:rPr>
        <w:t>Withings. (n.d.). Body+: Syncing my data. https://support.withings.com/hc/en-us/articles/219050907-Body-Syncing-my-data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line="480" w:lineRule="auto" w:before="0" w:after="0"/>
      <w:jc w:val="right"/>
    </w:pPr>
    <w:r>
      <w:rPr>
        <w:rFonts w:ascii="Times New Roman" w:hAnsi="Times New Roman" w:eastAsia="Times New Roman" w:cs="Times New Roman"/>
        <w:sz w:val="24"/>
      </w:rPr>
      <w:t xml:space="preserve">Page </w:t>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line="480" w:lineRule="auto" w:before="0" w:after="0"/>
      <w:jc w:val="right"/>
    </w:pPr>
    <w:r>
      <w:rPr>
        <w:rFonts w:ascii="Times New Roman" w:hAnsi="Times New Roman" w:eastAsia="Times New Roman" w:cs="Times New Roman"/>
        <w:sz w:val="24"/>
      </w:rPr>
      <w:t>Madison Parker | CS 499 Module Six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before="0"/>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480" w:lineRule="auto" w:before="0"/>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outlineLvl w:val="3"/>
    </w:pPr>
    <w:rPr>
      <w:rFonts w:asciiTheme="majorHAnsi" w:eastAsiaTheme="majorEastAsia" w:hAnsiTheme="majorHAnsi"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outlineLvl w:val="4"/>
    </w:pPr>
    <w:rPr>
      <w:rFonts w:asciiTheme="majorHAnsi" w:eastAsiaTheme="majorEastAsia" w:hAnsiTheme="majorHAnsi"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0" w:after="0" w:line="480" w:lineRule="auto"/>
      <w:outlineLvl w:val="5"/>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0" w:after="0" w:line="480" w:lineRule="auto"/>
      <w:outlineLvl w:val="6"/>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0" w:after="0" w:line="480" w:lineRule="auto"/>
      <w:outlineLvl w:val="7"/>
    </w:pPr>
    <w:rPr>
      <w:rFonts w:asciiTheme="majorHAnsi" w:eastAsiaTheme="majorEastAsia" w:hAnsiTheme="majorHAnsi"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0" w:line="480" w:lineRule="auto"/>
      <w:outlineLvl w:val="8"/>
    </w:pPr>
    <w:rPr>
      <w:rFonts w:asciiTheme="majorHAnsi" w:eastAsiaTheme="majorEastAsia" w:hAnsiTheme="majorHAnsi" w:cstheme="majorBidi"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pPr>
      <w:spacing w:line="480" w:lineRule="auto" w:before="0" w:after="0"/>
    </w:pPr>
    <w:rPr>
      <w:rFonts w:ascii="Times New Roman" w:hAnsi="Times New Roman" w:eastAsia="Times New Roman" w:cs="Times New Roman"/>
      <w:color w:val="000000"/>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before="0"/>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line="480" w:lineRule="auto" w:before="0" w:after="0"/>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line="480" w:lineRule="auto" w:before="0" w:after="0"/>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0" w:line="480" w:lineRule="auto" w:before="0"/>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0" w:line="480" w:lineRule="auto" w:before="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spacing w:line="480" w:lineRule="auto" w:before="0" w:after="0"/>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spacing w:line="480" w:lineRule="auto" w:before="0" w:after="0"/>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spacing w:line="480" w:lineRule="auto" w:before="0" w:after="0"/>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spacing w:line="480" w:lineRule="auto" w:before="0" w:after="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spacing w:line="480" w:lineRule="auto" w:before="0" w:after="0"/>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spacing w:line="480" w:lineRule="auto" w:before="0" w:after="0"/>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spacing w:line="480" w:lineRule="auto" w:before="0" w:after="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spacing w:line="480" w:lineRule="auto" w:before="0" w:after="0"/>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spacing w:line="480" w:lineRule="auto" w:before="0" w:after="0"/>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0" w:line="480" w:lineRule="auto" w:before="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0" w:line="480" w:lineRule="auto" w:before="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0" w:line="480" w:lineRule="auto" w:before="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before="0" w:after="0"/>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pPr>
      <w:spacing w:line="480" w:lineRule="auto" w:before="0" w:after="0"/>
    </w:pPr>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480" w:lineRule="auto" w:before="0" w:after="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480" w:lineRule="auto"/>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spacing w:line="480" w:lineRule="auto" w:before="0" w:after="0"/>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480" w:lineRule="auto" w:before="0"/>
    </w:pPr>
    <w:rPr>
      <w:rFonts w:ascii="Times New Roman" w:hAnsi="Times New Roman" w:eastAsia="Times New Roman" w:cs="Times New Roman"/>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before="0"/>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before="0"/>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Module Six Journal: Disruptive Technology and Behavior-Aware Mobile Health</dc:title>
  <dc:subject>CS 499 Computer Science Capstone ePortfolio</dc:subject>
  <dc:creator>Madison Parker</dc:creator>
  <cp:keywords>CS 499, computer science, ePortfolio</cp:keywords>
  <dc:description/>
  <cp:lastModifiedBy>Madison Parker</cp:lastModifiedBy>
  <cp:revision>1</cp:revision>
  <dcterms:created xsi:type="dcterms:W3CDTF">2026-08-03T00:00:00Z</dcterms:created>
  <dcterms:modified xsi:type="dcterms:W3CDTF">2026-08-03T18:00:00Z</dcterms:modified>
  <cp:category>Academic portfolio</cp:category>
</cp:coreProperties>
</file>