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CYBER INSURANCE</w:t>
      </w:r>
    </w:p>
    <w:p>
      <w:r>
        <w:rPr>
          <w:rFonts w:ascii="Georgia" w:hAnsi="Georgia" w:eastAsia="Georgia"/>
          <w:b/>
          <w:i w:val="0"/>
          <w:sz w:val="60"/>
        </w:rPr>
        <w:t>Policy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1.5.0-DRAFT · November 2026 · CC BY 4.0 (wording text only)</w:t>
      </w:r>
    </w:p>
    <w:p>
      <w:r>
        <w:rPr>
          <w:rFonts w:ascii="Consolas" w:hAnsi="Consolas" w:eastAsia="Consolas"/>
          <w:b w:val="0"/>
          <w:i w:val="0"/>
          <w:sz w:val="18"/>
        </w:rPr>
        <w:t>Document ref 2026/CY/0002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cy_about"/>
      <w:r>
        <w:rPr>
          <w:rFonts w:ascii="Georgia" w:hAnsi="Georgia" w:eastAsia="Georgia"/>
          <w:b/>
          <w:i w:val="0"/>
          <w:color w:val="1C1915"/>
          <w:sz w:val="32"/>
        </w:rPr>
        <w:t>About This Policy</w:t>
      </w:r>
      <w:bookmarkEnd w:id="0"/>
    </w:p>
    <w:p>
      <w:r>
        <w:rPr>
          <w:b w:val="0"/>
          <w:i w:val="0"/>
        </w:rPr>
        <w:t xml:space="preserve">This policy protects your business from the financial consequences of cyber incidents. It covers both the direct costs you incur (first-party cover, in </w:t>
      </w:r>
      <w:hyperlink w:anchor="c_cy_section_first_party">
        <w:r>
          <w:rPr>
            <w:color w:val="2E5C4E"/>
            <w:u w:val="single"/>
          </w:rPr>
          <w:t xml:space="preserve">the What Is Covered — Your Own Losses (First Party) section</w:t>
        </w:r>
      </w:hyperlink>
      <w:r>
        <w:rPr>
          <w:b w:val="0"/>
          <w:i w:val="0"/>
        </w:rPr>
        <w:t xml:space="preserve">) and the claims others make against you (third-party cover, in </w:t>
      </w:r>
      <w:hyperlink w:anchor="c_cy_section_third_party">
        <w:r>
          <w:rPr>
            <w:color w:val="2E5C4E"/>
            <w:u w:val="single"/>
          </w:rPr>
          <w:t xml:space="preserve">the What Is Covered — Claims by Others (Third Party) section</w:t>
        </w:r>
      </w:hyperlink>
      <w:r>
        <w:rPr>
          <w:b w:val="0"/>
          <w:i w:val="0"/>
        </w:rPr>
        <w:t>).</w:t>
      </w:r>
    </w:p>
    <w:p>
      <w:r>
        <w:rPr>
          <w:b w:val="0"/>
          <w:i w:val="0"/>
        </w:rPr>
        <w:t>Cyber incidents can move fast. If you experience one, contact our incident response team immediately — their details are in your schedule. Do not wait to file a formal claim. Early response often determines the outcome.</w:t>
      </w:r>
    </w:p>
    <w:p>
      <w:r>
        <w:rPr>
          <w:b w:val="0"/>
          <w:i w:val="0"/>
        </w:rPr>
        <w:t xml:space="preserve">This policy, together with your schedule and any endorsements, forms your contract of insurance with us. Words shown in </w:t>
      </w:r>
      <w:r>
        <w:rPr>
          <w:b/>
          <w:i w:val="0"/>
        </w:rPr>
        <w:t>bold</w:t>
      </w:r>
      <w:r>
        <w:rPr>
          <w:b w:val="0"/>
          <w:i w:val="0"/>
        </w:rPr>
        <w:t xml:space="preserve"> have special meanings — you will find their definitions in </w:t>
      </w:r>
      <w:hyperlink w:anchor="c_cy_section_definitions">
        <w:r>
          <w:rPr>
            <w:color w:val="2E5C4E"/>
            <w:u w:val="single"/>
          </w:rPr>
          <w:t xml:space="preserve">the Definitions section</w:t>
        </w:r>
      </w:hyperlink>
      <w:r>
        <w:rPr>
          <w:b w:val="0"/>
          <w:i w:val="0"/>
        </w:rPr>
        <w:t>.</w:t>
      </w:r>
    </w:p>
    <w:p>
      <w:r>
        <w:rPr>
          <w:b/>
          <w:i w:val="0"/>
        </w:rPr>
        <w:t>A note on "reasonable".</w:t>
      </w:r>
      <w:r>
        <w:rPr>
          <w:b w:val="0"/>
          <w:i w:val="0"/>
        </w:rPr>
        <w:t xml:space="preserve"> Where this policy uses "reasonable" or "reasonably", it means reasonable having regard to the circumstances known at the time, including the nature and scale of the cyber event, privacy breach, or claim, and current market practice at that time.</w:t>
      </w:r>
    </w:p>
    <w:p>
      <w:r>
        <w:rPr>
          <w:b w:val="0"/>
          <w:i w:val="0"/>
        </w:rPr>
        <w:t xml:space="preserve">Before this policy was entered into, you were given written notice, as required by s.40(1) of the Insurance Contracts Act 1984 (Cth), of the effect of s.40(3) (see </w:t>
      </w:r>
      <w:hyperlink w:anchor="c_cy_obl_notify_circumstances">
        <w:r>
          <w:rPr>
            <w:color w:val="2E5C4E"/>
            <w:u w:val="single"/>
          </w:rPr>
          <w:t xml:space="preserve">the Notify Us of Circumstances obligation</w:t>
        </w:r>
      </w:hyperlink>
      <w:r>
        <w:rPr>
          <w:b w:val="0"/>
          <w:i w:val="0"/>
        </w:rPr>
        <w:t>).</w:t>
      </w:r>
    </w:p>
    <w:p>
      <w:bookmarkStart w:id="1" w:name="c_cy_version_history"/>
      <w:r>
        <w:rPr>
          <w:rFonts w:ascii="Georgia" w:hAnsi="Georgia" w:eastAsia="Georgia"/>
          <w:b/>
          <w:i w:val="0"/>
          <w:color w:val="1C1915"/>
          <w:sz w:val="32"/>
        </w:rPr>
        <w:t>Version and Document History</w:t>
      </w:r>
      <w:bookmarkEnd w:id="1"/>
    </w:p>
    <w:p>
      <w:r>
        <w:rPr>
          <w:b w:val="0"/>
          <w:i w:val="0"/>
        </w:rPr>
        <w:t>This document is version-controlled. The version and date shown on the cover page and in the footer of each page govern this text. The version stated in your schedule as current at inception applies for the life of your policy period, unless your schedule or an endorsement states otherwise.</w:t>
      </w:r>
    </w:p>
    <w:p>
      <w:r>
        <w:rPr>
          <w:b w:val="0"/>
          <w:i w:val="0"/>
        </w:rPr>
        <w:t>This is the first release of the Meridian Cyber wording built from clause source in the Commons. It replaces version 1.3.0 (July 2026) and brings the endorsement library (2026/CY/0003 v1.0.0, written for version 1.1.0) into this document. Changes from version 1.3.0:</w:t>
      </w:r>
    </w:p>
    <w:p>
      <w:pPr>
        <w:pStyle w:val="ListBullet"/>
      </w:pPr>
      <w:r>
        <w:rPr>
          <w:b w:val="0"/>
          <w:i w:val="0"/>
        </w:rPr>
        <w:t>Clause numbers are removed. Each clause is identified by its heading, and every cross-reference that used a section number is now a link to the clause it names. Jurisdiction and Service of Suit is now headed Territory and Jurisdiction, and Appendix A is now the guide How to Respond to a Cyber Incident.</w:t>
      </w:r>
    </w:p>
    <w:p>
      <w:pPr>
        <w:pStyle w:val="ListBullet"/>
      </w:pPr>
      <w:r>
        <w:rPr>
          <w:b w:val="0"/>
          <w:i w:val="0"/>
        </w:rPr>
        <w:t>Territory: cover applies to cyber events, dependent events and privacy breaches wherever they occur, but the third-party covers apply only to claims brought, and regulatory proceedings commenced, in Australia or New Zealand, unless the schedule names another country. Claims in the United States and Canada stay excluded unless Endorsement E11 applies.</w:t>
      </w:r>
    </w:p>
    <w:p>
      <w:pPr>
        <w:pStyle w:val="ListBullet"/>
      </w:pPr>
      <w:r>
        <w:rPr>
          <w:b w:val="0"/>
          <w:i w:val="0"/>
        </w:rPr>
        <w:t>Funds transfer fraud and social engineering fraud now share one sub-limit shown in the schedule.</w:t>
      </w:r>
    </w:p>
    <w:p>
      <w:pPr>
        <w:pStyle w:val="ListBullet"/>
      </w:pPr>
      <w:r>
        <w:rPr>
          <w:b w:val="0"/>
          <w:i w:val="0"/>
        </w:rPr>
        <w:t>New definition of Funds, which states that cryptocurrency and other digital assets are not funds unless Endorsement E06 applies. Version 1.3.0 was silent on digital assets.</w:t>
      </w:r>
    </w:p>
    <w:p>
      <w:pPr>
        <w:pStyle w:val="ListBullet"/>
      </w:pPr>
      <w:r>
        <w:rPr>
          <w:b w:val="0"/>
          <w:i w:val="0"/>
        </w:rPr>
        <w:t>New definitions of Ransomware, used by Endorsement E16, and Extended reporting period.</w:t>
      </w:r>
    </w:p>
    <w:p>
      <w:pPr>
        <w:pStyle w:val="ListBullet"/>
      </w:pPr>
      <w:r>
        <w:rPr>
          <w:b w:val="0"/>
          <w:i w:val="0"/>
        </w:rPr>
        <w:t>New general condition, Insurance Contracts Act 1984 (Cth): nothing in the policy excludes, restricts or modifies the Act, and s.54 applies to every obligation and to the first-party discovery and notice time limits.</w:t>
      </w:r>
    </w:p>
    <w:p>
      <w:pPr>
        <w:pStyle w:val="ListBullet"/>
      </w:pPr>
      <w:r>
        <w:rPr>
          <w:b w:val="0"/>
          <w:i w:val="0"/>
        </w:rPr>
        <w:t>About This Policy now records the s.40(1) notice of the effect of s.40(3).</w:t>
      </w:r>
    </w:p>
    <w:p>
      <w:pPr>
        <w:pStyle w:val="ListBullet"/>
      </w:pPr>
      <w:r>
        <w:rPr>
          <w:b w:val="0"/>
          <w:i w:val="0"/>
        </w:rPr>
        <w:t>Wording Partner review tags are added on the social engineering verification paragraph, the Other Insurance clause, and reinsurance conformity of the war exclusion.</w:t>
      </w:r>
    </w:p>
    <w:p>
      <w:pPr>
        <w:pStyle w:val="ListBullet"/>
      </w:pPr>
      <w:r>
        <w:rPr>
          <w:b w:val="0"/>
          <w:i w:val="0"/>
        </w:rPr>
        <w:t>The endorsement library is now part of this wording, with 16 endorsements, each with operative text, schedule variables and a platform trigger. Every endorsement was checked against this version, with these results.</w:t>
      </w:r>
    </w:p>
    <w:p>
      <w:pPr>
        <w:pStyle w:val="ListBullet"/>
      </w:pPr>
      <w:r>
        <w:rPr>
          <w:b w:val="0"/>
          <w:i w:val="0"/>
        </w:rPr>
        <w:t>E01 refers to the automatic extended reporting period by its heading, and covers dependent events.</w:t>
      </w:r>
    </w:p>
    <w:p>
      <w:pPr>
        <w:pStyle w:val="ListBullet"/>
      </w:pPr>
      <w:r>
        <w:rPr>
          <w:b w:val="0"/>
          <w:i w:val="0"/>
        </w:rPr>
        <w:t>E03 and E06 reduce payment under s.54 for a missed control instead of stating a condition of cover.</w:t>
      </w:r>
    </w:p>
    <w:p>
      <w:pPr>
        <w:pStyle w:val="ListBullet"/>
      </w:pPr>
      <w:r>
        <w:rPr>
          <w:b w:val="0"/>
          <w:i w:val="0"/>
        </w:rPr>
        <w:t>E04 keeps cover at the standard sub-limit when verification is not performed, so verification remains a limit on the increase, not a condition of cover.</w:t>
      </w:r>
    </w:p>
    <w:p>
      <w:pPr>
        <w:pStyle w:val="ListBullet"/>
      </w:pPr>
      <w:r>
        <w:rPr>
          <w:b w:val="0"/>
          <w:i w:val="0"/>
        </w:rPr>
        <w:t>E06 is re-anchored to Funds Transfer Fraud. Version 1.0.0 anchored it to the social engineering cover, which requires an impersonation and so would rarely have responded to a theft of digital assets.</w:t>
      </w:r>
    </w:p>
    <w:p>
      <w:pPr>
        <w:pStyle w:val="ListBullet"/>
      </w:pPr>
      <w:r>
        <w:rPr>
          <w:b w:val="0"/>
          <w:i w:val="0"/>
        </w:rPr>
        <w:t>E07 now has its own retroactive date and lifts the Professional Services exclusion for its cover.</w:t>
      </w:r>
    </w:p>
    <w:p>
      <w:pPr>
        <w:pStyle w:val="ListBullet"/>
      </w:pPr>
      <w:r>
        <w:rPr>
          <w:b w:val="0"/>
          <w:i w:val="0"/>
        </w:rPr>
        <w:t>E08 is anchored to the first-party section; version 1.0.0 referred to a cyber crime section the wording does not have.</w:t>
      </w:r>
    </w:p>
    <w:p>
      <w:pPr>
        <w:pStyle w:val="ListBullet"/>
      </w:pPr>
      <w:r>
        <w:rPr>
          <w:b w:val="0"/>
          <w:i w:val="0"/>
        </w:rPr>
        <w:t>E11 writes back the Territory and Jurisdiction condition, which replaced the jurisdictional limitation version 1.0.0 deleted.</w:t>
      </w:r>
    </w:p>
    <w:p>
      <w:pPr>
        <w:pStyle w:val="ListBullet"/>
      </w:pPr>
      <w:r>
        <w:rPr>
          <w:b w:val="0"/>
          <w:i w:val="0"/>
        </w:rPr>
        <w:t>E13 and E14 each carry their own waiting period.</w:t>
      </w:r>
    </w:p>
    <w:p>
      <w:pPr>
        <w:pStyle w:val="ListBullet"/>
      </w:pPr>
      <w:r>
        <w:rPr>
          <w:b w:val="0"/>
          <w:i w:val="0"/>
        </w:rPr>
        <w:t>New E16 Ransomware Exclusion removes cyber extortion cover and first-party ransomware loss (except incident response costs) where multi-factor authentication or tested offline backups are missing.</w:t>
      </w:r>
    </w:p>
    <w:p>
      <w:pPr>
        <w:pStyle w:val="ListBullet"/>
      </w:pPr>
      <w:r>
        <w:rPr>
          <w:b w:val="0"/>
          <w:i w:val="0"/>
        </w:rPr>
        <w:t>The endorsement library's licence is now CC BY 4.0, in line with the rest of the Commons; version 1.0.0 was published under CC BY-SA 4.0.</w:t>
      </w:r>
    </w:p>
    <w:p>
      <w:bookmarkStart w:id="2" w:name="c_cy_distribution_note"/>
      <w:r>
        <w:rPr>
          <w:rFonts w:ascii="Georgia" w:hAnsi="Georgia" w:eastAsia="Georgia"/>
          <w:b/>
          <w:i w:val="0"/>
          <w:color w:val="1C1915"/>
          <w:sz w:val="32"/>
        </w:rPr>
        <w:t>Who This Policy Is For</w:t>
      </w:r>
      <w:bookmarkEnd w:id="2"/>
    </w:p>
    <w:p>
      <w:r>
        <w:rPr>
          <w:b w:val="0"/>
          <w:i w:val="0"/>
        </w:rPr>
        <w:t>This wording is written for businesses and professionals. Some buyers, such as small businesses, may be retail clients under the Corporations Act 2001 (Cth). Where a buyer is a retail client, the issuer must give a Product Disclosure Statement and make a Target Market Determination available. This wording is not itself a Product Disclosure Statement.</w:t>
      </w:r>
    </w:p>
    <w:p>
      <w:bookmarkStart w:id="3" w:name="c_cy_schedule"/>
      <w:r>
        <w:rPr>
          <w:rFonts w:ascii="Georgia" w:hAnsi="Georgia" w:eastAsia="Georgia"/>
          <w:b/>
          <w:i w:val="0"/>
          <w:color w:val="1C1915"/>
          <w:sz w:val="32"/>
        </w:rPr>
        <w:t>Schedule</w:t>
      </w:r>
      <w:bookmarkEnd w:id="3"/>
    </w:p>
    <w:p>
      <w:r>
        <w:rPr>
          <w:b w:val="0"/>
          <w:i w:val="0"/>
        </w:rPr>
        <w:t>(Completed separately for each policy — contains your specific details.)</w:t>
      </w:r>
    </w:p>
    <w:p>
      <w:r>
        <w:rPr>
          <w:b w:val="0"/>
          <w:i w:val="0"/>
        </w:rPr>
        <w:t>The schedule shows:</w:t>
      </w:r>
    </w:p>
    <w:p>
      <w:pPr>
        <w:pStyle w:val="ListBullet"/>
      </w:pPr>
      <w:r>
        <w:rPr>
          <w:b w:val="0"/>
          <w:i w:val="0"/>
        </w:rPr>
        <w:t>Who is insured</w:t>
      </w:r>
    </w:p>
    <w:p>
      <w:pPr>
        <w:pStyle w:val="ListBullet"/>
      </w:pPr>
      <w:r>
        <w:rPr>
          <w:b w:val="0"/>
          <w:i w:val="0"/>
        </w:rPr>
        <w:t>The policy period (start and end dates)</w:t>
      </w:r>
    </w:p>
    <w:p>
      <w:pPr>
        <w:pStyle w:val="ListBullet"/>
      </w:pPr>
      <w:r>
        <w:rPr>
          <w:b w:val="0"/>
          <w:i w:val="0"/>
        </w:rPr>
        <w:t xml:space="preserve">The governing law state or territory (see </w:t>
      </w:r>
      <w:hyperlink w:anchor="c_cy_cond_governing_law">
        <w:r>
          <w:rPr>
            <w:color w:val="2E5C4E"/>
            <w:u w:val="single"/>
          </w:rPr>
          <w:t xml:space="preserve">the Governing Law condition</w:t>
        </w:r>
      </w:hyperlink>
      <w:r>
        <w:rPr>
          <w:b w:val="0"/>
          <w:i w:val="0"/>
        </w:rPr>
        <w:t>)</w:t>
      </w:r>
    </w:p>
    <w:p>
      <w:pPr>
        <w:pStyle w:val="ListBullet"/>
      </w:pPr>
      <w:r>
        <w:rPr>
          <w:b w:val="0"/>
          <w:i w:val="0"/>
        </w:rPr>
        <w:t>The retroactive date</w:t>
      </w:r>
    </w:p>
    <w:p>
      <w:pPr>
        <w:pStyle w:val="ListBullet"/>
      </w:pPr>
      <w:r>
        <w:rPr>
          <w:b w:val="0"/>
          <w:i w:val="0"/>
        </w:rPr>
        <w:t>The limit of liability and any sub-limits</w:t>
      </w:r>
    </w:p>
    <w:p>
      <w:pPr>
        <w:pStyle w:val="ListBullet"/>
      </w:pPr>
      <w:r>
        <w:rPr>
          <w:b w:val="0"/>
          <w:i w:val="0"/>
        </w:rPr>
        <w:t>The excess for each section</w:t>
      </w:r>
    </w:p>
    <w:p>
      <w:pPr>
        <w:pStyle w:val="ListBullet"/>
      </w:pPr>
      <w:r>
        <w:rPr>
          <w:b w:val="0"/>
          <w:i w:val="0"/>
        </w:rPr>
        <w:t>The waiting period for business interruption cover</w:t>
      </w:r>
    </w:p>
    <w:p>
      <w:pPr>
        <w:pStyle w:val="ListBullet"/>
      </w:pPr>
      <w:r>
        <w:rPr>
          <w:b w:val="0"/>
          <w:i w:val="0"/>
        </w:rPr>
        <w:t>The indemnity period for business interruption cover</w:t>
      </w:r>
    </w:p>
    <w:p>
      <w:pPr>
        <w:pStyle w:val="ListBullet"/>
      </w:pPr>
      <w:r>
        <w:rPr>
          <w:b w:val="0"/>
          <w:i w:val="0"/>
        </w:rPr>
        <w:t xml:space="preserve">The widespread event sub-limit and threshold, if </w:t>
      </w:r>
      <w:hyperlink w:anchor="c_cy_pay_widespread_events">
        <w:r>
          <w:rPr>
            <w:color w:val="2E5C4E"/>
            <w:u w:val="single"/>
          </w:rPr>
          <w:t xml:space="preserve">the Widespread Events provision</w:t>
        </w:r>
      </w:hyperlink>
      <w:r>
        <w:rPr>
          <w:b w:val="0"/>
          <w:i w:val="0"/>
        </w:rPr>
        <w:t xml:space="preserve"> is operative</w:t>
      </w:r>
    </w:p>
    <w:p>
      <w:pPr>
        <w:pStyle w:val="ListBullet"/>
      </w:pPr>
      <w:r>
        <w:rPr>
          <w:b w:val="0"/>
          <w:i w:val="0"/>
        </w:rPr>
        <w:t>Incident response team contact details</w:t>
      </w:r>
    </w:p>
    <w:p>
      <w:pPr>
        <w:pStyle w:val="ListBullet"/>
      </w:pPr>
      <w:r>
        <w:rPr>
          <w:b w:val="0"/>
          <w:i w:val="0"/>
        </w:rPr>
        <w:t>The premium (including stamp duty and GST)</w:t>
      </w:r>
    </w:p>
    <w:p>
      <w:pPr>
        <w:pStyle w:val="ListBullet"/>
      </w:pPr>
      <w:r>
        <w:rPr>
          <w:b w:val="0"/>
          <w:i w:val="0"/>
        </w:rPr>
        <w:t>Which sections are operative (marked "Included")</w:t>
      </w:r>
    </w:p>
    <w:p>
      <w:pPr>
        <w:pStyle w:val="ListBullet"/>
      </w:pPr>
      <w:r>
        <w:rPr>
          <w:b w:val="0"/>
          <w:i w:val="0"/>
        </w:rPr>
        <w:t>Any endorsements, and the variables shown for each</w:t>
      </w:r>
    </w:p>
    <w:p>
      <w:bookmarkStart w:id="4" w:name="c_cy_section_definitions"/>
      <w:r>
        <w:rPr>
          <w:rFonts w:ascii="Georgia" w:hAnsi="Georgia" w:eastAsia="Georgia"/>
          <w:b/>
          <w:i w:val="0"/>
          <w:color w:val="1C1915"/>
          <w:sz w:val="32"/>
        </w:rPr>
        <w:t>Definitions</w:t>
      </w:r>
      <w:bookmarkEnd w:id="4"/>
    </w:p>
    <w:p>
      <w:r>
        <w:rPr>
          <w:b w:val="0"/>
          <w:i w:val="0"/>
        </w:rPr>
        <w:t xml:space="preserve">When the following words appear in </w:t>
      </w:r>
      <w:r>
        <w:rPr>
          <w:b/>
          <w:i w:val="0"/>
        </w:rPr>
        <w:t>bold</w:t>
      </w:r>
      <w:r>
        <w:rPr>
          <w:b w:val="0"/>
          <w:i w:val="0"/>
        </w:rPr>
        <w:t xml:space="preserve"> in this policy, they have the meanings set out below.</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5" w:name="c_cy_def_claim"/>
            <w:r>
              <w:rPr>
                <w:b/>
                <w:i w:val="0"/>
              </w:rPr>
              <w:t>Claim</w:t>
            </w:r>
            <w:bookmarkEnd w:id="5"/>
          </w:p>
        </w:tc>
        <w:tc>
          <w:tcPr>
            <w:tcW w:type="dxa" w:w="6803"/>
          </w:tcPr>
          <w:p>
            <w:r>
              <w:rPr>
                <w:b w:val="0"/>
                <w:i w:val="0"/>
              </w:rPr>
              <w:t xml:space="preserve">means any written demand for compensation, any writ, summons, or legal proceeding, or any formal regulatory investigation or proceeding, made or commenced against you during the policy period arising from a cyber event or privacy breach. Two or more claims arising from related events (see </w:t>
            </w:r>
            <w:hyperlink w:anchor="c_cy_def_related_events">
              <w:r>
                <w:rPr>
                  <w:color w:val="2E5C4E"/>
                  <w:u w:val="single"/>
                </w:rPr>
                <w:t xml:space="preserve">the definition of Related events</w:t>
              </w:r>
            </w:hyperlink>
            <w:r>
              <w:rPr>
                <w:b w:val="0"/>
                <w:i w:val="0"/>
              </w:rPr>
              <w:t>) are treated as a single claim first made when the earliest was first made.</w:t>
            </w:r>
          </w:p>
        </w:tc>
      </w:tr>
      <w:tr>
        <w:tc>
          <w:tcPr>
            <w:tcW w:type="dxa" w:w="2608"/>
          </w:tcPr>
          <w:p>
            <w:bookmarkStart w:id="6" w:name="c_cy_def_company"/>
            <w:r>
              <w:rPr>
                <w:b/>
                <w:i w:val="0"/>
              </w:rPr>
              <w:t>Company</w:t>
            </w:r>
            <w:bookmarkEnd w:id="6"/>
          </w:p>
        </w:tc>
        <w:tc>
          <w:tcPr>
            <w:tcW w:type="dxa" w:w="6803"/>
          </w:tcPr>
          <w:p>
            <w:r>
              <w:rPr>
                <w:b w:val="0"/>
                <w:i w:val="0"/>
              </w:rPr>
              <w:t>means the entity named as the named insured in the schedule, and any subsidiary.</w:t>
            </w:r>
          </w:p>
        </w:tc>
      </w:tr>
      <w:tr>
        <w:tc>
          <w:tcPr>
            <w:tcW w:type="dxa" w:w="2608"/>
          </w:tcPr>
          <w:p>
            <w:bookmarkStart w:id="7" w:name="c_cy_def_computer_system"/>
            <w:r>
              <w:rPr>
                <w:b/>
                <w:i w:val="0"/>
              </w:rPr>
              <w:t>Computer system</w:t>
            </w:r>
            <w:bookmarkEnd w:id="7"/>
          </w:p>
        </w:tc>
        <w:tc>
          <w:tcPr>
            <w:tcW w:type="dxa" w:w="6803"/>
          </w:tcPr>
          <w:p>
            <w:r>
              <w:rPr>
                <w:b w:val="0"/>
                <w:i w:val="0"/>
              </w:rPr>
              <w:t xml:space="preserve">means any computer, server, network, hardware, software, firmware, data storage system, cloud service, hosted platform, website, application, or communications system that is: (a) owned or leased by you; or (b) operated by you or on your behalf. </w:t>
            </w:r>
            <w:r>
              <w:rPr>
                <w:b/>
                <w:i w:val="0"/>
              </w:rPr>
              <w:t>A system operated by a service provider under a written contract with you is not your computer system.</w:t>
            </w:r>
            <w:r>
              <w:rPr>
                <w:b w:val="0"/>
                <w:i w:val="0"/>
              </w:rPr>
              <w:t xml:space="preserve"> Loss or interruption caused by an event affecting a service provider's systems is not a cyber event for the purposes of </w:t>
            </w:r>
            <w:hyperlink w:anchor="c_cy_cover_business_interruption">
              <w:r>
                <w:rPr>
                  <w:color w:val="2E5C4E"/>
                  <w:u w:val="single"/>
                </w:rPr>
                <w:t xml:space="preserve">the Business Interruption clause</w:t>
              </w:r>
            </w:hyperlink>
            <w:r>
              <w:rPr>
                <w:b w:val="0"/>
                <w:i w:val="0"/>
              </w:rPr>
              <w:t xml:space="preserve">, </w:t>
            </w:r>
            <w:hyperlink w:anchor="c_cy_cover_data_restoration">
              <w:r>
                <w:rPr>
                  <w:color w:val="2E5C4E"/>
                  <w:u w:val="single"/>
                </w:rPr>
                <w:t xml:space="preserve">the Data and System Restoration clause</w:t>
              </w:r>
            </w:hyperlink>
            <w:r>
              <w:rPr>
                <w:b w:val="0"/>
                <w:i w:val="0"/>
              </w:rPr>
              <w:t xml:space="preserve"> or </w:t>
            </w:r>
            <w:hyperlink w:anchor="c_cy_cover_network_security_liability">
              <w:r>
                <w:rPr>
                  <w:color w:val="2E5C4E"/>
                  <w:u w:val="single"/>
                </w:rPr>
                <w:t xml:space="preserve">the Network Security Liability clause</w:t>
              </w:r>
            </w:hyperlink>
            <w:r>
              <w:rPr>
                <w:b w:val="0"/>
                <w:i w:val="0"/>
              </w:rPr>
              <w:t xml:space="preserve">, and is covered only under </w:t>
            </w:r>
            <w:hyperlink w:anchor="c_cy_ext_dependent_business_interruption">
              <w:r>
                <w:rPr>
                  <w:color w:val="2E5C4E"/>
                  <w:u w:val="single"/>
                </w:rPr>
                <w:t xml:space="preserve">the Dependent Business Interruption extension</w:t>
              </w:r>
            </w:hyperlink>
            <w:r>
              <w:rPr>
                <w:b w:val="0"/>
                <w:i w:val="0"/>
              </w:rPr>
              <w:t xml:space="preserve">, or another extension of this policy that expressly says so — see </w:t>
            </w:r>
            <w:hyperlink w:anchor="c_cy_def_dependent_event">
              <w:r>
                <w:rPr>
                  <w:color w:val="2E5C4E"/>
                  <w:u w:val="single"/>
                </w:rPr>
                <w:t xml:space="preserve">the definition of Dependent event</w:t>
              </w:r>
            </w:hyperlink>
            <w:r>
              <w:rPr>
                <w:b w:val="0"/>
                <w:i w:val="0"/>
              </w:rPr>
              <w:t>.</w:t>
            </w:r>
          </w:p>
        </w:tc>
      </w:tr>
      <w:tr>
        <w:tc>
          <w:tcPr>
            <w:tcW w:type="dxa" w:w="2608"/>
          </w:tcPr>
          <w:p>
            <w:bookmarkStart w:id="8" w:name="c_cy_def_control_group"/>
            <w:r>
              <w:rPr>
                <w:b/>
                <w:i w:val="0"/>
              </w:rPr>
              <w:t>Control group</w:t>
            </w:r>
            <w:bookmarkEnd w:id="8"/>
          </w:p>
        </w:tc>
        <w:tc>
          <w:tcPr>
            <w:tcW w:type="dxa" w:w="6803"/>
          </w:tcPr>
          <w:p>
            <w:r>
              <w:rPr>
                <w:b w:val="0"/>
                <w:i w:val="0"/>
              </w:rPr>
              <w:t>means the company's chief executive officer, chief financial officer, general counsel, head of risk or insurance, and directors, or a person performing an equivalent role.</w:t>
            </w:r>
          </w:p>
        </w:tc>
      </w:tr>
      <w:tr>
        <w:tc>
          <w:tcPr>
            <w:tcW w:type="dxa" w:w="2608"/>
          </w:tcPr>
          <w:p>
            <w:bookmarkStart w:id="9" w:name="c_cy_def_cyber_event"/>
            <w:r>
              <w:rPr>
                <w:b/>
                <w:i w:val="0"/>
              </w:rPr>
              <w:t>Cyber event</w:t>
            </w:r>
            <w:bookmarkEnd w:id="9"/>
          </w:p>
        </w:tc>
        <w:tc>
          <w:tcPr>
            <w:tcW w:type="dxa" w:w="6803"/>
          </w:tcPr>
          <w:p>
            <w:r>
              <w:rPr>
                <w:b w:val="0"/>
                <w:i w:val="0"/>
              </w:rPr>
              <w:t xml:space="preserve">means: (a) any </w:t>
            </w:r>
            <w:r>
              <w:rPr>
                <w:b/>
                <w:i w:val="0"/>
              </w:rPr>
              <w:t>unauthorised</w:t>
            </w:r>
            <w:r>
              <w:rPr>
                <w:b w:val="0"/>
                <w:i w:val="0"/>
              </w:rPr>
              <w:t xml:space="preserve"> access to, or </w:t>
            </w:r>
            <w:r>
              <w:rPr>
                <w:b/>
                <w:i w:val="0"/>
              </w:rPr>
              <w:t>unauthorised</w:t>
            </w:r>
            <w:r>
              <w:rPr>
                <w:b w:val="0"/>
                <w:i w:val="0"/>
              </w:rPr>
              <w:t xml:space="preserve"> use of, your computer system; (b) any malware, ransomware, virus, trojan, worm, or other malicious code that affects your computer system; (c) any denial-of-service attack directed at your computer system; (d) any system failure of your computer system; or (e) any theft, loss, or unauthorised disclosure of data. A cyber event does not include the planned shutdown, maintenance, or upgrade of your computer system.</w:t>
            </w:r>
          </w:p>
        </w:tc>
      </w:tr>
      <w:tr>
        <w:tc>
          <w:tcPr>
            <w:tcW w:type="dxa" w:w="2608"/>
          </w:tcPr>
          <w:p>
            <w:bookmarkStart w:id="10" w:name="c_cy_def_cyber_extortion_threat"/>
            <w:r>
              <w:rPr>
                <w:b/>
                <w:i w:val="0"/>
              </w:rPr>
              <w:t>Cyber extortion threat</w:t>
            </w:r>
            <w:bookmarkEnd w:id="10"/>
          </w:p>
        </w:tc>
        <w:tc>
          <w:tcPr>
            <w:tcW w:type="dxa" w:w="6803"/>
          </w:tcPr>
          <w:p>
            <w:r>
              <w:rPr>
                <w:b w:val="0"/>
                <w:i w:val="0"/>
              </w:rPr>
              <w:t>means a credible threat made against you during the policy period to: (a) introduce malware into, or disrupt the operation of, your computer system; (b) corrupt, damage, destroy, or restrict access to your data; (c) publish, release, or misuse your data or your clients' data; or (d) cause any other damage to your business using electronic means, unless you pay a ransom or meet other demands.</w:t>
            </w:r>
          </w:p>
        </w:tc>
      </w:tr>
      <w:tr>
        <w:tc>
          <w:tcPr>
            <w:tcW w:type="dxa" w:w="2608"/>
          </w:tcPr>
          <w:p>
            <w:bookmarkStart w:id="11" w:name="c_cy_def_data"/>
            <w:r>
              <w:rPr>
                <w:b/>
                <w:i w:val="0"/>
              </w:rPr>
              <w:t>Data</w:t>
            </w:r>
            <w:bookmarkEnd w:id="11"/>
          </w:p>
        </w:tc>
        <w:tc>
          <w:tcPr>
            <w:tcW w:type="dxa" w:w="6803"/>
          </w:tcPr>
          <w:p>
            <w:r>
              <w:rPr>
                <w:b w:val="0"/>
                <w:i w:val="0"/>
              </w:rPr>
              <w:t>means any information stored electronically on a computer system (including a computer system operated by a service provider) or held in your physical possession, including personal information, confidential business information, financial records, intellectual property, and any other digital records.</w:t>
            </w:r>
          </w:p>
        </w:tc>
      </w:tr>
      <w:tr>
        <w:tc>
          <w:tcPr>
            <w:tcW w:type="dxa" w:w="2608"/>
          </w:tcPr>
          <w:p>
            <w:bookmarkStart w:id="12" w:name="c_cy_def_defence_costs"/>
            <w:r>
              <w:rPr>
                <w:b/>
                <w:i w:val="0"/>
              </w:rPr>
              <w:t>Defence costs</w:t>
            </w:r>
            <w:bookmarkEnd w:id="12"/>
          </w:p>
        </w:tc>
        <w:tc>
          <w:tcPr>
            <w:tcW w:type="dxa" w:w="6803"/>
          </w:tcPr>
          <w:p>
            <w:r>
              <w:rPr>
                <w:b w:val="0"/>
                <w:i w:val="0"/>
              </w:rPr>
              <w:t>means the reasonable legal costs and expenses incurred with our prior written consent in investigating, defending, or settling a claim. We will not unreasonably withhold or delay our consent.</w:t>
            </w:r>
          </w:p>
        </w:tc>
      </w:tr>
      <w:tr>
        <w:tc>
          <w:tcPr>
            <w:tcW w:type="dxa" w:w="2608"/>
          </w:tcPr>
          <w:p>
            <w:bookmarkStart w:id="13" w:name="c_cy_def_dependent_event"/>
            <w:r>
              <w:rPr>
                <w:b/>
                <w:i w:val="0"/>
              </w:rPr>
              <w:t>Dependent event</w:t>
            </w:r>
            <w:bookmarkEnd w:id="13"/>
          </w:p>
        </w:tc>
        <w:tc>
          <w:tcPr>
            <w:tcW w:type="dxa" w:w="6803"/>
          </w:tcPr>
          <w:p>
            <w:r>
              <w:rPr>
                <w:b w:val="0"/>
                <w:i w:val="0"/>
              </w:rPr>
              <w:t xml:space="preserve">means </w:t>
            </w:r>
            <w:r>
              <w:rPr>
                <w:b/>
                <w:i w:val="0"/>
              </w:rPr>
              <w:t>unauthorised</w:t>
            </w:r>
            <w:r>
              <w:rPr>
                <w:b w:val="0"/>
                <w:i w:val="0"/>
              </w:rPr>
              <w:t xml:space="preserve"> access to, or </w:t>
            </w:r>
            <w:r>
              <w:rPr>
                <w:b/>
                <w:i w:val="0"/>
              </w:rPr>
              <w:t>unauthorised</w:t>
            </w:r>
            <w:r>
              <w:rPr>
                <w:b w:val="0"/>
                <w:i w:val="0"/>
              </w:rPr>
              <w:t xml:space="preserve"> use of, a service provider's systems; malware, ransomware, virus, trojan, worm, or other malicious code affecting a service provider's systems; a denial-of-service attack directed at a service provider's systems; or an unplanned outage or failure of a service provider's systems caused by human error, accidental misconfiguration, power surge, or unintentional software defect, that is not caused by a malicious external act. A dependent event does not include the planned shutdown, maintenance, or upgrade of a service provider's systems.</w:t>
            </w:r>
          </w:p>
        </w:tc>
      </w:tr>
      <w:tr>
        <w:tc>
          <w:tcPr>
            <w:tcW w:type="dxa" w:w="2608"/>
          </w:tcPr>
          <w:p>
            <w:bookmarkStart w:id="14" w:name="c_cy_def_digital_media_content"/>
            <w:r>
              <w:rPr>
                <w:b/>
                <w:i w:val="0"/>
              </w:rPr>
              <w:t>Digital media content</w:t>
            </w:r>
            <w:bookmarkEnd w:id="14"/>
          </w:p>
        </w:tc>
        <w:tc>
          <w:tcPr>
            <w:tcW w:type="dxa" w:w="6803"/>
          </w:tcPr>
          <w:p>
            <w:r>
              <w:rPr>
                <w:b w:val="0"/>
                <w:i w:val="0"/>
              </w:rPr>
              <w:t>means content you publish electronically, including on your website, social media accounts, email communications, newsletters, blogs, podcasts, or online advertising — but only content published in connection with your business.</w:t>
            </w:r>
          </w:p>
        </w:tc>
      </w:tr>
      <w:tr>
        <w:tc>
          <w:tcPr>
            <w:tcW w:type="dxa" w:w="2608"/>
          </w:tcPr>
          <w:p>
            <w:bookmarkStart w:id="15" w:name="c_cy_def_employee"/>
            <w:r>
              <w:rPr>
                <w:b/>
                <w:i w:val="0"/>
              </w:rPr>
              <w:t>Employee</w:t>
            </w:r>
            <w:bookmarkEnd w:id="15"/>
          </w:p>
        </w:tc>
        <w:tc>
          <w:tcPr>
            <w:tcW w:type="dxa" w:w="6803"/>
          </w:tcPr>
          <w:p>
            <w:r>
              <w:rPr>
                <w:b w:val="0"/>
                <w:i w:val="0"/>
              </w:rPr>
              <w:t>means any natural person who works for you under a contract of employment, including permanent, fixed-term, and casual employees. It includes volunteers and interns. It does not include independent contractors.</w:t>
            </w:r>
          </w:p>
        </w:tc>
      </w:tr>
      <w:tr>
        <w:tc>
          <w:tcPr>
            <w:tcW w:type="dxa" w:w="2608"/>
          </w:tcPr>
          <w:p>
            <w:bookmarkStart w:id="16" w:name="c_cy_def_endorsement"/>
            <w:r>
              <w:rPr>
                <w:b/>
                <w:i w:val="0"/>
              </w:rPr>
              <w:t>Endorsement</w:t>
            </w:r>
            <w:bookmarkEnd w:id="16"/>
          </w:p>
        </w:tc>
        <w:tc>
          <w:tcPr>
            <w:tcW w:type="dxa" w:w="6803"/>
          </w:tcPr>
          <w:p>
            <w:r>
              <w:rPr>
                <w:b w:val="0"/>
                <w:i w:val="0"/>
              </w:rPr>
              <w:t>means a document attached to this policy that changes its terms.</w:t>
            </w:r>
          </w:p>
        </w:tc>
      </w:tr>
      <w:tr>
        <w:tc>
          <w:tcPr>
            <w:tcW w:type="dxa" w:w="2608"/>
          </w:tcPr>
          <w:p>
            <w:bookmarkStart w:id="17" w:name="c_cy_def_excess"/>
            <w:r>
              <w:rPr>
                <w:b/>
                <w:i w:val="0"/>
              </w:rPr>
              <w:t>Excess</w:t>
            </w:r>
            <w:bookmarkEnd w:id="17"/>
          </w:p>
        </w:tc>
        <w:tc>
          <w:tcPr>
            <w:tcW w:type="dxa" w:w="6803"/>
          </w:tcPr>
          <w:p>
            <w:r>
              <w:rPr>
                <w:b w:val="0"/>
                <w:i w:val="0"/>
              </w:rPr>
              <w:t>means the amount shown in the schedule that you must pay as the first part of each claim or insured loss. The excess may differ by section.</w:t>
            </w:r>
          </w:p>
        </w:tc>
      </w:tr>
      <w:tr>
        <w:tc>
          <w:tcPr>
            <w:tcW w:type="dxa" w:w="2608"/>
          </w:tcPr>
          <w:p>
            <w:bookmarkStart w:id="18" w:name="c_cy_def_extended_reporting_period"/>
            <w:r>
              <w:rPr>
                <w:b/>
                <w:i w:val="0"/>
              </w:rPr>
              <w:t>Extended reporting period</w:t>
            </w:r>
            <w:bookmarkEnd w:id="18"/>
          </w:p>
        </w:tc>
        <w:tc>
          <w:tcPr>
            <w:tcW w:type="dxa" w:w="6803"/>
          </w:tcPr>
          <w:p>
            <w:r>
              <w:rPr>
                <w:b w:val="0"/>
                <w:i w:val="0"/>
              </w:rPr>
              <w:t xml:space="preserve">means the period after the end of the policy period in which you may notify us of a claim, under </w:t>
            </w:r>
            <w:hyperlink w:anchor="c_cy_cond_cancellation">
              <w:r>
                <w:rPr>
                  <w:color w:val="2E5C4E"/>
                  <w:u w:val="single"/>
                </w:rPr>
                <w:t xml:space="preserve">the Cancellation and Extended Reporting condition</w:t>
              </w:r>
            </w:hyperlink>
            <w:r>
              <w:rPr>
                <w:b w:val="0"/>
                <w:i w:val="0"/>
              </w:rPr>
              <w:t xml:space="preserve"> or </w:t>
            </w:r>
            <w:hyperlink w:anchor="c_cy_end_e01">
              <w:r>
                <w:rPr>
                  <w:color w:val="2E5C4E"/>
                  <w:u w:val="single"/>
                </w:rPr>
                <w:t xml:space="preserve">the E01 Extended Reporting Period endorsement</w:t>
              </w:r>
            </w:hyperlink>
            <w:r>
              <w:rPr>
                <w:b w:val="0"/>
                <w:i w:val="0"/>
              </w:rPr>
              <w:t>.</w:t>
            </w:r>
          </w:p>
        </w:tc>
      </w:tr>
      <w:tr>
        <w:tc>
          <w:tcPr>
            <w:tcW w:type="dxa" w:w="2608"/>
          </w:tcPr>
          <w:p>
            <w:bookmarkStart w:id="19" w:name="c_cy_def_extra_expense"/>
            <w:r>
              <w:rPr>
                <w:b/>
                <w:i w:val="0"/>
              </w:rPr>
              <w:t>Extra expense</w:t>
            </w:r>
            <w:bookmarkEnd w:id="19"/>
          </w:p>
        </w:tc>
        <w:tc>
          <w:tcPr>
            <w:tcW w:type="dxa" w:w="6803"/>
          </w:tcPr>
          <w:p>
            <w:r>
              <w:rPr>
                <w:b w:val="0"/>
                <w:i w:val="0"/>
              </w:rPr>
              <w:t>means the reasonable and necessary costs you incur, beyond your normal operating expenses, to continue your business operations during a business interruption caused by a cyber event or a dependent event.</w:t>
            </w:r>
          </w:p>
        </w:tc>
      </w:tr>
      <w:tr>
        <w:tc>
          <w:tcPr>
            <w:tcW w:type="dxa" w:w="2608"/>
          </w:tcPr>
          <w:p>
            <w:bookmarkStart w:id="20" w:name="c_cy_def_funds"/>
            <w:r>
              <w:rPr>
                <w:b/>
                <w:i w:val="0"/>
              </w:rPr>
              <w:t>Funds</w:t>
            </w:r>
            <w:bookmarkEnd w:id="20"/>
          </w:p>
        </w:tc>
        <w:tc>
          <w:tcPr>
            <w:tcW w:type="dxa" w:w="6803"/>
          </w:tcPr>
          <w:p>
            <w:r>
              <w:rPr>
                <w:b w:val="0"/>
                <w:i w:val="0"/>
              </w:rPr>
              <w:t xml:space="preserve">means money, securities and negotiable instruments held in an account in your name at a financial institution. Funds do not include cryptocurrency or other digital assets, unless </w:t>
            </w:r>
            <w:hyperlink w:anchor="c_cy_end_e06">
              <w:r>
                <w:rPr>
                  <w:color w:val="2E5C4E"/>
                  <w:u w:val="single"/>
                </w:rPr>
                <w:t xml:space="preserve">the E06 Digital Asset Theft endorsement</w:t>
              </w:r>
            </w:hyperlink>
            <w:r>
              <w:rPr>
                <w:b w:val="0"/>
                <w:i w:val="0"/>
              </w:rPr>
              <w:t xml:space="preserve"> is shown in the schedule.</w:t>
            </w:r>
          </w:p>
        </w:tc>
      </w:tr>
      <w:tr>
        <w:tc>
          <w:tcPr>
            <w:tcW w:type="dxa" w:w="2608"/>
          </w:tcPr>
          <w:p>
            <w:bookmarkStart w:id="21" w:name="c_cy_def_indemnity_period"/>
            <w:r>
              <w:rPr>
                <w:b/>
                <w:i w:val="0"/>
              </w:rPr>
              <w:t>Indemnity period</w:t>
            </w:r>
            <w:bookmarkEnd w:id="21"/>
          </w:p>
        </w:tc>
        <w:tc>
          <w:tcPr>
            <w:tcW w:type="dxa" w:w="6803"/>
          </w:tcPr>
          <w:p>
            <w:r>
              <w:rPr>
                <w:b w:val="0"/>
                <w:i w:val="0"/>
              </w:rPr>
              <w:t>means the period shown in the schedule, starting from the date of the cyber event or dependent event, during which we will measure your net income loss and extra expense.</w:t>
            </w:r>
          </w:p>
        </w:tc>
      </w:tr>
      <w:tr>
        <w:tc>
          <w:tcPr>
            <w:tcW w:type="dxa" w:w="2608"/>
          </w:tcPr>
          <w:p>
            <w:bookmarkStart w:id="22" w:name="c_cy_def_insured_loss"/>
            <w:r>
              <w:rPr>
                <w:b/>
                <w:i w:val="0"/>
              </w:rPr>
              <w:t>Insured loss</w:t>
            </w:r>
            <w:bookmarkEnd w:id="22"/>
          </w:p>
        </w:tc>
        <w:tc>
          <w:tcPr>
            <w:tcW w:type="dxa" w:w="6803"/>
          </w:tcPr>
          <w:p>
            <w:r>
              <w:rPr>
                <w:b w:val="0"/>
                <w:i w:val="0"/>
              </w:rPr>
              <w:t xml:space="preserve">means a loss, cost, or expense payable to you under </w:t>
            </w:r>
            <w:hyperlink w:anchor="c_cy_section_first_party">
              <w:r>
                <w:rPr>
                  <w:color w:val="2E5C4E"/>
                  <w:u w:val="single"/>
                </w:rPr>
                <w:t xml:space="preserve">the What Is Covered — Your Own Losses (First Party) section</w:t>
              </w:r>
            </w:hyperlink>
            <w:r>
              <w:rPr>
                <w:b w:val="0"/>
                <w:i w:val="0"/>
              </w:rPr>
              <w:t xml:space="preserve">. Two or more insured losses arising from related events (see </w:t>
            </w:r>
            <w:hyperlink w:anchor="c_cy_def_related_events">
              <w:r>
                <w:rPr>
                  <w:color w:val="2E5C4E"/>
                  <w:u w:val="single"/>
                </w:rPr>
                <w:t xml:space="preserve">the definition of Related events</w:t>
              </w:r>
            </w:hyperlink>
            <w:r>
              <w:rPr>
                <w:b w:val="0"/>
                <w:i w:val="0"/>
              </w:rPr>
              <w:t xml:space="preserve">) are treated as a single </w:t>
            </w:r>
            <w:r>
              <w:rPr>
                <w:b/>
                <w:i w:val="0"/>
              </w:rPr>
              <w:t>insured loss</w:t>
            </w:r>
            <w:r>
              <w:rPr>
                <w:b w:val="0"/>
                <w:i w:val="0"/>
              </w:rPr>
              <w:t xml:space="preserve"> first discovered when the earliest of them was first discovered.</w:t>
            </w:r>
          </w:p>
        </w:tc>
      </w:tr>
      <w:tr>
        <w:tc>
          <w:tcPr>
            <w:tcW w:type="dxa" w:w="2608"/>
          </w:tcPr>
          <w:p>
            <w:bookmarkStart w:id="23" w:name="c_cy_def_insured_person"/>
            <w:r>
              <w:rPr>
                <w:b/>
                <w:i w:val="0"/>
              </w:rPr>
              <w:t>Insured person</w:t>
            </w:r>
            <w:bookmarkEnd w:id="23"/>
          </w:p>
        </w:tc>
        <w:tc>
          <w:tcPr>
            <w:tcW w:type="dxa" w:w="6803"/>
          </w:tcPr>
          <w:p>
            <w:r>
              <w:rPr>
                <w:b w:val="0"/>
                <w:i w:val="0"/>
              </w:rPr>
              <w:t>means any past, present, or future partner, principal, director, officer, company secretary, or employee of the company.</w:t>
            </w:r>
          </w:p>
        </w:tc>
      </w:tr>
      <w:tr>
        <w:tc>
          <w:tcPr>
            <w:tcW w:type="dxa" w:w="2608"/>
          </w:tcPr>
          <w:p>
            <w:bookmarkStart w:id="24" w:name="c_cy_def_limit_of_liability"/>
            <w:r>
              <w:rPr>
                <w:b/>
                <w:i w:val="0"/>
              </w:rPr>
              <w:t>Limit of liability</w:t>
            </w:r>
            <w:bookmarkEnd w:id="24"/>
          </w:p>
        </w:tc>
        <w:tc>
          <w:tcPr>
            <w:tcW w:type="dxa" w:w="6803"/>
          </w:tcPr>
          <w:p>
            <w:r>
              <w:rPr>
                <w:b w:val="0"/>
                <w:i w:val="0"/>
              </w:rPr>
              <w:t>means the amount shown in the schedule, which is the most we will pay for all losses, costs, and claims combined during the policy period.</w:t>
            </w:r>
          </w:p>
        </w:tc>
      </w:tr>
      <w:tr>
        <w:tc>
          <w:tcPr>
            <w:tcW w:type="dxa" w:w="2608"/>
          </w:tcPr>
          <w:p>
            <w:bookmarkStart w:id="25" w:name="c_cy_def_named_insured"/>
            <w:r>
              <w:rPr>
                <w:b/>
                <w:i w:val="0"/>
              </w:rPr>
              <w:t>Named insured</w:t>
            </w:r>
            <w:bookmarkEnd w:id="25"/>
          </w:p>
        </w:tc>
        <w:tc>
          <w:tcPr>
            <w:tcW w:type="dxa" w:w="6803"/>
          </w:tcPr>
          <w:p>
            <w:r>
              <w:rPr>
                <w:b w:val="0"/>
                <w:i w:val="0"/>
              </w:rPr>
              <w:t>means the entity shown as the named insured in the schedule.</w:t>
            </w:r>
          </w:p>
        </w:tc>
      </w:tr>
      <w:tr>
        <w:tc>
          <w:tcPr>
            <w:tcW w:type="dxa" w:w="2608"/>
          </w:tcPr>
          <w:p>
            <w:bookmarkStart w:id="26" w:name="c_cy_def_net_income_loss"/>
            <w:r>
              <w:rPr>
                <w:b/>
                <w:i w:val="0"/>
              </w:rPr>
              <w:t>Net income loss</w:t>
            </w:r>
            <w:bookmarkEnd w:id="26"/>
          </w:p>
        </w:tc>
        <w:tc>
          <w:tcPr>
            <w:tcW w:type="dxa" w:w="6803"/>
          </w:tcPr>
          <w:p>
            <w:r>
              <w:rPr>
                <w:b w:val="0"/>
                <w:i w:val="0"/>
              </w:rPr>
              <w:t>means the reduction in your net revenue, after deducting costs and expenses that do not continue during the interruption, directly caused by a cyber event or a dependent event. We calculate this by comparing your actual revenue during the interruption against what you would reasonably have earned had the cyber event or dependent event not occurred.</w:t>
            </w:r>
          </w:p>
        </w:tc>
      </w:tr>
      <w:tr>
        <w:tc>
          <w:tcPr>
            <w:tcW w:type="dxa" w:w="2608"/>
          </w:tcPr>
          <w:p>
            <w:bookmarkStart w:id="27" w:name="c_cy_def_personal_information"/>
            <w:r>
              <w:rPr>
                <w:b/>
                <w:i w:val="0"/>
              </w:rPr>
              <w:t>Personal information</w:t>
            </w:r>
            <w:bookmarkEnd w:id="27"/>
          </w:p>
        </w:tc>
        <w:tc>
          <w:tcPr>
            <w:tcW w:type="dxa" w:w="6803"/>
          </w:tcPr>
          <w:p>
            <w:r>
              <w:rPr>
                <w:b w:val="0"/>
                <w:i w:val="0"/>
              </w:rPr>
              <w:t>means information about an identified or identifiable individual, as defined in the Privacy Act 1988 (Cth) and any equivalent state, territory, or foreign law.</w:t>
            </w:r>
          </w:p>
        </w:tc>
      </w:tr>
      <w:tr>
        <w:tc>
          <w:tcPr>
            <w:tcW w:type="dxa" w:w="2608"/>
          </w:tcPr>
          <w:p>
            <w:bookmarkStart w:id="28" w:name="c_cy_def_policy_period"/>
            <w:r>
              <w:rPr>
                <w:b/>
                <w:i w:val="0"/>
              </w:rPr>
              <w:t>Policy period</w:t>
            </w:r>
            <w:bookmarkEnd w:id="28"/>
          </w:p>
        </w:tc>
        <w:tc>
          <w:tcPr>
            <w:tcW w:type="dxa" w:w="6803"/>
          </w:tcPr>
          <w:p>
            <w:r>
              <w:rPr>
                <w:b w:val="0"/>
                <w:i w:val="0"/>
              </w:rPr>
              <w:t>means the period shown in the schedule.</w:t>
            </w:r>
          </w:p>
        </w:tc>
      </w:tr>
      <w:tr>
        <w:tc>
          <w:tcPr>
            <w:tcW w:type="dxa" w:w="2608"/>
          </w:tcPr>
          <w:p>
            <w:bookmarkStart w:id="29" w:name="c_cy_def_privacy_breach"/>
            <w:r>
              <w:rPr>
                <w:b/>
                <w:i w:val="0"/>
              </w:rPr>
              <w:t>Privacy breach</w:t>
            </w:r>
            <w:bookmarkEnd w:id="29"/>
          </w:p>
        </w:tc>
        <w:tc>
          <w:tcPr>
            <w:tcW w:type="dxa" w:w="6803"/>
          </w:tcPr>
          <w:p>
            <w:r>
              <w:rPr>
                <w:b w:val="0"/>
                <w:i w:val="0"/>
              </w:rPr>
              <w:t xml:space="preserve">means: (a) the actual or suspected </w:t>
            </w:r>
            <w:r>
              <w:rPr>
                <w:b/>
                <w:i w:val="0"/>
              </w:rPr>
              <w:t>unauthorised</w:t>
            </w:r>
            <w:r>
              <w:rPr>
                <w:b w:val="0"/>
                <w:i w:val="0"/>
              </w:rPr>
              <w:t xml:space="preserve"> access to, collection, use, disclosure, or loss of personal information or confidential corporate information in your care, custody, or control; (b) your actual or suspected failure to comply with any privacy or data protection law; or (c) a civil claim against you for damages arising from a serious invasion of privacy, to the extent the claim is made under the statutory tort for serious invasions of privacy inserted into the Privacy Act 1988 (Cth) by the Privacy and Other Legislation Amendment Act 2024.</w:t>
            </w:r>
          </w:p>
        </w:tc>
      </w:tr>
      <w:tr>
        <w:tc>
          <w:tcPr>
            <w:tcW w:type="dxa" w:w="2608"/>
          </w:tcPr>
          <w:p>
            <w:bookmarkStart w:id="30" w:name="c_cy_def_ransomware"/>
            <w:r>
              <w:rPr>
                <w:b/>
                <w:i w:val="0"/>
              </w:rPr>
              <w:t>Ransomware</w:t>
            </w:r>
            <w:bookmarkEnd w:id="30"/>
          </w:p>
        </w:tc>
        <w:tc>
          <w:tcPr>
            <w:tcW w:type="dxa" w:w="6803"/>
          </w:tcPr>
          <w:p>
            <w:r>
              <w:rPr>
                <w:b w:val="0"/>
                <w:i w:val="0"/>
              </w:rPr>
              <w:t>means malicious code that encrypts, locks or restricts access to a computer system or data, or exfiltrates data, for the purpose of demanding a ransom, together with any cyber extortion threat made in connection with it.</w:t>
            </w:r>
          </w:p>
        </w:tc>
      </w:tr>
      <w:tr>
        <w:tc>
          <w:tcPr>
            <w:tcW w:type="dxa" w:w="2608"/>
          </w:tcPr>
          <w:p>
            <w:bookmarkStart w:id="31" w:name="c_cy_def_related_events"/>
            <w:r>
              <w:rPr>
                <w:b/>
                <w:i w:val="0"/>
              </w:rPr>
              <w:t>Related events</w:t>
            </w:r>
            <w:bookmarkEnd w:id="31"/>
          </w:p>
        </w:tc>
        <w:tc>
          <w:tcPr>
            <w:tcW w:type="dxa" w:w="6803"/>
          </w:tcPr>
          <w:p>
            <w:r>
              <w:rPr>
                <w:b w:val="0"/>
                <w:i w:val="0"/>
              </w:rPr>
              <w:t>means cyber events, dependent events, cyber extortion threats, privacy breaches, wrongful acts or publications that arise from the same cause, or from a series of the same, similar or connected causes. Events that exploit the same vulnerability, or are attributable to the same threat actor or campaign, are related events.</w:t>
            </w:r>
          </w:p>
          <w:p>
            <w:r>
              <w:rPr>
                <w:b w:val="0"/>
                <w:i w:val="0"/>
              </w:rPr>
              <w:t xml:space="preserve">Related events are treated as one for the purposes of </w:t>
            </w:r>
            <w:hyperlink w:anchor="c_cy_def_claim">
              <w:r>
                <w:rPr>
                  <w:color w:val="2E5C4E"/>
                  <w:u w:val="single"/>
                </w:rPr>
                <w:t xml:space="preserve">the definition of Claim</w:t>
              </w:r>
            </w:hyperlink>
            <w:r>
              <w:rPr>
                <w:b w:val="0"/>
                <w:i w:val="0"/>
              </w:rPr>
              <w:t xml:space="preserve">, </w:t>
            </w:r>
            <w:hyperlink w:anchor="c_cy_def_insured_loss">
              <w:r>
                <w:rPr>
                  <w:color w:val="2E5C4E"/>
                  <w:u w:val="single"/>
                </w:rPr>
                <w:t xml:space="preserve">the definition of Insured loss</w:t>
              </w:r>
            </w:hyperlink>
            <w:r>
              <w:rPr>
                <w:b w:val="0"/>
                <w:i w:val="0"/>
              </w:rPr>
              <w:t xml:space="preserve">, </w:t>
            </w:r>
            <w:hyperlink w:anchor="c_cy_def_widespread_event">
              <w:r>
                <w:rPr>
                  <w:color w:val="2E5C4E"/>
                  <w:u w:val="single"/>
                </w:rPr>
                <w:t xml:space="preserve">the definition of Widespread event</w:t>
              </w:r>
            </w:hyperlink>
            <w:r>
              <w:rPr>
                <w:b w:val="0"/>
                <w:i w:val="0"/>
              </w:rPr>
              <w:t xml:space="preserve"> and </w:t>
            </w:r>
            <w:hyperlink w:anchor="c_cy_end_e12">
              <w:r>
                <w:rPr>
                  <w:color w:val="2E5C4E"/>
                  <w:u w:val="single"/>
                </w:rPr>
                <w:t xml:space="preserve">the E12 Aggregate Limit Reinstatement endorsement</w:t>
              </w:r>
            </w:hyperlink>
            <w:r>
              <w:rPr>
                <w:b w:val="0"/>
                <w:i w:val="0"/>
              </w:rPr>
              <w:t xml:space="preserve">. </w:t>
            </w:r>
            <w:hyperlink w:anchor="c_cy_pay_excess">
              <w:r>
                <w:rPr>
                  <w:color w:val="2E5C4E"/>
                  <w:u w:val="single"/>
                </w:rPr>
                <w:t xml:space="preserve">The Excess provision</w:t>
              </w:r>
            </w:hyperlink>
            <w:r>
              <w:rPr>
                <w:b w:val="0"/>
                <w:i w:val="0"/>
              </w:rPr>
              <w:t xml:space="preserve"> and </w:t>
            </w:r>
            <w:hyperlink w:anchor="c_cy_pay_limit_of_liability">
              <w:r>
                <w:rPr>
                  <w:color w:val="2E5C4E"/>
                  <w:u w:val="single"/>
                </w:rPr>
                <w:t xml:space="preserve">the Limit of Liability provision</w:t>
              </w:r>
            </w:hyperlink>
            <w:r>
              <w:rPr>
                <w:b w:val="0"/>
                <w:i w:val="0"/>
              </w:rPr>
              <w:t xml:space="preserve"> apply to them as one.</w:t>
            </w:r>
          </w:p>
        </w:tc>
      </w:tr>
      <w:tr>
        <w:tc>
          <w:tcPr>
            <w:tcW w:type="dxa" w:w="2608"/>
          </w:tcPr>
          <w:p>
            <w:bookmarkStart w:id="32" w:name="c_cy_def_retroactive_date"/>
            <w:r>
              <w:rPr>
                <w:b/>
                <w:i w:val="0"/>
              </w:rPr>
              <w:t>Retroactive date</w:t>
            </w:r>
            <w:bookmarkEnd w:id="32"/>
          </w:p>
        </w:tc>
        <w:tc>
          <w:tcPr>
            <w:tcW w:type="dxa" w:w="6803"/>
          </w:tcPr>
          <w:p>
            <w:r>
              <w:rPr>
                <w:b w:val="0"/>
                <w:i w:val="0"/>
              </w:rPr>
              <w:t xml:space="preserve">means the date shown in the schedule. See </w:t>
            </w:r>
            <w:hyperlink w:anchor="c_cy_cond_retroactive_date">
              <w:r>
                <w:rPr>
                  <w:color w:val="2E5C4E"/>
                  <w:u w:val="single"/>
                </w:rPr>
                <w:t xml:space="preserve">the Retroactive Date condition</w:t>
              </w:r>
            </w:hyperlink>
            <w:r>
              <w:rPr>
                <w:b w:val="0"/>
                <w:i w:val="0"/>
              </w:rPr>
              <w:t xml:space="preserve"> for how this date operates.</w:t>
            </w:r>
          </w:p>
        </w:tc>
      </w:tr>
      <w:tr>
        <w:tc>
          <w:tcPr>
            <w:tcW w:type="dxa" w:w="2608"/>
          </w:tcPr>
          <w:p>
            <w:bookmarkStart w:id="33" w:name="c_cy_def_schedule"/>
            <w:r>
              <w:rPr>
                <w:b/>
                <w:i w:val="0"/>
              </w:rPr>
              <w:t>Schedule</w:t>
            </w:r>
            <w:bookmarkEnd w:id="33"/>
          </w:p>
        </w:tc>
        <w:tc>
          <w:tcPr>
            <w:tcW w:type="dxa" w:w="6803"/>
          </w:tcPr>
          <w:p>
            <w:r>
              <w:rPr>
                <w:b w:val="0"/>
                <w:i w:val="0"/>
              </w:rPr>
              <w:t>means the document titled "Schedule" issued with this policy, as amended by any endorsement.</w:t>
            </w:r>
          </w:p>
        </w:tc>
      </w:tr>
      <w:tr>
        <w:tc>
          <w:tcPr>
            <w:tcW w:type="dxa" w:w="2608"/>
          </w:tcPr>
          <w:p>
            <w:bookmarkStart w:id="34" w:name="c_cy_def_service_provider"/>
            <w:r>
              <w:rPr>
                <w:b/>
                <w:i w:val="0"/>
              </w:rPr>
              <w:t>Service provider</w:t>
            </w:r>
            <w:bookmarkEnd w:id="34"/>
          </w:p>
        </w:tc>
        <w:tc>
          <w:tcPr>
            <w:tcW w:type="dxa" w:w="6803"/>
          </w:tcPr>
          <w:p>
            <w:r>
              <w:rPr>
                <w:b w:val="0"/>
                <w:i w:val="0"/>
              </w:rPr>
              <w:t>means a third party that provides information technology services to you under a written contract, including cloud computing, hosting, managed security, data storage, and payment processing — but not including telecommunication or utility providers for general internet connectivity or power supply.</w:t>
            </w:r>
          </w:p>
        </w:tc>
      </w:tr>
      <w:tr>
        <w:tc>
          <w:tcPr>
            <w:tcW w:type="dxa" w:w="2608"/>
          </w:tcPr>
          <w:p>
            <w:bookmarkStart w:id="35" w:name="c_cy_def_subsidiary"/>
            <w:r>
              <w:rPr>
                <w:b/>
                <w:i w:val="0"/>
              </w:rPr>
              <w:t>Subsidiary</w:t>
            </w:r>
            <w:bookmarkEnd w:id="35"/>
          </w:p>
        </w:tc>
        <w:tc>
          <w:tcPr>
            <w:tcW w:type="dxa" w:w="6803"/>
          </w:tcPr>
          <w:p>
            <w:r>
              <w:rPr>
                <w:b w:val="0"/>
                <w:i w:val="0"/>
              </w:rPr>
              <w:t>means any entity in which the named insured holds more than 50% of the voting rights, or over which the named insured has effective management control, at the time of the relevant cyber event.</w:t>
            </w:r>
          </w:p>
        </w:tc>
      </w:tr>
      <w:tr>
        <w:tc>
          <w:tcPr>
            <w:tcW w:type="dxa" w:w="2608"/>
          </w:tcPr>
          <w:p>
            <w:bookmarkStart w:id="36" w:name="c_cy_def_system_failure"/>
            <w:r>
              <w:rPr>
                <w:b/>
                <w:i w:val="0"/>
              </w:rPr>
              <w:t>System failure</w:t>
            </w:r>
            <w:bookmarkEnd w:id="36"/>
          </w:p>
        </w:tc>
        <w:tc>
          <w:tcPr>
            <w:tcW w:type="dxa" w:w="6803"/>
          </w:tcPr>
          <w:p>
            <w:r>
              <w:rPr>
                <w:b w:val="0"/>
                <w:i w:val="0"/>
              </w:rPr>
              <w:t>means an unplanned outage or failure of your computer system, caused by human error, accidental misconfiguration, power surge, or unintentional software defect, that is not caused by a malicious external act.</w:t>
            </w:r>
          </w:p>
        </w:tc>
      </w:tr>
      <w:tr>
        <w:tc>
          <w:tcPr>
            <w:tcW w:type="dxa" w:w="2608"/>
          </w:tcPr>
          <w:p>
            <w:bookmarkStart w:id="37" w:name="c_cy_def_unauthorised"/>
            <w:r>
              <w:rPr>
                <w:b/>
                <w:i w:val="0"/>
              </w:rPr>
              <w:t>Unauthorised</w:t>
            </w:r>
            <w:bookmarkEnd w:id="37"/>
          </w:p>
        </w:tc>
        <w:tc>
          <w:tcPr>
            <w:tcW w:type="dxa" w:w="6803"/>
          </w:tcPr>
          <w:p>
            <w:r>
              <w:rPr>
                <w:b w:val="0"/>
                <w:i w:val="0"/>
              </w:rPr>
              <w:t>means, in relation to access to, or use of, a computer system, a service provider's systems, or data: access or use that is not permitted, and includes access or use by a person who holds a valid credential, authority, or right of access for some purposes but who accesses or uses the computer system, the service provider's systems, or the data beyond the scope of, or for a purpose not permitted by, that credential, authority, or right.</w:t>
            </w:r>
          </w:p>
        </w:tc>
      </w:tr>
      <w:tr>
        <w:tc>
          <w:tcPr>
            <w:tcW w:type="dxa" w:w="2608"/>
          </w:tcPr>
          <w:p>
            <w:bookmarkStart w:id="38" w:name="c_cy_def_waiting_period"/>
            <w:r>
              <w:rPr>
                <w:b/>
                <w:i w:val="0"/>
              </w:rPr>
              <w:t>Waiting period</w:t>
            </w:r>
            <w:bookmarkEnd w:id="38"/>
          </w:p>
        </w:tc>
        <w:tc>
          <w:tcPr>
            <w:tcW w:type="dxa" w:w="6803"/>
          </w:tcPr>
          <w:p>
            <w:r>
              <w:rPr>
                <w:b w:val="0"/>
                <w:i w:val="0"/>
              </w:rPr>
              <w:t>means the number of consecutive hours shown in the schedule. A business interruption must last longer than the waiting period before any net income loss or extra expense is payable. Once the interruption exceeds the waiting period, we measure your loss from the start of the interruption.</w:t>
            </w:r>
          </w:p>
        </w:tc>
      </w:tr>
      <w:tr>
        <w:tc>
          <w:tcPr>
            <w:tcW w:type="dxa" w:w="2608"/>
          </w:tcPr>
          <w:p>
            <w:bookmarkStart w:id="39" w:name="c_cy_def_we_us_our"/>
            <w:r>
              <w:rPr>
                <w:b/>
                <w:i w:val="0"/>
              </w:rPr>
              <w:t>We / us / our</w:t>
            </w:r>
            <w:bookmarkEnd w:id="39"/>
          </w:p>
        </w:tc>
        <w:tc>
          <w:tcPr>
            <w:tcW w:type="dxa" w:w="6803"/>
          </w:tcPr>
          <w:p>
            <w:r>
              <w:rPr>
                <w:b w:val="0"/>
                <w:i w:val="0"/>
              </w:rPr>
              <w:t>means the insurer named in the schedule.</w:t>
            </w:r>
          </w:p>
        </w:tc>
      </w:tr>
      <w:tr>
        <w:tc>
          <w:tcPr>
            <w:tcW w:type="dxa" w:w="2608"/>
          </w:tcPr>
          <w:p>
            <w:bookmarkStart w:id="40" w:name="c_cy_def_widespread_event"/>
            <w:r>
              <w:rPr>
                <w:b/>
                <w:i w:val="0"/>
              </w:rPr>
              <w:t>Widespread event</w:t>
            </w:r>
            <w:bookmarkEnd w:id="40"/>
          </w:p>
        </w:tc>
        <w:tc>
          <w:tcPr>
            <w:tcW w:type="dxa" w:w="6803"/>
          </w:tcPr>
          <w:p>
            <w:r>
              <w:rPr>
                <w:b w:val="0"/>
                <w:i w:val="0"/>
              </w:rPr>
              <w:t xml:space="preserve">means a cyber event, dependent event, or privacy breach that is, or is part of, a set of related events (see </w:t>
            </w:r>
            <w:hyperlink w:anchor="c_cy_def_related_events">
              <w:r>
                <w:rPr>
                  <w:color w:val="2E5C4E"/>
                  <w:u w:val="single"/>
                </w:rPr>
                <w:t xml:space="preserve">the definition of Related events</w:t>
              </w:r>
            </w:hyperlink>
            <w:r>
              <w:rPr>
                <w:b w:val="0"/>
                <w:i w:val="0"/>
              </w:rPr>
              <w:t xml:space="preserve">) that also affect one or more other parties insured under this wording (whether insured by us or by any other insurer), where the number of affected parties, or the aggregate loss across those parties, reaches the threshold shown in the schedule. See </w:t>
            </w:r>
            <w:hyperlink w:anchor="c_cy_pay_widespread_events">
              <w:r>
                <w:rPr>
                  <w:color w:val="2E5C4E"/>
                  <w:u w:val="single"/>
                </w:rPr>
                <w:t xml:space="preserve">the Widespread Events provision</w:t>
              </w:r>
            </w:hyperlink>
            <w:r>
              <w:rPr>
                <w:b w:val="0"/>
                <w:i w:val="0"/>
              </w:rPr>
              <w:t>.</w:t>
            </w:r>
          </w:p>
        </w:tc>
      </w:tr>
      <w:tr>
        <w:tc>
          <w:tcPr>
            <w:tcW w:type="dxa" w:w="2608"/>
          </w:tcPr>
          <w:p>
            <w:bookmarkStart w:id="41" w:name="c_cy_def_you_your"/>
            <w:r>
              <w:rPr>
                <w:b/>
                <w:i w:val="0"/>
              </w:rPr>
              <w:t>You / your</w:t>
            </w:r>
            <w:bookmarkEnd w:id="41"/>
          </w:p>
        </w:tc>
        <w:tc>
          <w:tcPr>
            <w:tcW w:type="dxa" w:w="6803"/>
          </w:tcPr>
          <w:p>
            <w:r>
              <w:rPr>
                <w:b w:val="0"/>
                <w:i w:val="0"/>
              </w:rPr>
              <w:t>means: (a) the company; and (b) any insured person, but only while acting within the scope of their duties for the company.</w:t>
            </w:r>
          </w:p>
        </w:tc>
      </w:tr>
    </w:tbl>
    <w:p>
      <w:bookmarkStart w:id="42" w:name="c_cy_section_first_party"/>
      <w:r>
        <w:rPr>
          <w:rFonts w:ascii="Georgia" w:hAnsi="Georgia" w:eastAsia="Georgia"/>
          <w:b/>
          <w:i w:val="0"/>
          <w:color w:val="1C1915"/>
          <w:sz w:val="32"/>
        </w:rPr>
        <w:t>What Is Covered — Your Own Losses (First Party)</w:t>
      </w:r>
      <w:bookmarkEnd w:id="42"/>
    </w:p>
    <w:p>
      <w:r>
        <w:rPr>
          <w:b w:val="0"/>
          <w:i w:val="0"/>
        </w:rPr>
        <w:t xml:space="preserve">These insuring clauses cover the costs and losses you incur directly. They are not about claims by third parties — those are covered in </w:t>
      </w:r>
      <w:hyperlink w:anchor="c_cy_section_third_party">
        <w:r>
          <w:rPr>
            <w:color w:val="2E5C4E"/>
            <w:u w:val="single"/>
          </w:rPr>
          <w:t xml:space="preserve">the What Is Covered — Claims by Others (Third Party) section</w:t>
        </w:r>
      </w:hyperlink>
      <w:r>
        <w:rPr>
          <w:b w:val="0"/>
          <w:i w:val="0"/>
        </w:rPr>
        <w:t xml:space="preserve">. All cover under this section is subject to </w:t>
      </w:r>
      <w:hyperlink w:anchor="c_cy_cond_retroactive_date">
        <w:r>
          <w:rPr>
            <w:color w:val="2E5C4E"/>
            <w:u w:val="single"/>
          </w:rPr>
          <w:t xml:space="preserve">the Retroactive Date condition</w:t>
        </w:r>
      </w:hyperlink>
      <w:r>
        <w:rPr>
          <w:b w:val="0"/>
          <w:i w:val="0"/>
        </w:rPr>
        <w:t>.</w:t>
      </w:r>
    </w:p>
    <w:p>
      <w:r>
        <w:rPr>
          <w:b/>
          <w:i w:val="0"/>
        </w:rPr>
        <w:t>One trigger.</w:t>
      </w:r>
      <w:r>
        <w:rPr>
          <w:b w:val="0"/>
          <w:i w:val="0"/>
        </w:rPr>
        <w:t xml:space="preserve"> Incident Response Costs, Business Interruption, Data and System Restoration and Dependent Business Interruption each respond to a cyber event, privacy breach or dependent event that you first discover during the policy period. It does not matter whether the cyber event began earlier in the policy period or before it, as long as it did not first occur before the retroactive date and </w:t>
      </w:r>
      <w:hyperlink w:anchor="c_cy_excl_prior_known_events">
        <w:r>
          <w:rPr>
            <w:color w:val="2E5C4E"/>
            <w:u w:val="single"/>
          </w:rPr>
          <w:t xml:space="preserve">the Prior Known Events exclusion</w:t>
        </w:r>
      </w:hyperlink>
      <w:r>
        <w:rPr>
          <w:b w:val="0"/>
          <w:i w:val="0"/>
        </w:rPr>
        <w:t xml:space="preserve"> does not apply. The interruption or the cost may continue after the policy period ends.</w:t>
      </w:r>
    </w:p>
    <w:p>
      <w:bookmarkStart w:id="43" w:name="c_cy_cover_incident_response"/>
      <w:r>
        <w:rPr>
          <w:rFonts w:ascii="Georgia" w:hAnsi="Georgia" w:eastAsia="Georgia"/>
          <w:b/>
          <w:i w:val="0"/>
          <w:color w:val="2E5C4E"/>
          <w:sz w:val="25"/>
        </w:rPr>
        <w:t>Incident Response Costs</w:t>
      </w:r>
      <w:bookmarkEnd w:id="43"/>
    </w:p>
    <w:p>
      <w:r>
        <w:rPr>
          <w:b w:val="0"/>
          <w:i w:val="0"/>
        </w:rPr>
        <w:t>If you discover a cyber event or privacy breach during the policy period, we will pay the reasonable costs you incur, with our prior consent, for:</w:t>
      </w:r>
    </w:p>
    <w:p>
      <w:pPr>
        <w:pStyle w:val="ListBullet"/>
      </w:pPr>
      <w:r>
        <w:rPr>
          <w:b w:val="0"/>
          <w:i w:val="0"/>
        </w:rPr>
        <w:t>IT forensics — engaging a specialist to determine the cause, scope, and impact of the event</w:t>
      </w:r>
    </w:p>
    <w:p>
      <w:pPr>
        <w:pStyle w:val="ListBullet"/>
      </w:pPr>
      <w:r>
        <w:rPr>
          <w:b w:val="0"/>
          <w:i w:val="0"/>
        </w:rPr>
        <w:t>Legal advice — obtaining legal guidance on your notification obligations and regulatory exposure</w:t>
      </w:r>
    </w:p>
    <w:p>
      <w:pPr>
        <w:pStyle w:val="ListBullet"/>
      </w:pPr>
      <w:r>
        <w:rPr>
          <w:b w:val="0"/>
          <w:i w:val="0"/>
        </w:rPr>
        <w:t>Notification — notifying affected individuals, regulators (including the OAIC), and any other parties as required by law</w:t>
      </w:r>
    </w:p>
    <w:p>
      <w:pPr>
        <w:pStyle w:val="ListBullet"/>
      </w:pPr>
      <w:r>
        <w:rPr>
          <w:b w:val="0"/>
          <w:i w:val="0"/>
        </w:rPr>
        <w:t>Credit monitoring — providing credit monitoring and identity theft protection services to affected individuals for up to 12 months</w:t>
      </w:r>
    </w:p>
    <w:p>
      <w:pPr>
        <w:pStyle w:val="ListBullet"/>
      </w:pPr>
      <w:r>
        <w:rPr>
          <w:b w:val="0"/>
          <w:i w:val="0"/>
        </w:rPr>
        <w:t>Public relations — engaging a consultant to protect or restore your reputation</w:t>
      </w:r>
    </w:p>
    <w:p>
      <w:pPr>
        <w:pStyle w:val="ListBullet"/>
      </w:pPr>
      <w:r>
        <w:rPr>
          <w:b w:val="0"/>
          <w:i w:val="0"/>
        </w:rPr>
        <w:t>Call centre — setting up and operating a call centre or helpline to manage enquiries from affected individuals</w:t>
      </w:r>
    </w:p>
    <w:p>
      <w:r>
        <w:rPr>
          <w:b w:val="0"/>
          <w:i w:val="0"/>
        </w:rPr>
        <w:t>You should use the incident response team named in your schedule. If you use a different provider, you need our prior written consent. We will not unreasonably withhold consent, but using our panel helps ensure a fast, coordinated response.</w:t>
      </w:r>
    </w:p>
    <w:p>
      <w:bookmarkStart w:id="44" w:name="c_cy_cover_business_interruption"/>
      <w:r>
        <w:rPr>
          <w:rFonts w:ascii="Georgia" w:hAnsi="Georgia" w:eastAsia="Georgia"/>
          <w:b/>
          <w:i w:val="0"/>
          <w:color w:val="2E5C4E"/>
          <w:sz w:val="25"/>
        </w:rPr>
        <w:t>Business Interruption</w:t>
      </w:r>
      <w:bookmarkEnd w:id="44"/>
    </w:p>
    <w:p>
      <w:r>
        <w:rPr>
          <w:b w:val="0"/>
          <w:i w:val="0"/>
        </w:rPr>
        <w:t>If you discover a cyber event during the policy period and it causes a total or partial interruption to your business (whether the interruption occurs during the policy period or afterwards), we will pay:</w:t>
      </w:r>
    </w:p>
    <w:p>
      <w:r>
        <w:rPr>
          <w:b w:val="0"/>
          <w:i w:val="0"/>
        </w:rPr>
        <w:t>(a) your net income loss; and (b) your extra expense,</w:t>
      </w:r>
    </w:p>
    <w:p>
      <w:r>
        <w:rPr>
          <w:b w:val="0"/>
          <w:i w:val="0"/>
        </w:rPr>
        <w:t>for the duration of the interruption, up to the indemnity period shown in the schedule.</w:t>
      </w:r>
    </w:p>
    <w:p>
      <w:r>
        <w:rPr>
          <w:b/>
          <w:i w:val="0"/>
        </w:rPr>
        <w:t>Waiting period — threshold basis.</w:t>
      </w:r>
      <w:r>
        <w:rPr>
          <w:b w:val="0"/>
          <w:i w:val="0"/>
        </w:rPr>
        <w:t xml:space="preserve"> The waiting period operates as a qualifying threshold, not a deduction. If the interruption lasts longer than the waiting period, we pay your net income loss and extra expense measured from the start of the interruption. If the interruption does not exceed the waiting period, no payment is made under this clause. The waiting period applies in addition to, not instead of, the excess shown in the schedule (see </w:t>
      </w:r>
      <w:hyperlink w:anchor="c_cy_pay_excess">
        <w:r>
          <w:rPr>
            <w:color w:val="2E5C4E"/>
            <w:u w:val="single"/>
          </w:rPr>
          <w:t xml:space="preserve">the Excess provision</w:t>
        </w:r>
      </w:hyperlink>
      <w:r>
        <w:rPr>
          <w:b w:val="0"/>
          <w:i w:val="0"/>
        </w:rPr>
        <w:t>).</w:t>
      </w:r>
    </w:p>
    <w:p>
      <w:r>
        <w:rPr>
          <w:b w:val="0"/>
          <w:i w:val="0"/>
        </w:rPr>
        <w:t>We measure your net income loss by comparing your actual revenue during the interruption against what you would reasonably have earned. We will take into account trends, seasonal variations, and any growth or decline in your business.</w:t>
      </w:r>
    </w:p>
    <w:p>
      <w:bookmarkStart w:id="45" w:name="c_cy_cover_data_restoration"/>
      <w:r>
        <w:rPr>
          <w:rFonts w:ascii="Georgia" w:hAnsi="Georgia" w:eastAsia="Georgia"/>
          <w:b/>
          <w:i w:val="0"/>
          <w:color w:val="2E5C4E"/>
          <w:sz w:val="25"/>
        </w:rPr>
        <w:t>Data and System Restoration</w:t>
      </w:r>
      <w:bookmarkEnd w:id="45"/>
    </w:p>
    <w:p>
      <w:r>
        <w:rPr>
          <w:b w:val="0"/>
          <w:i w:val="0"/>
        </w:rPr>
        <w:t>If you discover a cyber event during the policy period and it corrupts, damages, destroys, or encrypts your data or computer system, we will pay the reasonable costs to:</w:t>
      </w:r>
    </w:p>
    <w:p>
      <w:r>
        <w:rPr>
          <w:b w:val="0"/>
          <w:i w:val="0"/>
        </w:rPr>
        <w:t>(a) restore, recreate, or recollect your data from backups or other sources; (b) repair or replace the affected components of your computer system; and (c) verify that your computer system is functioning correctly and free of malware.</w:t>
      </w:r>
    </w:p>
    <w:p>
      <w:r>
        <w:rPr>
          <w:b w:val="0"/>
          <w:i w:val="0"/>
        </w:rPr>
        <w:t xml:space="preserve">We will not pay for improvements or upgrades beyond the specification of your computer system immediately before the cyber event, except as provided under </w:t>
      </w:r>
      <w:hyperlink w:anchor="c_cy_ext_betterment">
        <w:r>
          <w:rPr>
            <w:color w:val="2E5C4E"/>
            <w:u w:val="single"/>
          </w:rPr>
          <w:t xml:space="preserve">the Betterment extension</w:t>
        </w:r>
      </w:hyperlink>
      <w:r>
        <w:rPr>
          <w:b w:val="0"/>
          <w:i w:val="0"/>
        </w:rPr>
        <w:t>.</w:t>
      </w:r>
    </w:p>
    <w:p>
      <w:bookmarkStart w:id="46" w:name="c_cy_cover_cyber_extortion"/>
      <w:r>
        <w:rPr>
          <w:rFonts w:ascii="Georgia" w:hAnsi="Georgia" w:eastAsia="Georgia"/>
          <w:b/>
          <w:i w:val="0"/>
          <w:color w:val="2E5C4E"/>
          <w:sz w:val="25"/>
        </w:rPr>
        <w:t>Cyber Extortion</w:t>
      </w:r>
      <w:bookmarkEnd w:id="46"/>
    </w:p>
    <w:p>
      <w:r>
        <w:rPr>
          <w:b w:val="0"/>
          <w:i w:val="0"/>
        </w:rPr>
        <w:t>If you receive a cyber extortion threat during the policy period, we will pay:</w:t>
      </w:r>
    </w:p>
    <w:p>
      <w:r>
        <w:rPr>
          <w:b w:val="0"/>
          <w:i w:val="0"/>
        </w:rPr>
        <w:t>(a) the reasonable costs of investigating and responding to the threat; and (b) any ransom payment, but only with our prior written consent.</w:t>
      </w:r>
    </w:p>
    <w:p>
      <w:r>
        <w:rPr>
          <w:b w:val="0"/>
          <w:i w:val="0"/>
        </w:rPr>
        <w:t xml:space="preserve">We will consent to a ransom payment only after we have confirmed (so far as reasonably possible) that the payment does not breach any law, including </w:t>
      </w:r>
      <w:hyperlink w:anchor="c_cy_cond_sanctions">
        <w:r>
          <w:rPr>
            <w:color w:val="2E5C4E"/>
            <w:u w:val="single"/>
          </w:rPr>
          <w:t xml:space="preserve">the Sanctions condition</w:t>
        </w:r>
      </w:hyperlink>
      <w:r>
        <w:rPr>
          <w:b w:val="0"/>
          <w:i w:val="0"/>
        </w:rPr>
        <w:t xml:space="preserve"> and the offences in the Criminal Code Act 1995 (Cth) about financing terrorism. We do not pay a ransom where paying it would be one of those offences. We may engage a specialist negotiator on your behalf.</w:t>
      </w:r>
    </w:p>
    <w:p>
      <w:r>
        <w:rPr>
          <w:b w:val="0"/>
          <w:i w:val="0"/>
        </w:rPr>
        <w:t>We will not reimburse a ransom payment that you make without our prior written consent.</w:t>
      </w:r>
    </w:p>
    <w:p>
      <w:r>
        <w:rPr>
          <w:b/>
          <w:i w:val="0"/>
        </w:rPr>
        <w:t>Reporting a ransom payment.</w:t>
      </w:r>
      <w:r>
        <w:rPr>
          <w:b w:val="0"/>
          <w:i w:val="0"/>
        </w:rPr>
        <w:t xml:space="preserve"> The Cyber Security Act 2024 (Cth) may require you to report a ransomware payment to the government, within a short time after the payment is made. This includes a payment made on your behalf by us or by a negotiator. Tell us before you make or agree to any ransom payment, so that we can help you make the report in time. We will give you the help you reasonably ask for. We do not pay any penalty for failing to report a payment.</w:t>
      </w:r>
    </w:p>
    <w:p>
      <w:r>
        <w:rPr>
          <w:b w:val="0"/>
          <w:i w:val="0"/>
        </w:rPr>
        <w:t>[WP REVIEW: confirm the ransomware payment reporting requirement in the Cyber Security Act 2024 (Cth) (the review gives s 27 and 72 hours after the payment, including payments made on the insured's behalf), the entities it applies to, and the Criminal Code Act 1995 (Cth) terrorism-financing carve-out.]</w:t>
      </w:r>
    </w:p>
    <w:p>
      <w:bookmarkStart w:id="47" w:name="c_cy_cover_funds_transfer_fraud"/>
      <w:r>
        <w:rPr>
          <w:rFonts w:ascii="Georgia" w:hAnsi="Georgia" w:eastAsia="Georgia"/>
          <w:b/>
          <w:i w:val="0"/>
          <w:color w:val="2E5C4E"/>
          <w:sz w:val="25"/>
        </w:rPr>
        <w:t>Funds Transfer Fraud</w:t>
      </w:r>
      <w:bookmarkEnd w:id="47"/>
    </w:p>
    <w:p>
      <w:r>
        <w:rPr>
          <w:b w:val="0"/>
          <w:i w:val="0"/>
        </w:rPr>
        <w:t xml:space="preserve">If during the policy period a third party gains </w:t>
      </w:r>
      <w:r>
        <w:rPr>
          <w:b/>
          <w:i w:val="0"/>
        </w:rPr>
        <w:t>unauthorised</w:t>
      </w:r>
      <w:r>
        <w:rPr>
          <w:b w:val="0"/>
          <w:i w:val="0"/>
        </w:rPr>
        <w:t xml:space="preserve"> access to your computer system and fraudulently transfers your funds from your account, we will pay your direct financial loss.</w:t>
      </w:r>
    </w:p>
    <w:p>
      <w:r>
        <w:rPr>
          <w:b w:val="0"/>
          <w:i w:val="0"/>
        </w:rPr>
        <w:t>You must discover the fraudulent transfer during the policy period and notify us within 30 days of discovery.</w:t>
      </w:r>
    </w:p>
    <w:p>
      <w:r>
        <w:rPr>
          <w:b w:val="0"/>
          <w:i w:val="0"/>
        </w:rPr>
        <w:t xml:space="preserve">We will not pay if the transfer was authorised by you or any insured person, even if that authorisation was obtained by deception. Social engineering fraud (where you are deceived into making the transfer yourself) is covered separately under </w:t>
      </w:r>
      <w:hyperlink w:anchor="c_cy_cover_social_engineering">
        <w:r>
          <w:rPr>
            <w:color w:val="2E5C4E"/>
            <w:u w:val="single"/>
          </w:rPr>
          <w:t xml:space="preserve">the Social Engineering Fraud clause</w:t>
        </w:r>
      </w:hyperlink>
      <w:r>
        <w:rPr>
          <w:b w:val="0"/>
          <w:i w:val="0"/>
        </w:rPr>
        <w:t>.</w:t>
      </w:r>
    </w:p>
    <w:p>
      <w:r>
        <w:rPr>
          <w:b w:val="0"/>
          <w:i w:val="0"/>
        </w:rPr>
        <w:t xml:space="preserve">The most we will pay under this clause and </w:t>
      </w:r>
      <w:hyperlink w:anchor="c_cy_cover_social_engineering">
        <w:r>
          <w:rPr>
            <w:color w:val="2E5C4E"/>
            <w:u w:val="single"/>
          </w:rPr>
          <w:t xml:space="preserve">the Social Engineering Fraud clause</w:t>
        </w:r>
      </w:hyperlink>
      <w:r>
        <w:rPr>
          <w:b w:val="0"/>
          <w:i w:val="0"/>
        </w:rPr>
        <w:t xml:space="preserve"> combined is the funds transfer and social engineering sub-limit shown in the schedule.</w:t>
      </w:r>
    </w:p>
    <w:p>
      <w:bookmarkStart w:id="48" w:name="c_cy_cover_social_engineering"/>
      <w:r>
        <w:rPr>
          <w:rFonts w:ascii="Georgia" w:hAnsi="Georgia" w:eastAsia="Georgia"/>
          <w:b/>
          <w:i w:val="0"/>
          <w:color w:val="2E5C4E"/>
          <w:sz w:val="25"/>
        </w:rPr>
        <w:t>Social Engineering Fraud</w:t>
      </w:r>
      <w:bookmarkEnd w:id="48"/>
    </w:p>
    <w:p>
      <w:r>
        <w:rPr>
          <w:b w:val="0"/>
          <w:i w:val="0"/>
        </w:rPr>
        <w:t>If during the policy period you transfer funds as a result of a fraudulent communication that impersonates a genuine person or entity — for example, a fake invoice, a spoofed email from a senior executive, or a fraudulent change of bank details — we will pay your direct financial loss.</w:t>
      </w:r>
    </w:p>
    <w:p>
      <w:r>
        <w:rPr>
          <w:b w:val="0"/>
          <w:i w:val="0"/>
        </w:rPr>
        <w:t>You must discover the loss during the policy period and notify us within 30 days of discovery.</w:t>
      </w:r>
    </w:p>
    <w:p>
      <w:r>
        <w:rPr>
          <w:b w:val="0"/>
          <w:i w:val="0"/>
        </w:rPr>
        <w:t>A missed verification step does not by itself remove cover. We take into account whether you followed your own documented verification procedures (if any) before making the transfer. If you did not, we may reduce what we pay only to the extent that the failure caused or contributed to the loss. We may not refuse any part of the loss that you prove the failure did not cause.</w:t>
      </w:r>
    </w:p>
    <w:p>
      <w:r>
        <w:rPr>
          <w:b w:val="0"/>
          <w:i w:val="0"/>
        </w:rPr>
        <w:t xml:space="preserve">Sub-limit: the funds transfer and social engineering sub-limit shown in the schedule (or $250,000 per claim if not stated), shared with </w:t>
      </w:r>
      <w:hyperlink w:anchor="c_cy_cover_funds_transfer_fraud">
        <w:r>
          <w:rPr>
            <w:color w:val="2E5C4E"/>
            <w:u w:val="single"/>
          </w:rPr>
          <w:t xml:space="preserve">the Funds Transfer Fraud clause</w:t>
        </w:r>
      </w:hyperlink>
      <w:r>
        <w:rPr>
          <w:b w:val="0"/>
          <w:i w:val="0"/>
        </w:rPr>
        <w:t>.</w:t>
      </w:r>
    </w:p>
    <w:p>
      <w:bookmarkStart w:id="49" w:name="c_cy_cover_regulatory_fines"/>
      <w:r>
        <w:rPr>
          <w:rFonts w:ascii="Georgia" w:hAnsi="Georgia" w:eastAsia="Georgia"/>
          <w:b/>
          <w:i w:val="0"/>
          <w:color w:val="2E5C4E"/>
          <w:sz w:val="25"/>
        </w:rPr>
        <w:t>Regulatory Fines and Penalties</w:t>
      </w:r>
      <w:bookmarkEnd w:id="49"/>
    </w:p>
    <w:p>
      <w:r>
        <w:rPr>
          <w:b w:val="0"/>
          <w:i w:val="0"/>
        </w:rPr>
        <w:t xml:space="preserve">If a regulator (including the OAIC, ASIC, ACMA, or any State, Territory or New Zealand regulator) imposes a fine or penalty on you in Australia or New Zealand arising from a cyber event, or from a privacy breach described in paragraph (a) or (c) of </w:t>
      </w:r>
      <w:hyperlink w:anchor="c_cy_def_privacy_breach">
        <w:r>
          <w:rPr>
            <w:color w:val="2E5C4E"/>
            <w:u w:val="single"/>
          </w:rPr>
          <w:t xml:space="preserve">the definition of Privacy breach</w:t>
        </w:r>
      </w:hyperlink>
      <w:r>
        <w:rPr>
          <w:b w:val="0"/>
          <w:i w:val="0"/>
        </w:rPr>
        <w:t>, that occurs during the policy period, we will pay the fine or penalty, but only to the extent that the law allows it to be insured.</w:t>
      </w:r>
    </w:p>
    <w:p>
      <w:r>
        <w:rPr>
          <w:b w:val="0"/>
          <w:i w:val="0"/>
        </w:rPr>
        <w:t>We do not pay any fine or penalty that the law does not allow to be insured. In particular, we do not pay a penalty imposed under work health and safety law in a State or Territory whose law prohibits insurance of it (including New South Wales, Victoria and Queensland), and we do not pay a criminal fine. We do not pay a penalty imposed for failing to report a cyber incident or a ransomware payment.</w:t>
      </w:r>
    </w:p>
    <w:p>
      <w:r>
        <w:rPr>
          <w:b w:val="0"/>
          <w:i w:val="0"/>
        </w:rPr>
        <w:t>We will also pay your defence costs in responding to the regulatory proceeding. We advance those costs as they are incurred. You must repay any costs we advanced if a final adjudication, or a court's finding, establishes conduct for which the law does not allow the fine or penalty to be insured.</w:t>
      </w:r>
    </w:p>
    <w:p>
      <w:r>
        <w:rPr>
          <w:b w:val="0"/>
          <w:i w:val="0"/>
        </w:rPr>
        <w:t>This clause does not cover a fine or penalty for a failure to comply with a privacy or data protection law that does not involve a cyber event or an unauthorised access, collection, use, disclosure or loss of information.</w:t>
      </w:r>
    </w:p>
    <w:p>
      <w:r>
        <w:rPr>
          <w:b w:val="0"/>
          <w:i w:val="0"/>
        </w:rPr>
        <w:t>[WP REVIEW: confirm the list of jurisdictions that prohibit insurance of WHS penalties; library sources differ on WA and Victoria. Confirm that a penalty for failure to report is not insurable.]</w:t>
      </w:r>
    </w:p>
    <w:p>
      <w:bookmarkStart w:id="50" w:name="c_cy_section_first_party_extensions"/>
      <w:r>
        <w:rPr>
          <w:rFonts w:ascii="Georgia" w:hAnsi="Georgia" w:eastAsia="Georgia"/>
          <w:b/>
          <w:i w:val="0"/>
          <w:color w:val="1C1915"/>
          <w:sz w:val="32"/>
        </w:rPr>
        <w:t>Extensions — Your Own Losses</w:t>
      </w:r>
      <w:bookmarkEnd w:id="50"/>
    </w:p>
    <w:p>
      <w:bookmarkStart w:id="51" w:name="c_cy_ext_betterment"/>
      <w:r>
        <w:rPr>
          <w:rFonts w:ascii="Georgia" w:hAnsi="Georgia" w:eastAsia="Georgia"/>
          <w:b/>
          <w:i w:val="0"/>
          <w:color w:val="2E5C4E"/>
          <w:sz w:val="25"/>
        </w:rPr>
        <w:t>Betterment</w:t>
      </w:r>
      <w:bookmarkEnd w:id="51"/>
    </w:p>
    <w:p>
      <w:r>
        <w:rPr>
          <w:b w:val="0"/>
          <w:i w:val="0"/>
        </w:rPr>
        <w:t>When restoring your computer system after a cyber event, we will pay up to 120% of the cost of restoring to the pre-event specification, to allow for reasonable security improvements that would not have been needed but for the event.</w:t>
      </w:r>
    </w:p>
    <w:p>
      <w:bookmarkStart w:id="52" w:name="c_cy_ext_dependent_business_interruption"/>
      <w:r>
        <w:rPr>
          <w:rFonts w:ascii="Georgia" w:hAnsi="Georgia" w:eastAsia="Georgia"/>
          <w:b/>
          <w:i w:val="0"/>
          <w:color w:val="2E5C4E"/>
          <w:sz w:val="25"/>
        </w:rPr>
        <w:t>Dependent Business Interruption</w:t>
      </w:r>
      <w:bookmarkEnd w:id="52"/>
    </w:p>
    <w:p>
      <w:r>
        <w:rPr>
          <w:b w:val="0"/>
          <w:i w:val="0"/>
        </w:rPr>
        <w:t xml:space="preserve">If you discover a </w:t>
      </w:r>
      <w:r>
        <w:rPr>
          <w:b/>
          <w:i w:val="0"/>
        </w:rPr>
        <w:t>dependent event</w:t>
      </w:r>
      <w:r>
        <w:rPr>
          <w:b w:val="0"/>
          <w:i w:val="0"/>
        </w:rPr>
        <w:t xml:space="preserve"> during the policy period and it directly causes a total or partial interruption to your business, we will pay your net income loss and extra expense as if the event had occurred at your own computer system.</w:t>
      </w:r>
    </w:p>
    <w:p>
      <w:r>
        <w:rPr>
          <w:b/>
          <w:i w:val="0"/>
        </w:rPr>
        <w:t>This is the only cover under this policy for business interruption caused by a dependent event.</w:t>
      </w:r>
      <w:r>
        <w:rPr>
          <w:b w:val="0"/>
          <w:i w:val="0"/>
        </w:rPr>
        <w:t xml:space="preserve"> </w:t>
      </w:r>
      <w:hyperlink w:anchor="c_cy_cover_business_interruption">
        <w:r>
          <w:rPr>
            <w:color w:val="2E5C4E"/>
            <w:u w:val="single"/>
          </w:rPr>
          <w:t xml:space="preserve">The Business Interruption clause</w:t>
        </w:r>
      </w:hyperlink>
      <w:r>
        <w:rPr>
          <w:b w:val="0"/>
          <w:i w:val="0"/>
        </w:rPr>
        <w:t xml:space="preserve"> does not respond to interruption caused by a dependent event, and a dependent event is not a cyber event for the purposes of that clause.</w:t>
      </w:r>
    </w:p>
    <w:p>
      <w:r>
        <w:rPr>
          <w:b w:val="0"/>
          <w:i w:val="0"/>
        </w:rPr>
        <w:t xml:space="preserve">The waiting period applies separately to dependent business interruption losses, on the same threshold basis as </w:t>
      </w:r>
      <w:hyperlink w:anchor="c_cy_cover_business_interruption">
        <w:r>
          <w:rPr>
            <w:color w:val="2E5C4E"/>
            <w:u w:val="single"/>
          </w:rPr>
          <w:t xml:space="preserve">the Business Interruption clause</w:t>
        </w:r>
      </w:hyperlink>
      <w:r>
        <w:rPr>
          <w:b w:val="0"/>
          <w:i w:val="0"/>
        </w:rPr>
        <w:t>.</w:t>
      </w:r>
    </w:p>
    <w:p>
      <w:r>
        <w:rPr>
          <w:b w:val="0"/>
          <w:i w:val="0"/>
        </w:rPr>
        <w:t xml:space="preserve">Interruption arising at a non-IT supplier, or at a named customer, can be added by </w:t>
      </w:r>
      <w:hyperlink w:anchor="c_cy_end_e13">
        <w:r>
          <w:rPr>
            <w:color w:val="2E5C4E"/>
            <w:u w:val="single"/>
          </w:rPr>
          <w:t xml:space="preserve">the E13 Non-IT Dependent Business Interruption endorsement</w:t>
        </w:r>
      </w:hyperlink>
      <w:r>
        <w:rPr>
          <w:b w:val="0"/>
          <w:i w:val="0"/>
        </w:rPr>
        <w:t xml:space="preserve"> or </w:t>
      </w:r>
      <w:hyperlink w:anchor="c_cy_end_e14">
        <w:r>
          <w:rPr>
            <w:color w:val="2E5C4E"/>
            <w:u w:val="single"/>
          </w:rPr>
          <w:t xml:space="preserve">the E14 Customer Business Interruption endorsement</w:t>
        </w:r>
      </w:hyperlink>
      <w:r>
        <w:rPr>
          <w:b w:val="0"/>
          <w:i w:val="0"/>
        </w:rPr>
        <w:t>.</w:t>
      </w:r>
    </w:p>
    <w:p>
      <w:r>
        <w:rPr>
          <w:b w:val="0"/>
          <w:i w:val="0"/>
        </w:rPr>
        <w:t>Sub-limit: the amount shown in the schedule (or $500,000 in the aggregate if not stated).</w:t>
      </w:r>
    </w:p>
    <w:p>
      <w:bookmarkStart w:id="53" w:name="c_cy_ext_bricking"/>
      <w:r>
        <w:rPr>
          <w:rFonts w:ascii="Georgia" w:hAnsi="Georgia" w:eastAsia="Georgia"/>
          <w:b/>
          <w:i w:val="0"/>
          <w:color w:val="2E5C4E"/>
          <w:sz w:val="25"/>
        </w:rPr>
        <w:t>Bricking</w:t>
      </w:r>
      <w:bookmarkEnd w:id="53"/>
    </w:p>
    <w:p>
      <w:r>
        <w:rPr>
          <w:b w:val="0"/>
          <w:i w:val="0"/>
        </w:rPr>
        <w:t>If a cyber event renders any of your hardware permanently and irreparably unusable (sometimes called "bricking"), we will pay the reasonable cost of replacing the affected hardware with equipment of equivalent specification.</w:t>
      </w:r>
    </w:p>
    <w:p>
      <w:r>
        <w:rPr>
          <w:b w:val="0"/>
          <w:i w:val="0"/>
        </w:rPr>
        <w:t>Sub-limit: the amount shown in the schedule (or $250,000 in the aggregate if not stated).</w:t>
      </w:r>
    </w:p>
    <w:p>
      <w:bookmarkStart w:id="54" w:name="c_cy_ext_reputational_harm"/>
      <w:r>
        <w:rPr>
          <w:rFonts w:ascii="Georgia" w:hAnsi="Georgia" w:eastAsia="Georgia"/>
          <w:b/>
          <w:i w:val="0"/>
          <w:color w:val="2E5C4E"/>
          <w:sz w:val="25"/>
        </w:rPr>
        <w:t>Reputational Harm — Income Loss</w:t>
      </w:r>
      <w:bookmarkEnd w:id="54"/>
    </w:p>
    <w:p>
      <w:r>
        <w:rPr>
          <w:b w:val="0"/>
          <w:i w:val="0"/>
        </w:rPr>
        <w:t>If a cyber event or privacy breach covered by this policy results in negative media coverage or public reporting that causes a measurable loss of customers or revenue, we will pay your resulting net income loss for up to 12 months from the date of the first public report.</w:t>
      </w:r>
    </w:p>
    <w:p>
      <w:r>
        <w:rPr>
          <w:b w:val="0"/>
          <w:i w:val="0"/>
        </w:rPr>
        <w:t>You must demonstrate a direct causal link between the cyber event or privacy breach, the public reporting, and the loss of revenue.</w:t>
      </w:r>
    </w:p>
    <w:p>
      <w:r>
        <w:rPr>
          <w:b w:val="0"/>
          <w:i w:val="0"/>
        </w:rPr>
        <w:t>Sub-limit: the amount shown in the schedule (or $250,000 in the aggregate if not stated).</w:t>
      </w:r>
    </w:p>
    <w:p>
      <w:bookmarkStart w:id="55" w:name="c_cy_ext_telecommunications_fraud"/>
      <w:r>
        <w:rPr>
          <w:rFonts w:ascii="Georgia" w:hAnsi="Georgia" w:eastAsia="Georgia"/>
          <w:b/>
          <w:i w:val="0"/>
          <w:color w:val="2E5C4E"/>
          <w:sz w:val="25"/>
        </w:rPr>
        <w:t>Telecommunications Fraud</w:t>
      </w:r>
      <w:bookmarkEnd w:id="55"/>
    </w:p>
    <w:p>
      <w:r>
        <w:rPr>
          <w:b w:val="0"/>
          <w:i w:val="0"/>
        </w:rPr>
        <w:t xml:space="preserve">If a third party gains </w:t>
      </w:r>
      <w:r>
        <w:rPr>
          <w:b/>
          <w:i w:val="0"/>
        </w:rPr>
        <w:t>unauthorised</w:t>
      </w:r>
      <w:r>
        <w:rPr>
          <w:b w:val="0"/>
          <w:i w:val="0"/>
        </w:rPr>
        <w:t xml:space="preserve"> access to your telephone or communications system during the policy period and makes calls or uses services at your expense, we will pay the charges you incur as a direct result.</w:t>
      </w:r>
    </w:p>
    <w:p>
      <w:r>
        <w:rPr>
          <w:b w:val="0"/>
          <w:i w:val="0"/>
        </w:rPr>
        <w:t>Sub-limit: the amount shown in the schedule (or $100,000 in the aggregate if not stated).</w:t>
      </w:r>
    </w:p>
    <w:p>
      <w:bookmarkStart w:id="56" w:name="c_cy_ext_voluntary_notification"/>
      <w:r>
        <w:rPr>
          <w:rFonts w:ascii="Georgia" w:hAnsi="Georgia" w:eastAsia="Georgia"/>
          <w:b/>
          <w:i w:val="0"/>
          <w:color w:val="2E5C4E"/>
          <w:sz w:val="25"/>
        </w:rPr>
        <w:t>Voluntary Notification</w:t>
      </w:r>
      <w:bookmarkEnd w:id="56"/>
    </w:p>
    <w:p>
      <w:r>
        <w:rPr>
          <w:b w:val="0"/>
          <w:i w:val="0"/>
        </w:rPr>
        <w:t>If a privacy breach occurs and you are not legally required to notify affected individuals, but we agree that notification would be prudent, we will pay the reasonable costs of voluntary notification.</w:t>
      </w:r>
    </w:p>
    <w:p>
      <w:r>
        <w:rPr>
          <w:b w:val="0"/>
          <w:i w:val="0"/>
        </w:rPr>
        <w:t>Sub-limit: $100,000 in the aggregate.</w:t>
      </w:r>
    </w:p>
    <w:p>
      <w:bookmarkStart w:id="57" w:name="c_cy_ext_pci_dss"/>
      <w:r>
        <w:rPr>
          <w:rFonts w:ascii="Georgia" w:hAnsi="Georgia" w:eastAsia="Georgia"/>
          <w:b/>
          <w:i w:val="0"/>
          <w:color w:val="2E5C4E"/>
          <w:sz w:val="25"/>
        </w:rPr>
        <w:t>PCI-DSS Assessment</w:t>
      </w:r>
      <w:bookmarkEnd w:id="57"/>
    </w:p>
    <w:p>
      <w:r>
        <w:rPr>
          <w:b w:val="0"/>
          <w:i w:val="0"/>
        </w:rPr>
        <w:t>If a payment card industry body (such as Visa, Mastercard, or their acquiring bank) imposes a fine, penalty, or assessment on you arising from a privacy breach that involves payment card data, we will pay the amount assessed — including any contractual penalties under your merchant services agreement.</w:t>
      </w:r>
    </w:p>
    <w:p>
      <w:r>
        <w:rPr>
          <w:b w:val="0"/>
          <w:i w:val="0"/>
        </w:rPr>
        <w:t>Sub-limit: the amount shown in the schedule (or $250,000 in the aggregate if not stated).</w:t>
      </w:r>
    </w:p>
    <w:p>
      <w:bookmarkStart w:id="58" w:name="c_cy_ext_reward"/>
      <w:r>
        <w:rPr>
          <w:rFonts w:ascii="Georgia" w:hAnsi="Georgia" w:eastAsia="Georgia"/>
          <w:b/>
          <w:i w:val="0"/>
          <w:color w:val="2E5C4E"/>
          <w:sz w:val="25"/>
        </w:rPr>
        <w:t>Reward</w:t>
      </w:r>
      <w:bookmarkEnd w:id="58"/>
    </w:p>
    <w:p>
      <w:r>
        <w:rPr>
          <w:b w:val="0"/>
          <w:i w:val="0"/>
        </w:rPr>
        <w:t>We will pay the cost of a reward offered with our prior consent for information leading to the arrest and conviction of any person responsible for a cyber event covered by this policy.</w:t>
      </w:r>
    </w:p>
    <w:p>
      <w:r>
        <w:rPr>
          <w:b w:val="0"/>
          <w:i w:val="0"/>
        </w:rPr>
        <w:t>Sub-limit: $25,000 per event.</w:t>
      </w:r>
    </w:p>
    <w:p>
      <w:bookmarkStart w:id="59" w:name="c_cy_section_third_party"/>
      <w:r>
        <w:rPr>
          <w:rFonts w:ascii="Georgia" w:hAnsi="Georgia" w:eastAsia="Georgia"/>
          <w:b/>
          <w:i w:val="0"/>
          <w:color w:val="1C1915"/>
          <w:sz w:val="32"/>
        </w:rPr>
        <w:t>What Is Covered — Claims by Others (Third Party)</w:t>
      </w:r>
      <w:bookmarkEnd w:id="59"/>
    </w:p>
    <w:p>
      <w:r>
        <w:rPr>
          <w:b w:val="0"/>
          <w:i w:val="0"/>
        </w:rPr>
        <w:t xml:space="preserve">These insuring clauses cover claims that other people or organisations make against you. All cover under this section is subject to </w:t>
      </w:r>
      <w:hyperlink w:anchor="c_cy_cond_retroactive_date">
        <w:r>
          <w:rPr>
            <w:color w:val="2E5C4E"/>
            <w:u w:val="single"/>
          </w:rPr>
          <w:t xml:space="preserve">the Retroactive Date condition</w:t>
        </w:r>
      </w:hyperlink>
      <w:r>
        <w:rPr>
          <w:b w:val="0"/>
          <w:i w:val="0"/>
        </w:rPr>
        <w:t xml:space="preserve"> and to </w:t>
      </w:r>
      <w:hyperlink w:anchor="c_cy_cond_territory_and_jurisdiction">
        <w:r>
          <w:rPr>
            <w:color w:val="2E5C4E"/>
            <w:u w:val="single"/>
          </w:rPr>
          <w:t xml:space="preserve">the Territory and Jurisdiction condition</w:t>
        </w:r>
      </w:hyperlink>
      <w:r>
        <w:rPr>
          <w:b w:val="0"/>
          <w:i w:val="0"/>
        </w:rPr>
        <w:t>.</w:t>
      </w:r>
    </w:p>
    <w:p>
      <w:bookmarkStart w:id="60" w:name="c_cy_cover_privacy_liability"/>
      <w:r>
        <w:rPr>
          <w:rFonts w:ascii="Georgia" w:hAnsi="Georgia" w:eastAsia="Georgia"/>
          <w:b/>
          <w:i w:val="0"/>
          <w:color w:val="2E5C4E"/>
          <w:sz w:val="25"/>
        </w:rPr>
        <w:t>Privacy and Data Breach Liability</w:t>
      </w:r>
      <w:bookmarkEnd w:id="60"/>
    </w:p>
    <w:p>
      <w:r>
        <w:rPr>
          <w:b w:val="0"/>
          <w:i w:val="0"/>
        </w:rPr>
        <w:t>If a claim is first made against you during the policy period for a privacy breach that first occurs on or after the retroactive date, we will pay:</w:t>
      </w:r>
    </w:p>
    <w:p>
      <w:r>
        <w:rPr>
          <w:b w:val="0"/>
          <w:i w:val="0"/>
        </w:rPr>
        <w:t>(a) any amount you become legally liable to pay as compensation (including the claimant's costs); and (b) your defence costs.</w:t>
      </w:r>
    </w:p>
    <w:p>
      <w:r>
        <w:rPr>
          <w:b w:val="0"/>
          <w:i w:val="0"/>
        </w:rPr>
        <w:t>This covers claims alleging:</w:t>
      </w:r>
    </w:p>
    <w:p>
      <w:r>
        <w:rPr>
          <w:b w:val="0"/>
          <w:i w:val="0"/>
        </w:rPr>
        <w:t xml:space="preserve">(i) your failure to protect personal information or confidential corporate information; (ii) your failure to comply with the Privacy Act 1988 (Cth) or any other privacy or data protection law; (iii) your failure to notify a data breach as required by law; (iv) your failure to comply with your own published privacy policy; and (v) a serious invasion of privacy under the statutory tort described in paragraph (c) of </w:t>
      </w:r>
      <w:hyperlink w:anchor="c_cy_def_privacy_breach">
        <w:r>
          <w:rPr>
            <w:color w:val="2E5C4E"/>
            <w:u w:val="single"/>
          </w:rPr>
          <w:t xml:space="preserve">the definition of Privacy breach</w:t>
        </w:r>
      </w:hyperlink>
      <w:r>
        <w:rPr>
          <w:b w:val="0"/>
          <w:i w:val="0"/>
        </w:rPr>
        <w:t>.</w:t>
      </w:r>
    </w:p>
    <w:p>
      <w:bookmarkStart w:id="61" w:name="c_cy_cover_network_security_liability"/>
      <w:r>
        <w:rPr>
          <w:rFonts w:ascii="Georgia" w:hAnsi="Georgia" w:eastAsia="Georgia"/>
          <w:b/>
          <w:i w:val="0"/>
          <w:color w:val="2E5C4E"/>
          <w:sz w:val="25"/>
        </w:rPr>
        <w:t>Network Security Liability</w:t>
      </w:r>
      <w:bookmarkEnd w:id="61"/>
    </w:p>
    <w:p>
      <w:r>
        <w:rPr>
          <w:b w:val="0"/>
          <w:i w:val="0"/>
        </w:rPr>
        <w:t>If a claim is first made against you during the policy period for a cyber event that first occurs on or after the retroactive date, we will pay any amount you become legally liable to pay as compensation, and your defence costs, for your failure to prevent:</w:t>
      </w:r>
    </w:p>
    <w:p>
      <w:r>
        <w:rPr>
          <w:b w:val="0"/>
          <w:i w:val="0"/>
        </w:rPr>
        <w:t xml:space="preserve">(i) </w:t>
      </w:r>
      <w:r>
        <w:rPr>
          <w:b/>
          <w:i w:val="0"/>
        </w:rPr>
        <w:t>unauthorised</w:t>
      </w:r>
      <w:r>
        <w:rPr>
          <w:b w:val="0"/>
          <w:i w:val="0"/>
        </w:rPr>
        <w:t xml:space="preserve"> access to or use of your computer system; (ii) a denial-of-service attack originating from or directed at your computer system; (iii) the transmission of malware from your computer system to a third party's system; or (iv) the use of your computer system to attack a third party (where you are an unwitting intermediary).</w:t>
      </w:r>
    </w:p>
    <w:p>
      <w:bookmarkStart w:id="62" w:name="c_cy_cover_media_liability"/>
      <w:r>
        <w:rPr>
          <w:rFonts w:ascii="Georgia" w:hAnsi="Georgia" w:eastAsia="Georgia"/>
          <w:b/>
          <w:i w:val="0"/>
          <w:color w:val="2E5C4E"/>
          <w:sz w:val="25"/>
        </w:rPr>
        <w:t>Media Liability</w:t>
      </w:r>
      <w:bookmarkEnd w:id="62"/>
    </w:p>
    <w:p>
      <w:r>
        <w:rPr>
          <w:b w:val="0"/>
          <w:i w:val="0"/>
        </w:rPr>
        <w:t>If a claim is first made against you during the policy period arising from your digital media content, published on or after the retroactive date, we will pay any amount you become legally liable to pay as compensation, and your defence costs, for:</w:t>
      </w:r>
    </w:p>
    <w:p>
      <w:r>
        <w:rPr>
          <w:b w:val="0"/>
          <w:i w:val="0"/>
        </w:rPr>
        <w:t>(i) defamation (including libel and slander); (ii) breach of privacy or intrusion upon seclusion; (iii) infringement of copyright, trademark, or domain name; or (iv) plagiarism.</w:t>
      </w:r>
    </w:p>
    <w:p>
      <w:r>
        <w:rPr>
          <w:b w:val="0"/>
          <w:i w:val="0"/>
        </w:rPr>
        <w:t>This clause does not cover claims arising from advertising of products or services other than your own, or any content published by third parties on platforms you operate (unless you were aware of the content and failed to remove it after being notified).</w:t>
      </w:r>
    </w:p>
    <w:p>
      <w:bookmarkStart w:id="63" w:name="c_cy_cover_regulatory_defence"/>
      <w:r>
        <w:rPr>
          <w:rFonts w:ascii="Georgia" w:hAnsi="Georgia" w:eastAsia="Georgia"/>
          <w:b/>
          <w:i w:val="0"/>
          <w:color w:val="2E5C4E"/>
          <w:sz w:val="25"/>
        </w:rPr>
        <w:t>Regulatory Defence Costs</w:t>
      </w:r>
      <w:bookmarkEnd w:id="63"/>
    </w:p>
    <w:p>
      <w:r>
        <w:rPr>
          <w:b w:val="0"/>
          <w:i w:val="0"/>
        </w:rPr>
        <w:t>We will pay your defence costs in responding to a formal investigation, inquiry, or proceeding by a regulator (including the OAIC, ASIC, ACMA, or any state, territory, or foreign equivalent) arising from a cyber event or privacy breach covered by this policy.</w:t>
      </w:r>
    </w:p>
    <w:p>
      <w:bookmarkStart w:id="64" w:name="c_cy_ext_court_attendance"/>
      <w:r>
        <w:rPr>
          <w:rFonts w:ascii="Georgia" w:hAnsi="Georgia" w:eastAsia="Georgia"/>
          <w:b/>
          <w:i w:val="0"/>
          <w:color w:val="2E5C4E"/>
          <w:sz w:val="25"/>
        </w:rPr>
        <w:t>Court Attendance</w:t>
      </w:r>
      <w:bookmarkEnd w:id="64"/>
    </w:p>
    <w:p>
      <w:r>
        <w:rPr>
          <w:b w:val="0"/>
          <w:i w:val="0"/>
        </w:rPr>
        <w:t>If any insured person attends court, a tribunal, or an arbitration as a witness in connection with a claim covered by this policy, we will pay $500 per day or part-day of attendance required by us.</w:t>
      </w:r>
    </w:p>
    <w:p>
      <w:r>
        <w:rPr>
          <w:b w:val="0"/>
          <w:i w:val="0"/>
        </w:rPr>
        <w:t>Sub-limit: $10,000 in the aggregate.</w:t>
      </w:r>
    </w:p>
    <w:p>
      <w:bookmarkStart w:id="65" w:name="c_cy_section_exclusions"/>
      <w:r>
        <w:rPr>
          <w:rFonts w:ascii="Georgia" w:hAnsi="Georgia" w:eastAsia="Georgia"/>
          <w:b/>
          <w:i w:val="0"/>
          <w:color w:val="1C1915"/>
          <w:sz w:val="32"/>
        </w:rPr>
        <w:t>What Is Not Covered</w:t>
      </w:r>
      <w:bookmarkEnd w:id="65"/>
    </w:p>
    <w:p>
      <w:r>
        <w:rPr>
          <w:b w:val="0"/>
          <w:i w:val="0"/>
        </w:rPr>
        <w:t>We do not cover any loss, cost, expense, claim, or liability as set out in the exclusions below.</w:t>
      </w:r>
    </w:p>
    <w:p>
      <w:bookmarkStart w:id="66" w:name="c_cy_excl_war"/>
      <w:r>
        <w:rPr>
          <w:rFonts w:ascii="Georgia" w:hAnsi="Georgia" w:eastAsia="Georgia"/>
          <w:b/>
          <w:i w:val="0"/>
          <w:color w:val="2E5C4E"/>
          <w:sz w:val="25"/>
        </w:rPr>
        <w:t>War and State-Backed Cyber Operations</w:t>
      </w:r>
      <w:bookmarkEnd w:id="66"/>
    </w:p>
    <w:p>
      <w:r>
        <w:rPr>
          <w:b w:val="0"/>
          <w:i w:val="0"/>
        </w:rPr>
        <w:t>arising from:</w:t>
      </w:r>
    </w:p>
    <w:p>
      <w:r>
        <w:rPr>
          <w:b w:val="0"/>
          <w:i w:val="0"/>
        </w:rPr>
        <w:t>(a) war (whether or not declared), civil war, invasion, hostilities between states, rebellion, revolution, insurrection, or the use or usurpation of military power; (b) the use of a computer system, by or on behalf of a state, to cause harm in the course of war; (c) the use of a computer system, by or on behalf of a state, that has a major disabling effect on the essential functions of another state; or (d) action taken between states in response to any of the above.</w:t>
      </w:r>
    </w:p>
    <w:p>
      <w:r>
        <w:rPr>
          <w:b/>
          <w:i w:val="0"/>
        </w:rPr>
        <w:t>Definitions for this exclusion.</w:t>
      </w:r>
      <w:r>
        <w:rPr>
          <w:b w:val="0"/>
          <w:i w:val="0"/>
        </w:rPr>
        <w:t xml:space="preserve"> In this exclusion, a reference to the use of a computer system by or on behalf of a state includes using it to damage, disrupt, or interfere with information, systems, or networks, whether the target is in another state or elsewhere. A major disabling effect on the essential functions of a state means significantly impairing an essential service (such as energy, water, financial services, telecommunications, transport, or health) or the state's security or defence.</w:t>
      </w:r>
    </w:p>
    <w:p>
      <w:r>
        <w:rPr>
          <w:b/>
          <w:i w:val="0"/>
        </w:rPr>
        <w:t>Attribution.</w:t>
      </w:r>
      <w:r>
        <w:rPr>
          <w:b w:val="0"/>
          <w:i w:val="0"/>
        </w:rPr>
        <w:t xml:space="preserve"> Whether an act is carried out by or on behalf of a state is determined by reference to any attribution made by the government of the state where the affected computer system is located. If that government does not make an attribution, we may rely on a reasonable and informed assessment of the available evidence. If attribution is disputed, the burden of proving it rests with us.</w:t>
      </w:r>
    </w:p>
    <w:p>
      <w:r>
        <w:rPr>
          <w:b/>
          <w:i w:val="0"/>
        </w:rPr>
        <w:t>Systems outside the affected state.</w:t>
      </w:r>
      <w:r>
        <w:rPr>
          <w:b w:val="0"/>
          <w:i w:val="0"/>
        </w:rPr>
        <w:t xml:space="preserve"> Paragraphs (b), (c) and (d) do not apply to loss arising from the effect on your computer system or data that is not physically located in a state that has suffered the harm, or the major disabling effect, described in those paragraphs, if the effect on your computer system is not itself a use of a computer system by or on behalf of a state.</w:t>
      </w:r>
    </w:p>
    <w:p>
      <w:r>
        <w:rPr>
          <w:b w:val="0"/>
          <w:i w:val="0"/>
        </w:rPr>
        <w:t>This exclusion does not apply to a cyber event that is not carried out by or on behalf of a state, even if it occurs during a period of war.</w:t>
      </w:r>
    </w:p>
    <w:p>
      <w:r>
        <w:rPr>
          <w:b/>
          <w:i w:val="0"/>
        </w:rPr>
        <w:t>For the avoidance of doubt, a cyber event carried out by a non-state actor for ideological, political, or terrorist purposes is not excluded by this exclusion.</w:t>
      </w:r>
      <w:r>
        <w:rPr>
          <w:b w:val="0"/>
          <w:i w:val="0"/>
        </w:rPr>
        <w:t xml:space="preserve"> Cover for such an event is determined by the other terms, conditions, and exclusions of this policy. [WP REVIEW: confirm conformity with the adopting insurer's reinsurance treaty war and state-backed cyber wording, including the carve-back for systems outside the affected state.]</w:t>
      </w:r>
    </w:p>
    <w:p>
      <w:bookmarkStart w:id="67" w:name="c_cy_excl_infrastructure"/>
      <w:r>
        <w:rPr>
          <w:rFonts w:ascii="Georgia" w:hAnsi="Georgia" w:eastAsia="Georgia"/>
          <w:b/>
          <w:i w:val="0"/>
          <w:color w:val="2E5C4E"/>
          <w:sz w:val="25"/>
        </w:rPr>
        <w:t>Infrastructure Failure</w:t>
      </w:r>
      <w:bookmarkEnd w:id="67"/>
    </w:p>
    <w:p>
      <w:r>
        <w:rPr>
          <w:b w:val="0"/>
          <w:i w:val="0"/>
        </w:rPr>
        <w:t>arising from the failure, interruption, or outage of:</w:t>
      </w:r>
    </w:p>
    <w:p>
      <w:r>
        <w:rPr>
          <w:b w:val="0"/>
          <w:i w:val="0"/>
        </w:rPr>
        <w:t>(a) the public internet or a national telecommunications network; (b) the electricity grid or other utility supply; or (c) satellite or GPS systems,</w:t>
      </w:r>
    </w:p>
    <w:p>
      <w:r>
        <w:rPr>
          <w:b w:val="0"/>
          <w:i w:val="0"/>
        </w:rPr>
        <w:t>that is not caused by a cyber event or dependent event specifically targeting your computer system or your service provider's systems.</w:t>
      </w:r>
    </w:p>
    <w:p>
      <w:bookmarkStart w:id="68" w:name="c_cy_excl_bodily_injury_property_damage"/>
      <w:r>
        <w:rPr>
          <w:rFonts w:ascii="Georgia" w:hAnsi="Georgia" w:eastAsia="Georgia"/>
          <w:b/>
          <w:i w:val="0"/>
          <w:color w:val="2E5C4E"/>
          <w:sz w:val="25"/>
        </w:rPr>
        <w:t>Bodily Injury and Property Damage</w:t>
      </w:r>
      <w:bookmarkEnd w:id="68"/>
    </w:p>
    <w:p>
      <w:r>
        <w:rPr>
          <w:b w:val="0"/>
          <w:i w:val="0"/>
        </w:rPr>
        <w:t>arising from the death, bodily injury, illness, or disease of any person, or from physical loss of or damage to tangible property. Data is not tangible property for the purposes of this exclusion.</w:t>
      </w:r>
    </w:p>
    <w:p>
      <w:bookmarkStart w:id="69" w:name="c_cy_excl_professional_services"/>
      <w:r>
        <w:rPr>
          <w:rFonts w:ascii="Georgia" w:hAnsi="Georgia" w:eastAsia="Georgia"/>
          <w:b/>
          <w:i w:val="0"/>
          <w:color w:val="2E5C4E"/>
          <w:sz w:val="25"/>
        </w:rPr>
        <w:t>Professional Services</w:t>
      </w:r>
      <w:bookmarkEnd w:id="69"/>
    </w:p>
    <w:p>
      <w:r>
        <w:rPr>
          <w:b w:val="0"/>
          <w:i w:val="0"/>
        </w:rPr>
        <w:t>for any errors or omissions in professional advice or services you provide to third parties.</w:t>
      </w:r>
    </w:p>
    <w:p>
      <w:r>
        <w:rPr>
          <w:b w:val="0"/>
          <w:i w:val="0"/>
        </w:rPr>
        <w:t>This exposure is designed to be covered under a professional indemnity policy. However, if the advice or service relates to IT security and the resulting claim involves a cyber event, you should check whether your PI policy's cyber carve-back responds.</w:t>
      </w:r>
    </w:p>
    <w:p>
      <w:bookmarkStart w:id="70" w:name="c_cy_excl_contractual_liability"/>
      <w:r>
        <w:rPr>
          <w:rFonts w:ascii="Georgia" w:hAnsi="Georgia" w:eastAsia="Georgia"/>
          <w:b/>
          <w:i w:val="0"/>
          <w:color w:val="2E5C4E"/>
          <w:sz w:val="25"/>
        </w:rPr>
        <w:t>Contractual Liability</w:t>
      </w:r>
      <w:bookmarkEnd w:id="70"/>
    </w:p>
    <w:p>
      <w:r>
        <w:rPr>
          <w:b w:val="0"/>
          <w:i w:val="0"/>
        </w:rPr>
        <w:t>for any liability you assume under a contract that is greater than the liability you would have at law without the contract — except for:</w:t>
      </w:r>
    </w:p>
    <w:p>
      <w:r>
        <w:rPr>
          <w:b w:val="0"/>
          <w:i w:val="0"/>
        </w:rPr>
        <w:t xml:space="preserve">(a) liability under a confidentiality or non-disclosure agreement; and (b) PCI-DSS assessments under your merchant services agreement (covered under </w:t>
      </w:r>
      <w:hyperlink w:anchor="c_cy_ext_pci_dss">
        <w:r>
          <w:rPr>
            <w:color w:val="2E5C4E"/>
            <w:u w:val="single"/>
          </w:rPr>
          <w:t xml:space="preserve">the PCI-DSS Assessment extension</w:t>
        </w:r>
      </w:hyperlink>
      <w:r>
        <w:rPr>
          <w:b w:val="0"/>
          <w:i w:val="0"/>
        </w:rPr>
        <w:t>).</w:t>
      </w:r>
    </w:p>
    <w:p>
      <w:bookmarkStart w:id="71" w:name="c_cy_excl_deliberate_acts"/>
      <w:r>
        <w:rPr>
          <w:rFonts w:ascii="Georgia" w:hAnsi="Georgia" w:eastAsia="Georgia"/>
          <w:b/>
          <w:i w:val="0"/>
          <w:color w:val="2E5C4E"/>
          <w:sz w:val="25"/>
        </w:rPr>
        <w:t>Deliberate and Dishonest Acts</w:t>
      </w:r>
      <w:bookmarkEnd w:id="71"/>
    </w:p>
    <w:p>
      <w:r>
        <w:rPr>
          <w:b w:val="0"/>
          <w:i w:val="0"/>
        </w:rPr>
        <w:t>arising from any cyber event or privacy breach that a member of the control group deliberately causes, condones, or directs. The deliberate conduct of an employee who is not a member of the control group is not treated as the conduct of the company. However: we will still cover any insured person who did not personally participate in, direct, or know about the conduct. This protection applies separately to each insured person.</w:t>
      </w:r>
    </w:p>
    <w:p>
      <w:bookmarkStart w:id="72" w:name="c_cy_excl_prior_known_events"/>
      <w:r>
        <w:rPr>
          <w:rFonts w:ascii="Georgia" w:hAnsi="Georgia" w:eastAsia="Georgia"/>
          <w:b/>
          <w:i w:val="0"/>
          <w:color w:val="2E5C4E"/>
          <w:sz w:val="25"/>
        </w:rPr>
        <w:t>Prior Known Events</w:t>
      </w:r>
      <w:bookmarkEnd w:id="72"/>
    </w:p>
    <w:p>
      <w:r>
        <w:rPr>
          <w:b w:val="0"/>
          <w:i w:val="0"/>
        </w:rPr>
        <w:t>arising from any cyber event or privacy breach that:</w:t>
      </w:r>
    </w:p>
    <w:p>
      <w:r>
        <w:rPr>
          <w:b w:val="0"/>
          <w:i w:val="0"/>
        </w:rPr>
        <w:t xml:space="preserve">(a) a member of the control group knew about before the start of this policy period; or (b) first occurred before the retroactive date (see also </w:t>
      </w:r>
      <w:hyperlink w:anchor="c_cy_cond_retroactive_date">
        <w:r>
          <w:rPr>
            <w:color w:val="2E5C4E"/>
            <w:u w:val="single"/>
          </w:rPr>
          <w:t xml:space="preserve">the Retroactive Date condition</w:t>
        </w:r>
      </w:hyperlink>
      <w:r>
        <w:rPr>
          <w:b w:val="0"/>
          <w:i w:val="0"/>
        </w:rPr>
        <w:t>),</w:t>
      </w:r>
    </w:p>
    <w:p>
      <w:r>
        <w:rPr>
          <w:b w:val="0"/>
          <w:i w:val="0"/>
        </w:rPr>
        <w:t xml:space="preserve">or from any wrongful act or publication, for </w:t>
      </w:r>
      <w:hyperlink w:anchor="c_cy_cover_media_liability">
        <w:r>
          <w:rPr>
            <w:color w:val="2E5C4E"/>
            <w:u w:val="single"/>
          </w:rPr>
          <w:t xml:space="preserve">the Media Liability clause</w:t>
        </w:r>
      </w:hyperlink>
      <w:r>
        <w:rPr>
          <w:b w:val="0"/>
          <w:i w:val="0"/>
        </w:rPr>
        <w:t>, that first occurred before the retroactive date. What a member of the control group knows is the knowledge of the company. It is not treated as the knowledge of any other insured person who did not know it.</w:t>
      </w:r>
    </w:p>
    <w:p>
      <w:bookmarkStart w:id="73" w:name="c_cy_excl_unsupported_software"/>
      <w:r>
        <w:rPr>
          <w:rFonts w:ascii="Georgia" w:hAnsi="Georgia" w:eastAsia="Georgia"/>
          <w:b/>
          <w:i w:val="0"/>
          <w:color w:val="2E5C4E"/>
          <w:sz w:val="25"/>
        </w:rPr>
        <w:t>Unsupported Software</w:t>
      </w:r>
      <w:bookmarkEnd w:id="73"/>
    </w:p>
    <w:p>
      <w:r>
        <w:rPr>
          <w:b w:val="0"/>
          <w:i w:val="0"/>
        </w:rPr>
        <w:t xml:space="preserve">arising from a cyber event that exploits a known vulnerability in software or an operating system that has reached end-of-life and is no longer supported by the vendor with security patches — unless </w:t>
      </w:r>
      <w:hyperlink w:anchor="c_cy_end_e03">
        <w:r>
          <w:rPr>
            <w:color w:val="2E5C4E"/>
            <w:u w:val="single"/>
          </w:rPr>
          <w:t xml:space="preserve">the E03 End-of-Life Software endorsement</w:t>
        </w:r>
      </w:hyperlink>
      <w:r>
        <w:rPr>
          <w:b w:val="0"/>
          <w:i w:val="0"/>
        </w:rPr>
        <w:t xml:space="preserve"> is shown in the schedule, or you can demonstrate that you had implemented reasonable compensating controls (such as network segmentation, application whitelisting, or virtual patching).</w:t>
      </w:r>
    </w:p>
    <w:p>
      <w:bookmarkStart w:id="74" w:name="c_cy_excl_patent_trade_secrets"/>
      <w:r>
        <w:rPr>
          <w:rFonts w:ascii="Georgia" w:hAnsi="Georgia" w:eastAsia="Georgia"/>
          <w:b/>
          <w:i w:val="0"/>
          <w:color w:val="2E5C4E"/>
          <w:sz w:val="25"/>
        </w:rPr>
        <w:t>Patent and Trade Secrets</w:t>
      </w:r>
      <w:bookmarkEnd w:id="74"/>
    </w:p>
    <w:p>
      <w:r>
        <w:rPr>
          <w:b w:val="0"/>
          <w:i w:val="0"/>
        </w:rPr>
        <w:t xml:space="preserve">for the infringement of a patent or the misappropriation of a trade secret. Copyright and trademark infringement arising from your digital media content is covered under </w:t>
      </w:r>
      <w:hyperlink w:anchor="c_cy_cover_media_liability">
        <w:r>
          <w:rPr>
            <w:color w:val="2E5C4E"/>
            <w:u w:val="single"/>
          </w:rPr>
          <w:t xml:space="preserve">the Media Liability clause</w:t>
        </w:r>
      </w:hyperlink>
      <w:r>
        <w:rPr>
          <w:b w:val="0"/>
          <w:i w:val="0"/>
        </w:rPr>
        <w:t>.</w:t>
      </w:r>
    </w:p>
    <w:p>
      <w:bookmarkStart w:id="75" w:name="c_cy_excl_nuclear"/>
      <w:r>
        <w:rPr>
          <w:rFonts w:ascii="Georgia" w:hAnsi="Georgia" w:eastAsia="Georgia"/>
          <w:b/>
          <w:i w:val="0"/>
          <w:color w:val="2E5C4E"/>
          <w:sz w:val="25"/>
        </w:rPr>
        <w:t>Nuclear</w:t>
      </w:r>
      <w:bookmarkEnd w:id="75"/>
    </w:p>
    <w:p>
      <w:r>
        <w:rPr>
          <w:b w:val="0"/>
          <w:i w:val="0"/>
        </w:rPr>
        <w:t>arising from nuclear reaction, radiation, or radioactive contamination.</w:t>
      </w:r>
    </w:p>
    <w:p>
      <w:bookmarkStart w:id="76" w:name="c_cy_excl_unfair_collection"/>
      <w:r>
        <w:rPr>
          <w:rFonts w:ascii="Georgia" w:hAnsi="Georgia" w:eastAsia="Georgia"/>
          <w:b/>
          <w:i w:val="0"/>
          <w:color w:val="2E5C4E"/>
          <w:sz w:val="25"/>
        </w:rPr>
        <w:t>Unfair Collection Practices</w:t>
      </w:r>
      <w:bookmarkEnd w:id="76"/>
    </w:p>
    <w:p>
      <w:r>
        <w:rPr>
          <w:b w:val="0"/>
          <w:i w:val="0"/>
        </w:rPr>
        <w:t>arising from your collection, use, or disclosure of personal information in a manner that is deliberately deceptive, deliberately unfair, or that you know to be in violation of law — as distinct from a negligent or accidental failure to comply.</w:t>
      </w:r>
    </w:p>
    <w:p>
      <w:bookmarkStart w:id="77" w:name="c_cy_excl_trading_losses"/>
      <w:r>
        <w:rPr>
          <w:rFonts w:ascii="Georgia" w:hAnsi="Georgia" w:eastAsia="Georgia"/>
          <w:b/>
          <w:i w:val="0"/>
          <w:color w:val="2E5C4E"/>
          <w:sz w:val="25"/>
        </w:rPr>
        <w:t>Trading Losses</w:t>
      </w:r>
      <w:bookmarkEnd w:id="77"/>
    </w:p>
    <w:p>
      <w:r>
        <w:rPr>
          <w:b w:val="0"/>
          <w:i w:val="0"/>
        </w:rPr>
        <w:t xml:space="preserve">for your lost profit or revenue other than net income loss covered under </w:t>
      </w:r>
      <w:hyperlink w:anchor="c_cy_cover_business_interruption">
        <w:r>
          <w:rPr>
            <w:color w:val="2E5C4E"/>
            <w:u w:val="single"/>
          </w:rPr>
          <w:t xml:space="preserve">the Business Interruption clause</w:t>
        </w:r>
      </w:hyperlink>
      <w:r>
        <w:rPr>
          <w:b w:val="0"/>
          <w:i w:val="0"/>
        </w:rPr>
        <w:t xml:space="preserve">, </w:t>
      </w:r>
      <w:hyperlink w:anchor="c_cy_ext_dependent_business_interruption">
        <w:r>
          <w:rPr>
            <w:color w:val="2E5C4E"/>
            <w:u w:val="single"/>
          </w:rPr>
          <w:t xml:space="preserve">the Dependent Business Interruption extension</w:t>
        </w:r>
      </w:hyperlink>
      <w:r>
        <w:rPr>
          <w:b w:val="0"/>
          <w:i w:val="0"/>
        </w:rPr>
        <w:t xml:space="preserve"> and </w:t>
      </w:r>
      <w:hyperlink w:anchor="c_cy_ext_reputational_harm">
        <w:r>
          <w:rPr>
            <w:color w:val="2E5C4E"/>
            <w:u w:val="single"/>
          </w:rPr>
          <w:t xml:space="preserve">the Reputational Harm — Income Loss extension</w:t>
        </w:r>
      </w:hyperlink>
      <w:r>
        <w:rPr>
          <w:b w:val="0"/>
          <w:i w:val="0"/>
        </w:rPr>
        <w:t xml:space="preserve">, or for the loss of any client, contract, or business opportunity (other than as measured under </w:t>
      </w:r>
      <w:hyperlink w:anchor="c_cy_ext_reputational_harm">
        <w:r>
          <w:rPr>
            <w:color w:val="2E5C4E"/>
            <w:u w:val="single"/>
          </w:rPr>
          <w:t xml:space="preserve">the Reputational Harm — Income Loss extension</w:t>
        </w:r>
      </w:hyperlink>
      <w:r>
        <w:rPr>
          <w:b w:val="0"/>
          <w:i w:val="0"/>
        </w:rPr>
        <w:t>).</w:t>
      </w:r>
    </w:p>
    <w:p>
      <w:bookmarkStart w:id="78" w:name="c_cy_excl_improvement_costs"/>
      <w:r>
        <w:rPr>
          <w:rFonts w:ascii="Georgia" w:hAnsi="Georgia" w:eastAsia="Georgia"/>
          <w:b/>
          <w:i w:val="0"/>
          <w:color w:val="2E5C4E"/>
          <w:sz w:val="25"/>
        </w:rPr>
        <w:t>Improvement and Upgrade Costs</w:t>
      </w:r>
      <w:bookmarkEnd w:id="78"/>
    </w:p>
    <w:p>
      <w:r>
        <w:rPr>
          <w:b w:val="0"/>
          <w:i w:val="0"/>
        </w:rPr>
        <w:t xml:space="preserve">for the costs of improving, upgrading, or redesigning your computer system beyond its pre-event specification — except as provided under </w:t>
      </w:r>
      <w:hyperlink w:anchor="c_cy_ext_betterment">
        <w:r>
          <w:rPr>
            <w:color w:val="2E5C4E"/>
            <w:u w:val="single"/>
          </w:rPr>
          <w:t xml:space="preserve">the Betterment extension</w:t>
        </w:r>
      </w:hyperlink>
      <w:r>
        <w:rPr>
          <w:b w:val="0"/>
          <w:i w:val="0"/>
        </w:rPr>
        <w:t xml:space="preserve"> and to the extent necessary to restore functionality.</w:t>
      </w:r>
    </w:p>
    <w:p>
      <w:bookmarkStart w:id="79" w:name="c_cy_section_payment"/>
      <w:r>
        <w:rPr>
          <w:rFonts w:ascii="Georgia" w:hAnsi="Georgia" w:eastAsia="Georgia"/>
          <w:b/>
          <w:i w:val="0"/>
          <w:color w:val="1C1915"/>
          <w:sz w:val="32"/>
        </w:rPr>
        <w:t>How Much We Will Pay</w:t>
      </w:r>
      <w:bookmarkEnd w:id="79"/>
    </w:p>
    <w:p>
      <w:bookmarkStart w:id="80" w:name="c_cy_pay_limit_of_liability"/>
      <w:r>
        <w:rPr>
          <w:rFonts w:ascii="Georgia" w:hAnsi="Georgia" w:eastAsia="Georgia"/>
          <w:b/>
          <w:i w:val="0"/>
          <w:color w:val="2E5C4E"/>
          <w:sz w:val="25"/>
        </w:rPr>
        <w:t>Limit of Liability</w:t>
      </w:r>
      <w:bookmarkEnd w:id="80"/>
    </w:p>
    <w:p>
      <w:r>
        <w:rPr>
          <w:b w:val="0"/>
          <w:i w:val="0"/>
        </w:rPr>
        <w:t>The most we will pay for all losses, costs, expenses, and claims combined during the policy period is the limit of liability shown in your schedule. This is an aggregate limit.</w:t>
      </w:r>
    </w:p>
    <w:p>
      <w:bookmarkStart w:id="81" w:name="c_cy_pay_sub_limits"/>
      <w:r>
        <w:rPr>
          <w:rFonts w:ascii="Georgia" w:hAnsi="Georgia" w:eastAsia="Georgia"/>
          <w:b/>
          <w:i w:val="0"/>
          <w:color w:val="2E5C4E"/>
          <w:sz w:val="25"/>
        </w:rPr>
        <w:t>Sub-Limits</w:t>
      </w:r>
      <w:bookmarkEnd w:id="81"/>
    </w:p>
    <w:p>
      <w:r>
        <w:rPr>
          <w:b w:val="0"/>
          <w:i w:val="0"/>
        </w:rPr>
        <w:t>Where a sub-limit is stated (either in this wording or in the schedule), that sub-limit is included within — not in addition to — the limit of liability, unless the schedule states otherwise.</w:t>
      </w:r>
    </w:p>
    <w:p>
      <w:bookmarkStart w:id="82" w:name="c_cy_pay_defence_costs"/>
      <w:r>
        <w:rPr>
          <w:rFonts w:ascii="Georgia" w:hAnsi="Georgia" w:eastAsia="Georgia"/>
          <w:b/>
          <w:i w:val="0"/>
          <w:color w:val="2E5C4E"/>
          <w:sz w:val="25"/>
        </w:rPr>
        <w:t>Defence Costs</w:t>
      </w:r>
      <w:bookmarkEnd w:id="82"/>
    </w:p>
    <w:p>
      <w:r>
        <w:rPr>
          <w:b w:val="0"/>
          <w:i w:val="0"/>
        </w:rPr>
        <w:t xml:space="preserve">Defence costs are included within the limit of liability, unless </w:t>
      </w:r>
      <w:hyperlink w:anchor="c_cy_end_e02">
        <w:r>
          <w:rPr>
            <w:color w:val="2E5C4E"/>
            <w:u w:val="single"/>
          </w:rPr>
          <w:t xml:space="preserve">the E02 Defence Costs in Addition to the Limit endorsement</w:t>
        </w:r>
      </w:hyperlink>
      <w:r>
        <w:rPr>
          <w:b w:val="0"/>
          <w:i w:val="0"/>
        </w:rPr>
        <w:t xml:space="preserve"> is shown in the schedule. We will advance defence costs as they are incurred, before the outcome of a claim is determined. If it is later established that a claim is not covered, you must repay any defence costs we advanced for the uncovered portion.</w:t>
      </w:r>
    </w:p>
    <w:p>
      <w:bookmarkStart w:id="83" w:name="c_cy_pay_excess"/>
      <w:r>
        <w:rPr>
          <w:rFonts w:ascii="Georgia" w:hAnsi="Georgia" w:eastAsia="Georgia"/>
          <w:b/>
          <w:i w:val="0"/>
          <w:color w:val="2E5C4E"/>
          <w:sz w:val="25"/>
        </w:rPr>
        <w:t>Excess</w:t>
      </w:r>
      <w:bookmarkEnd w:id="83"/>
    </w:p>
    <w:p>
      <w:r>
        <w:rPr>
          <w:b w:val="0"/>
          <w:i w:val="0"/>
        </w:rPr>
        <w:t>You must pay the excess shown in the schedule as the first part of each claim or insured loss. The excess may differ between sections.</w:t>
      </w:r>
    </w:p>
    <w:p>
      <w:r>
        <w:rPr>
          <w:b/>
          <w:i w:val="0"/>
        </w:rPr>
        <w:t>Aggregation.</w:t>
      </w:r>
      <w:r>
        <w:rPr>
          <w:b w:val="0"/>
          <w:i w:val="0"/>
        </w:rPr>
        <w:t xml:space="preserve"> Claims arising from the same or related events are aggregated under </w:t>
      </w:r>
      <w:hyperlink w:anchor="c_cy_def_claim">
        <w:r>
          <w:rPr>
            <w:color w:val="2E5C4E"/>
            <w:u w:val="single"/>
          </w:rPr>
          <w:t xml:space="preserve">the definition of Claim</w:t>
        </w:r>
      </w:hyperlink>
      <w:r>
        <w:rPr>
          <w:b w:val="0"/>
          <w:i w:val="0"/>
        </w:rPr>
        <w:t xml:space="preserve">; first-party losses arising from the same or related events are aggregated under </w:t>
      </w:r>
      <w:hyperlink w:anchor="c_cy_def_insured_loss">
        <w:r>
          <w:rPr>
            <w:color w:val="2E5C4E"/>
            <w:u w:val="single"/>
          </w:rPr>
          <w:t xml:space="preserve">the definition of Insured loss</w:t>
        </w:r>
      </w:hyperlink>
      <w:r>
        <w:rPr>
          <w:b w:val="0"/>
          <w:i w:val="0"/>
        </w:rPr>
        <w:t>. Only one excess applies to a single claim or a single insured loss (as aggregated).</w:t>
      </w:r>
    </w:p>
    <w:p>
      <w:r>
        <w:rPr>
          <w:b/>
          <w:i w:val="0"/>
        </w:rPr>
        <w:t>Multiple sections or endorsements.</w:t>
      </w:r>
      <w:r>
        <w:rPr>
          <w:b w:val="0"/>
          <w:i w:val="0"/>
        </w:rPr>
        <w:t xml:space="preserve"> Where a single cyber event, dependent event, privacy breach, or cyber extortion threat gives rise to insured loss or a claim under more than one section or endorsement of this policy, only the highest applicable excess for those sections or endorsements applies, and the related losses and claims are treated as a single insured loss or single claim for the purposes of the excess.</w:t>
      </w:r>
    </w:p>
    <w:p>
      <w:r>
        <w:rPr>
          <w:b w:val="0"/>
          <w:i w:val="0"/>
        </w:rPr>
        <w:t xml:space="preserve">The excess does not apply to incident response costs under </w:t>
      </w:r>
      <w:hyperlink w:anchor="c_cy_cover_incident_response">
        <w:r>
          <w:rPr>
            <w:color w:val="2E5C4E"/>
            <w:u w:val="single"/>
          </w:rPr>
          <w:t xml:space="preserve">the Incident Response Costs clause</w:t>
        </w:r>
      </w:hyperlink>
      <w:r>
        <w:rPr>
          <w:b w:val="0"/>
          <w:i w:val="0"/>
        </w:rPr>
        <w:t xml:space="preserve"> unless the schedule specifically states otherwise. We want you to respond quickly — not hesitate because of the excess.</w:t>
      </w:r>
    </w:p>
    <w:p>
      <w:bookmarkStart w:id="84" w:name="c_cy_pay_other_insurance"/>
      <w:r>
        <w:rPr>
          <w:rFonts w:ascii="Georgia" w:hAnsi="Georgia" w:eastAsia="Georgia"/>
          <w:b/>
          <w:i w:val="0"/>
          <w:color w:val="2E5C4E"/>
          <w:sz w:val="25"/>
        </w:rPr>
        <w:t>Other Insurance</w:t>
      </w:r>
      <w:bookmarkEnd w:id="84"/>
    </w:p>
    <w:p>
      <w:r>
        <w:rPr>
          <w:b w:val="0"/>
          <w:i w:val="0"/>
        </w:rPr>
        <w:t>If a loss covered by this policy is also covered by another insurance policy, we will not refuse or reduce our payment because of that other insurance. We may seek contribution from the other insurer as the law allows. This does not apply where the schedule or an endorsement states that this policy is excess of a specified underlying policy, in which case this policy pays only after the limit of that specified policy is exhausted. The crime priority rule below is the one other exception.</w:t>
      </w:r>
    </w:p>
    <w:p>
      <w:r>
        <w:rPr>
          <w:b/>
          <w:i w:val="0"/>
        </w:rPr>
        <w:t>Crime priority rule.</w:t>
      </w:r>
      <w:r>
        <w:rPr>
          <w:b w:val="0"/>
          <w:i w:val="0"/>
        </w:rPr>
        <w:t xml:space="preserve"> Crime insurance is primary for loss of money, securities or property through social engineering fraud or funds transfer fraud, including computer-enabled theft of them. If a loss under </w:t>
      </w:r>
      <w:hyperlink w:anchor="c_cy_cover_funds_transfer_fraud">
        <w:r>
          <w:rPr>
            <w:color w:val="2E5C4E"/>
            <w:u w:val="single"/>
          </w:rPr>
          <w:t xml:space="preserve">the Funds Transfer Fraud clause</w:t>
        </w:r>
      </w:hyperlink>
      <w:r>
        <w:rPr>
          <w:b w:val="0"/>
          <w:i w:val="0"/>
        </w:rPr>
        <w:t xml:space="preserve">, </w:t>
      </w:r>
      <w:hyperlink w:anchor="c_cy_cover_social_engineering">
        <w:r>
          <w:rPr>
            <w:color w:val="2E5C4E"/>
            <w:u w:val="single"/>
          </w:rPr>
          <w:t xml:space="preserve">the Social Engineering Fraud clause</w:t>
        </w:r>
      </w:hyperlink>
      <w:r>
        <w:rPr>
          <w:b w:val="0"/>
          <w:i w:val="0"/>
        </w:rPr>
        <w:t xml:space="preserve"> or </w:t>
      </w:r>
      <w:hyperlink w:anchor="c_cy_end_e08">
        <w:r>
          <w:rPr>
            <w:color w:val="2E5C4E"/>
            <w:u w:val="single"/>
          </w:rPr>
          <w:t xml:space="preserve">the E08 Invoice Manipulation Fraud endorsement</w:t>
        </w:r>
      </w:hyperlink>
      <w:r>
        <w:rPr>
          <w:b w:val="0"/>
          <w:i w:val="0"/>
        </w:rPr>
        <w:t xml:space="preserve"> is also covered by a crime policy, the crime policy pays first. This policy then pays only the part of the loss that is above what the crime policy pays, up to the limit and sub-limit of this policy. This applies whether or not we wrote the crime policy. If the crime policy also says that it is excess, the two policies share the loss in proportion to their limits. If there is no crime policy that covers the loss, this policy responds in full.</w:t>
      </w:r>
    </w:p>
    <w:p>
      <w:r>
        <w:rPr>
          <w:b w:val="0"/>
          <w:i w:val="0"/>
        </w:rPr>
        <w:t>[WP REVIEW: check the crime priority rule against s.45 of the Insurance Contracts Act 1984 (Cth), and confirm that the same rule appears in the Comprehensive Crime wording.]</w:t>
      </w:r>
    </w:p>
    <w:p>
      <w:bookmarkStart w:id="85" w:name="c_cy_pay_paying_out_the_limit"/>
      <w:r>
        <w:rPr>
          <w:rFonts w:ascii="Georgia" w:hAnsi="Georgia" w:eastAsia="Georgia"/>
          <w:b/>
          <w:i w:val="0"/>
          <w:color w:val="2E5C4E"/>
          <w:sz w:val="25"/>
        </w:rPr>
        <w:t>Paying Out the Limit</w:t>
      </w:r>
      <w:bookmarkEnd w:id="85"/>
    </w:p>
    <w:p>
      <w:r>
        <w:rPr>
          <w:b w:val="0"/>
          <w:i w:val="0"/>
        </w:rPr>
        <w:t>At any time, we may pay you the limit of liability (or whatever remains of it) and our obligation to pay any further amount will end. We will not do this without giving you reasonable notice.</w:t>
      </w:r>
    </w:p>
    <w:p>
      <w:bookmarkStart w:id="86" w:name="c_cy_pay_widespread_events"/>
      <w:r>
        <w:rPr>
          <w:rFonts w:ascii="Georgia" w:hAnsi="Georgia" w:eastAsia="Georgia"/>
          <w:b/>
          <w:i w:val="0"/>
          <w:color w:val="2E5C4E"/>
          <w:sz w:val="25"/>
        </w:rPr>
        <w:t>Widespread Events</w:t>
      </w:r>
      <w:bookmarkEnd w:id="86"/>
    </w:p>
    <w:p>
      <w:r>
        <w:rPr>
          <w:b w:val="0"/>
          <w:i w:val="0"/>
        </w:rPr>
        <w:t xml:space="preserve">If the schedule shows this clause as operative, our total liability for all losses, costs, expenses, and claims arising from a widespread event is limited to the widespread event sub-limit shown in the schedule, applied in place of — and not in addition to — the limit of liability in </w:t>
      </w:r>
      <w:hyperlink w:anchor="c_cy_pay_limit_of_liability">
        <w:r>
          <w:rPr>
            <w:color w:val="2E5C4E"/>
            <w:u w:val="single"/>
          </w:rPr>
          <w:t xml:space="preserve">the Limit of Liability provision</w:t>
        </w:r>
      </w:hyperlink>
      <w:r>
        <w:rPr>
          <w:b w:val="0"/>
          <w:i w:val="0"/>
        </w:rPr>
        <w:t>.</w:t>
      </w:r>
    </w:p>
    <w:p>
      <w:r>
        <w:rPr>
          <w:b w:val="0"/>
          <w:i w:val="0"/>
        </w:rPr>
        <w:t xml:space="preserve">If this clause is not shown as operative in the schedule, it does not apply, and </w:t>
      </w:r>
      <w:hyperlink w:anchor="c_cy_pay_limit_of_liability">
        <w:r>
          <w:rPr>
            <w:color w:val="2E5C4E"/>
            <w:u w:val="single"/>
          </w:rPr>
          <w:t xml:space="preserve">the Limit of Liability provision</w:t>
        </w:r>
      </w:hyperlink>
      <w:r>
        <w:rPr>
          <w:b w:val="0"/>
          <w:i w:val="0"/>
        </w:rPr>
        <w:t xml:space="preserve"> applies without modification.</w:t>
      </w:r>
    </w:p>
    <w:p>
      <w:bookmarkStart w:id="87" w:name="c_cy_section_obligations"/>
      <w:r>
        <w:rPr>
          <w:rFonts w:ascii="Georgia" w:hAnsi="Georgia" w:eastAsia="Georgia"/>
          <w:b/>
          <w:i w:val="0"/>
          <w:color w:val="1C1915"/>
          <w:sz w:val="32"/>
        </w:rPr>
        <w:t>Your Obligations</w:t>
      </w:r>
      <w:bookmarkEnd w:id="87"/>
    </w:p>
    <w:p>
      <w:bookmarkStart w:id="88" w:name="c_cy_obl_act_fast"/>
      <w:r>
        <w:rPr>
          <w:rFonts w:ascii="Georgia" w:hAnsi="Georgia" w:eastAsia="Georgia"/>
          <w:b/>
          <w:i w:val="0"/>
          <w:color w:val="2E5C4E"/>
          <w:sz w:val="25"/>
        </w:rPr>
        <w:t>When a Cyber Incident Occurs — Act Fast</w:t>
      </w:r>
      <w:bookmarkEnd w:id="88"/>
    </w:p>
    <w:p>
      <w:r>
        <w:rPr>
          <w:b w:val="0"/>
          <w:i w:val="0"/>
        </w:rPr>
        <w:t>Step 1: Contact our incident response team immediately using the details in your schedule. Do this before contacting any other service provider, if possible. Speed matters.</w:t>
      </w:r>
    </w:p>
    <w:p>
      <w:r>
        <w:rPr>
          <w:b w:val="0"/>
          <w:i w:val="0"/>
        </w:rPr>
        <w:t>Step 2: Do not attempt to negotiate with any attacker or pay any ransom without our prior written consent.</w:t>
      </w:r>
    </w:p>
    <w:p>
      <w:r>
        <w:rPr>
          <w:b w:val="0"/>
          <w:i w:val="0"/>
        </w:rPr>
        <w:t>Step 3: Preserve all evidence. Do not wipe, rebuild, or reformat affected systems until a forensic investigation has been conducted or we have agreed you may do so.</w:t>
      </w:r>
    </w:p>
    <w:p>
      <w:r>
        <w:rPr>
          <w:b w:val="0"/>
          <w:i w:val="0"/>
        </w:rPr>
        <w:t>Step 4: Follow the incident response team's advice on containment, investigation, notification, and recovery.</w:t>
      </w:r>
    </w:p>
    <w:p>
      <w:bookmarkStart w:id="89" w:name="c_cy_obl_notify_claims"/>
      <w:r>
        <w:rPr>
          <w:rFonts w:ascii="Georgia" w:hAnsi="Georgia" w:eastAsia="Georgia"/>
          <w:b/>
          <w:i w:val="0"/>
          <w:color w:val="2E5C4E"/>
          <w:sz w:val="25"/>
        </w:rPr>
        <w:t>Notify Us of Claims</w:t>
      </w:r>
      <w:bookmarkEnd w:id="89"/>
    </w:p>
    <w:p>
      <w:r>
        <w:rPr>
          <w:b w:val="0"/>
          <w:i w:val="0"/>
        </w:rPr>
        <w:t>Tell us in writing as soon as reasonably practicable after a claim is made against you. Provide:</w:t>
      </w:r>
    </w:p>
    <w:p>
      <w:r>
        <w:rPr>
          <w:b w:val="0"/>
          <w:i w:val="0"/>
        </w:rPr>
        <w:t>(a) the identity of the claimant and the nature of the allegations; (b) details of the cyber event or privacy breach involved; (c) when you first became aware of the claim; and (d) your estimate of the potential value (if you can).</w:t>
      </w:r>
    </w:p>
    <w:p>
      <w:bookmarkStart w:id="90" w:name="c_cy_obl_notify_circumstances"/>
      <w:r>
        <w:rPr>
          <w:rFonts w:ascii="Georgia" w:hAnsi="Georgia" w:eastAsia="Georgia"/>
          <w:b/>
          <w:i w:val="0"/>
          <w:color w:val="2E5C4E"/>
          <w:sz w:val="25"/>
        </w:rPr>
        <w:t>Notify Us of Circumstances</w:t>
      </w:r>
      <w:bookmarkEnd w:id="90"/>
    </w:p>
    <w:p>
      <w:r>
        <w:rPr>
          <w:b w:val="0"/>
          <w:i w:val="0"/>
        </w:rPr>
        <w:t>Tell us in writing during the policy period if you become aware of any cyber event or privacy breach that might reasonably be expected to give rise to a claim. Any claim that later arises from notified circumstances will be treated as if made during this policy period, consistent with s.40(3) of the Insurance Contracts Act 1984 (Cth).</w:t>
      </w:r>
    </w:p>
    <w:p>
      <w:r>
        <w:rPr>
          <w:b w:val="0"/>
          <w:i w:val="0"/>
        </w:rPr>
        <w:t>Examples of things you should tell us about:</w:t>
      </w:r>
    </w:p>
    <w:p>
      <w:pPr>
        <w:pStyle w:val="ListBullet"/>
      </w:pPr>
      <w:r>
        <w:rPr>
          <w:b w:val="0"/>
          <w:i w:val="0"/>
        </w:rPr>
        <w:t>You discover that personal data has been accessed by an unauthorised party, even if you are not yet sure of the scope.</w:t>
      </w:r>
    </w:p>
    <w:p>
      <w:pPr>
        <w:pStyle w:val="ListBullet"/>
      </w:pPr>
      <w:r>
        <w:rPr>
          <w:b w:val="0"/>
          <w:i w:val="0"/>
        </w:rPr>
        <w:t>A business partner or client has alleged that malware entered their systems through yours.</w:t>
      </w:r>
    </w:p>
    <w:p>
      <w:pPr>
        <w:pStyle w:val="ListBullet"/>
      </w:pPr>
      <w:r>
        <w:rPr>
          <w:b w:val="0"/>
          <w:i w:val="0"/>
        </w:rPr>
        <w:t>You receive a regulatory inquiry about your data handling practices.</w:t>
      </w:r>
    </w:p>
    <w:p>
      <w:pPr>
        <w:pStyle w:val="ListBullet"/>
      </w:pPr>
      <w:r>
        <w:rPr>
          <w:b w:val="0"/>
          <w:i w:val="0"/>
        </w:rPr>
        <w:t>You discover that an employee has been accessing data outside their role.</w:t>
      </w:r>
    </w:p>
    <w:p>
      <w:bookmarkStart w:id="91" w:name="c_cy_obl_do_not_admit_liability"/>
      <w:r>
        <w:rPr>
          <w:rFonts w:ascii="Georgia" w:hAnsi="Georgia" w:eastAsia="Georgia"/>
          <w:b/>
          <w:i w:val="0"/>
          <w:color w:val="2E5C4E"/>
          <w:sz w:val="25"/>
        </w:rPr>
        <w:t>Do Not Admit Liability</w:t>
      </w:r>
      <w:bookmarkEnd w:id="91"/>
    </w:p>
    <w:p>
      <w:r>
        <w:rPr>
          <w:b w:val="0"/>
          <w:i w:val="0"/>
        </w:rPr>
        <w:t>Do not admit liability, make any offer to settle, or agree to pay any amount without our written consent. We will not unreasonably withhold or delay our consent.</w:t>
      </w:r>
    </w:p>
    <w:p>
      <w:bookmarkStart w:id="92" w:name="c_cy_obl_cooperate"/>
      <w:r>
        <w:rPr>
          <w:rFonts w:ascii="Georgia" w:hAnsi="Georgia" w:eastAsia="Georgia"/>
          <w:b/>
          <w:i w:val="0"/>
          <w:color w:val="2E5C4E"/>
          <w:sz w:val="25"/>
        </w:rPr>
        <w:t>Cooperate With Us</w:t>
      </w:r>
      <w:bookmarkEnd w:id="92"/>
    </w:p>
    <w:p>
      <w:r>
        <w:rPr>
          <w:b w:val="0"/>
          <w:i w:val="0"/>
        </w:rPr>
        <w:t>Give us all information, documents, and assistance we reasonably need. Cooperate with our incident response team, forensic investigators, and legal advisors.</w:t>
      </w:r>
    </w:p>
    <w:p>
      <w:bookmarkStart w:id="93" w:name="c_cy_obl_mitigate"/>
      <w:r>
        <w:rPr>
          <w:rFonts w:ascii="Georgia" w:hAnsi="Georgia" w:eastAsia="Georgia"/>
          <w:b/>
          <w:i w:val="0"/>
          <w:color w:val="2E5C4E"/>
          <w:sz w:val="25"/>
        </w:rPr>
        <w:t>Mitigate Your Loss</w:t>
      </w:r>
      <w:bookmarkEnd w:id="93"/>
    </w:p>
    <w:p>
      <w:r>
        <w:rPr>
          <w:b w:val="0"/>
          <w:i w:val="0"/>
        </w:rPr>
        <w:t>Take all reasonable steps to prevent or reduce any loss, including following your own security policies and procedures and the recommendations of our incident response team.</w:t>
      </w:r>
    </w:p>
    <w:p>
      <w:bookmarkStart w:id="94" w:name="c_cy_obl_preserve_recovery_rights"/>
      <w:r>
        <w:rPr>
          <w:rFonts w:ascii="Georgia" w:hAnsi="Georgia" w:eastAsia="Georgia"/>
          <w:b/>
          <w:i w:val="0"/>
          <w:color w:val="2E5C4E"/>
          <w:sz w:val="25"/>
        </w:rPr>
        <w:t>Preserve Our Recovery Rights</w:t>
      </w:r>
      <w:bookmarkEnd w:id="94"/>
    </w:p>
    <w:p>
      <w:r>
        <w:rPr>
          <w:b w:val="0"/>
          <w:i w:val="0"/>
        </w:rPr>
        <w:t>Do not do anything after a cyber event or claim that might prejudice our right to recover from any third party. If we pay a loss, we may take action in your name to recover what we have paid.</w:t>
      </w:r>
    </w:p>
    <w:p>
      <w:bookmarkStart w:id="95" w:name="c_cy_obl_security"/>
      <w:r>
        <w:rPr>
          <w:rFonts w:ascii="Georgia" w:hAnsi="Georgia" w:eastAsia="Georgia"/>
          <w:b/>
          <w:i w:val="0"/>
          <w:color w:val="2E5C4E"/>
          <w:sz w:val="25"/>
        </w:rPr>
        <w:t>Your Security Obligations</w:t>
      </w:r>
      <w:bookmarkEnd w:id="95"/>
    </w:p>
    <w:p>
      <w:r>
        <w:rPr>
          <w:b w:val="0"/>
          <w:i w:val="0"/>
        </w:rPr>
        <w:t>You must maintain reasonable cybersecurity practices throughout the policy period, consistent with the information you provided when applying for this policy. This does not mean you must achieve perfect security. It means you must take the steps a reasonable business of your size and type would take.</w:t>
      </w:r>
    </w:p>
    <w:p>
      <w:r>
        <w:rPr>
          <w:b w:val="0"/>
          <w:i w:val="0"/>
        </w:rPr>
        <w:t>Note about this obligation: under s.54 of the Insurance Contracts Act 1984 (Cth), we cannot refuse your claim solely because you failed to maintain a particular security standard, unless that failure caused or contributed to the cyber event or prejudiced our interests. If your failure prejudiced our interests, we may reduce what we pay by a fair amount.</w:t>
      </w:r>
    </w:p>
    <w:p>
      <w:bookmarkStart w:id="96" w:name="c_cy_section_conditions"/>
      <w:r>
        <w:rPr>
          <w:rFonts w:ascii="Georgia" w:hAnsi="Georgia" w:eastAsia="Georgia"/>
          <w:b/>
          <w:i w:val="0"/>
          <w:color w:val="1C1915"/>
          <w:sz w:val="32"/>
        </w:rPr>
        <w:t>General Conditions</w:t>
      </w:r>
      <w:bookmarkEnd w:id="96"/>
    </w:p>
    <w:p>
      <w:bookmarkStart w:id="97" w:name="c_cy_cond_insurance_contracts_act"/>
      <w:r>
        <w:rPr>
          <w:rFonts w:ascii="Georgia" w:hAnsi="Georgia" w:eastAsia="Georgia"/>
          <w:b/>
          <w:i w:val="0"/>
          <w:color w:val="2E5C4E"/>
          <w:sz w:val="25"/>
        </w:rPr>
        <w:t>Insurance Contracts Act 1984 (Cth)</w:t>
      </w:r>
      <w:bookmarkEnd w:id="97"/>
    </w:p>
    <w:p>
      <w:r>
        <w:rPr>
          <w:b w:val="0"/>
          <w:i w:val="0"/>
        </w:rPr>
        <w:t>Nothing in this policy excludes, restricts or modifies the operation of the Insurance Contracts Act 1984 (Cth). Where this policy is inconsistent with the Act, the Act prevails.</w:t>
      </w:r>
    </w:p>
    <w:p>
      <w:r>
        <w:rPr>
          <w:b w:val="0"/>
          <w:i w:val="0"/>
        </w:rPr>
        <w:t>If this policy would otherwise let us refuse to pay a claim, in whole or in part, because of something you did or did not do after this policy was entered into, section 54 of the Act applies. We may not refuse to pay the claim only because of that act or omission. Our liability is reduced by the amount that fairly represents the extent to which our interests were prejudiced. Where the act or omission could reasonably be regarded as capable of causing or contributing to the loss, we may refuse to pay only the part of the claim that the act or omission caused or contributed to. We may not refuse any part that you prove the act or omission did not cause. This applies to every condition, exclusion, limit and obligation in this policy, not only to the claims conditions.</w:t>
      </w:r>
    </w:p>
    <w:p>
      <w:bookmarkStart w:id="98" w:name="c_cy_cond_sanctions"/>
      <w:r>
        <w:rPr>
          <w:rFonts w:ascii="Georgia" w:hAnsi="Georgia" w:eastAsia="Georgia"/>
          <w:b/>
          <w:i w:val="0"/>
          <w:color w:val="2E5C4E"/>
          <w:sz w:val="25"/>
        </w:rPr>
        <w:t>Sanctions</w:t>
      </w:r>
      <w:bookmarkEnd w:id="98"/>
    </w:p>
    <w:p>
      <w:r>
        <w:rPr>
          <w:b w:val="0"/>
          <w:i w:val="0"/>
        </w:rPr>
        <w:t>We do not provide cover, pay any claim or provide any benefit under this policy to the extent that doing so would expose us to any sanction, prohibition or restriction under:</w:t>
      </w:r>
    </w:p>
    <w:p>
      <w:pPr>
        <w:pStyle w:val="ListBullet"/>
      </w:pPr>
      <w:r>
        <w:rPr>
          <w:b w:val="0"/>
          <w:i w:val="0"/>
        </w:rPr>
        <w:t>the Autonomous Sanctions Act 2011 (Cth), the Charter of the United Nations Act 1945 (Cth), or regulations made under either Act; or</w:t>
      </w:r>
    </w:p>
    <w:p>
      <w:pPr>
        <w:pStyle w:val="ListBullet"/>
      </w:pPr>
      <w:r>
        <w:rPr>
          <w:b w:val="0"/>
          <w:i w:val="0"/>
        </w:rPr>
        <w:t>the trade or economic sanctions laws of the United Kingdom, the United States of America or the European Union, to the extent they apply to us.</w:t>
      </w:r>
    </w:p>
    <w:p>
      <w:r>
        <w:rPr>
          <w:b w:val="0"/>
          <w:i w:val="0"/>
        </w:rPr>
        <w:t>[WP REVIEW: confirm that naming the UK, US and EU regimes is appropriate for Australian capacity; this is a deliberate library-wide scope choice.]</w:t>
      </w:r>
    </w:p>
    <w:p>
      <w:bookmarkStart w:id="99" w:name="c_cy_cond_duty_of_disclosure"/>
      <w:r>
        <w:rPr>
          <w:rFonts w:ascii="Georgia" w:hAnsi="Georgia" w:eastAsia="Georgia"/>
          <w:b/>
          <w:i w:val="0"/>
          <w:color w:val="2E5C4E"/>
          <w:sz w:val="25"/>
        </w:rPr>
        <w:t>Your Duty of Disclosure</w:t>
      </w:r>
      <w:bookmarkEnd w:id="99"/>
    </w:p>
    <w:p>
      <w:r>
        <w:rPr>
          <w:b w:val="0"/>
          <w:i w:val="0"/>
        </w:rPr>
        <w:t xml:space="preserve">Before you enter into this policy, and before you renew, extend, or vary it, you have a duty to tell us anything you know (or could reasonably be expected to know) that would be relevant to our decision to insure you and on what terms. For the company, what you know is what a member of the control group knows (see </w:t>
      </w:r>
      <w:hyperlink w:anchor="c_cy_def_control_group">
        <w:r>
          <w:rPr>
            <w:color w:val="2E5C4E"/>
            <w:u w:val="single"/>
          </w:rPr>
          <w:t xml:space="preserve">the definition of Control group</w:t>
        </w:r>
      </w:hyperlink>
      <w:r>
        <w:rPr>
          <w:b w:val="0"/>
          <w:i w:val="0"/>
        </w:rPr>
        <w:t>).</w:t>
      </w:r>
    </w:p>
    <w:p>
      <w:r>
        <w:rPr>
          <w:b w:val="0"/>
          <w:i w:val="0"/>
        </w:rPr>
        <w:t>You do not need to tell us about matters that reduce the risk, that are common knowledge, that we know or should know as an insurer, or that we have told you we do not need to know.</w:t>
      </w:r>
    </w:p>
    <w:p>
      <w:r>
        <w:rPr>
          <w:b w:val="0"/>
          <w:i w:val="0"/>
        </w:rPr>
        <w:t>If you do not tell us something you should have told us, we may reduce or refuse your claim, cancel this policy, or both. The Insurance Contracts Act 1984 (Cth) sets out the rules.</w:t>
      </w:r>
    </w:p>
    <w:p>
      <w:r>
        <w:rPr>
          <w:b w:val="0"/>
          <w:i w:val="0"/>
        </w:rPr>
        <w:t>A failure to disclose, or a misrepresentation, by one insured, or knowledge held by one insured, is not imputed to another insured. We will not reduce or refuse a claim by an insured person who did not know of the matter and was not a member of the control group.</w:t>
      </w:r>
    </w:p>
    <w:p>
      <w:bookmarkStart w:id="100" w:name="c_cy_cond_cancellation"/>
      <w:r>
        <w:rPr>
          <w:rFonts w:ascii="Georgia" w:hAnsi="Georgia" w:eastAsia="Georgia"/>
          <w:b/>
          <w:i w:val="0"/>
          <w:color w:val="2E5C4E"/>
          <w:sz w:val="25"/>
        </w:rPr>
        <w:t>Cancellation and Extended Reporting</w:t>
      </w:r>
      <w:bookmarkEnd w:id="100"/>
    </w:p>
    <w:p>
      <w:r>
        <w:rPr>
          <w:b/>
          <w:i w:val="0"/>
        </w:rPr>
        <w:t>You</w:t>
      </w:r>
      <w:r>
        <w:rPr>
          <w:b w:val="0"/>
          <w:i w:val="0"/>
        </w:rPr>
        <w:t xml:space="preserve"> may cancel this policy at any time by telling us. We refund the premium for the unexpired period of insurance on a pro-rata basis, less any non-refundable government charges.</w:t>
      </w:r>
    </w:p>
    <w:p>
      <w:r>
        <w:rPr>
          <w:b/>
          <w:i w:val="0"/>
        </w:rPr>
        <w:t>We</w:t>
      </w:r>
      <w:r>
        <w:rPr>
          <w:b w:val="0"/>
          <w:i w:val="0"/>
        </w:rPr>
        <w:t xml:space="preserve"> may cancel this policy only as the Insurance Contracts Act 1984 (Cth) allows, by giving you written notice as that Act requires. We refund the premium for the unexpired period on a pro-rata basis.</w:t>
      </w:r>
    </w:p>
    <w:p>
      <w:r>
        <w:rPr>
          <w:b w:val="0"/>
          <w:i w:val="0"/>
        </w:rPr>
        <w:t xml:space="preserve">Automatic extended reporting period: If we cancel this policy, or decline to offer renewal, for any reason other than non-payment of premium or fraud, you have an automatic 30-day period after the end of the policy period in which to notify us of any claim first made against you during that 30-day period, arising from a cyber event or privacy breach that first occurred before the end of the policy period. There is no additional premium for this. This automatic period does not apply if this policy is replaced by other insurance covering the same exposure. A longer extended reporting period is available under </w:t>
      </w:r>
      <w:hyperlink w:anchor="c_cy_end_e01">
        <w:r>
          <w:rPr>
            <w:color w:val="2E5C4E"/>
            <w:u w:val="single"/>
          </w:rPr>
          <w:t xml:space="preserve">the E01 Extended Reporting Period endorsement</w:t>
        </w:r>
      </w:hyperlink>
      <w:r>
        <w:rPr>
          <w:b w:val="0"/>
          <w:i w:val="0"/>
        </w:rPr>
        <w:t>.</w:t>
      </w:r>
    </w:p>
    <w:p>
      <w:bookmarkStart w:id="101" w:name="c_cy_cond_governing_law"/>
      <w:r>
        <w:rPr>
          <w:rFonts w:ascii="Georgia" w:hAnsi="Georgia" w:eastAsia="Georgia"/>
          <w:b/>
          <w:i w:val="0"/>
          <w:color w:val="2E5C4E"/>
          <w:sz w:val="25"/>
        </w:rPr>
        <w:t>Governing Law</w:t>
      </w:r>
      <w:bookmarkEnd w:id="101"/>
    </w:p>
    <w:p>
      <w:r>
        <w:rPr>
          <w:b w:val="0"/>
          <w:i w:val="0"/>
        </w:rPr>
        <w:t>This policy is governed by the laws of the state or territory of Australia shown in the schedule as the governing law state. That state is fixed at the start of the policy period and does not change if your principal place of business later changes.</w:t>
      </w:r>
    </w:p>
    <w:p>
      <w:bookmarkStart w:id="102" w:name="c_cy_cond_territory_and_jurisdiction"/>
      <w:r>
        <w:rPr>
          <w:rFonts w:ascii="Georgia" w:hAnsi="Georgia" w:eastAsia="Georgia"/>
          <w:b/>
          <w:i w:val="0"/>
          <w:color w:val="2E5C4E"/>
          <w:sz w:val="25"/>
        </w:rPr>
        <w:t>Territory and Jurisdiction</w:t>
      </w:r>
      <w:bookmarkEnd w:id="102"/>
    </w:p>
    <w:p>
      <w:r>
        <w:rPr>
          <w:b w:val="0"/>
          <w:i w:val="0"/>
        </w:rPr>
        <w:t>This policy covers cyber events, dependent events and privacy breaches wherever in the world they occur.</w:t>
      </w:r>
    </w:p>
    <w:p>
      <w:r>
        <w:rPr>
          <w:b w:val="0"/>
          <w:i w:val="0"/>
        </w:rPr>
        <w:t xml:space="preserve">The covers in </w:t>
      </w:r>
      <w:hyperlink w:anchor="c_cy_section_third_party">
        <w:r>
          <w:rPr>
            <w:color w:val="2E5C4E"/>
            <w:u w:val="single"/>
          </w:rPr>
          <w:t xml:space="preserve">the What Is Covered — Claims by Others (Third Party) section</w:t>
        </w:r>
      </w:hyperlink>
      <w:r>
        <w:rPr>
          <w:b w:val="0"/>
          <w:i w:val="0"/>
        </w:rPr>
        <w:t xml:space="preserve"> apply only to claims brought, and regulatory proceedings commenced, in Australia or New Zealand, and to proceedings to enforce in Australia or New Zealand a judgment of an Australian or New Zealand court, unless the schedule names another country.</w:t>
      </w:r>
    </w:p>
    <w:p>
      <w:r>
        <w:rPr>
          <w:b w:val="0"/>
          <w:i w:val="0"/>
        </w:rPr>
        <w:t xml:space="preserve">This policy does not cover, and we will not pay in respect of, any claim brought within, or judgment entered or enforced from, a court of the United States of America or Canada or their territories, except to the extent that </w:t>
      </w:r>
      <w:hyperlink w:anchor="c_cy_end_e11">
        <w:r>
          <w:rPr>
            <w:color w:val="2E5C4E"/>
            <w:u w:val="single"/>
          </w:rPr>
          <w:t xml:space="preserve">the E11 United States and Canada Jurisdiction endorsement</w:t>
        </w:r>
      </w:hyperlink>
      <w:r>
        <w:rPr>
          <w:b w:val="0"/>
          <w:i w:val="0"/>
        </w:rPr>
        <w:t xml:space="preserve"> is shown in the schedule.</w:t>
      </w:r>
    </w:p>
    <w:p>
      <w:r>
        <w:rPr>
          <w:b w:val="0"/>
          <w:i w:val="0"/>
        </w:rPr>
        <w:t xml:space="preserve">You and we each submit to the jurisdiction of the courts of the state or territory identified under </w:t>
      </w:r>
      <w:hyperlink w:anchor="c_cy_cond_governing_law">
        <w:r>
          <w:rPr>
            <w:color w:val="2E5C4E"/>
            <w:u w:val="single"/>
          </w:rPr>
          <w:t xml:space="preserve">the Governing Law condition</w:t>
        </w:r>
      </w:hyperlink>
      <w:r>
        <w:rPr>
          <w:b w:val="0"/>
          <w:i w:val="0"/>
        </w:rPr>
        <w:t xml:space="preserve"> and any courts of appeal from them. This does not stop either of us from bringing proceedings in any other court that has jurisdiction.</w:t>
      </w:r>
    </w:p>
    <w:p>
      <w:r>
        <w:rPr>
          <w:b/>
          <w:i w:val="0"/>
        </w:rPr>
        <w:t>Service of suit.</w:t>
      </w:r>
      <w:r>
        <w:rPr>
          <w:b w:val="0"/>
          <w:i w:val="0"/>
        </w:rPr>
        <w:t xml:space="preserve"> If the insurer named in the schedule is not authorised to carry on insurance business in Australia, it will, at your request, submit to the jurisdiction of any court of competent jurisdiction in Australia, and will comply with the final decision of that court. It authorises the agent named in the schedule to accept service of process on its behalf in any proceedings you bring.</w:t>
      </w:r>
    </w:p>
    <w:p>
      <w:r>
        <w:rPr>
          <w:b w:val="0"/>
          <w:i w:val="0"/>
        </w:rPr>
        <w:t>[WP REVIEW: confirm whether the adopting insurer needs a service of suit clause, and the form of agent appointment, where the capacity provider is not authorised in Australia.]</w:t>
      </w:r>
    </w:p>
    <w:p>
      <w:bookmarkStart w:id="103" w:name="c_cy_cond_gst"/>
      <w:r>
        <w:rPr>
          <w:rFonts w:ascii="Georgia" w:hAnsi="Georgia" w:eastAsia="Georgia"/>
          <w:b/>
          <w:i w:val="0"/>
          <w:color w:val="2E5C4E"/>
          <w:sz w:val="25"/>
        </w:rPr>
        <w:t>GST</w:t>
      </w:r>
      <w:bookmarkEnd w:id="103"/>
    </w:p>
    <w:p>
      <w:r>
        <w:rPr>
          <w:b w:val="0"/>
          <w:i w:val="0"/>
        </w:rPr>
        <w:t>When we pay a claim or loss, we will reduce our payment by the amount of any input tax credit you are entitled to claim under A New Tax System (Goods and Services Tax) Act 1999 (Cth). Tell us the extent of your entitlement. If you do not, we will assume full entitlement.</w:t>
      </w:r>
    </w:p>
    <w:p>
      <w:bookmarkStart w:id="104" w:name="c_cy_cond_several_liability"/>
      <w:r>
        <w:rPr>
          <w:rFonts w:ascii="Georgia" w:hAnsi="Georgia" w:eastAsia="Georgia"/>
          <w:b/>
          <w:i w:val="0"/>
          <w:color w:val="2E5C4E"/>
          <w:sz w:val="25"/>
        </w:rPr>
        <w:t>Several Liability</w:t>
      </w:r>
      <w:bookmarkEnd w:id="104"/>
    </w:p>
    <w:p>
      <w:r>
        <w:rPr>
          <w:b w:val="0"/>
          <w:i w:val="0"/>
        </w:rPr>
        <w:t>If more than one insurer is shown in the schedule, each is responsible only for its own share.</w:t>
      </w:r>
    </w:p>
    <w:p>
      <w:bookmarkStart w:id="105" w:name="c_cy_cond_assignment"/>
      <w:r>
        <w:rPr>
          <w:rFonts w:ascii="Georgia" w:hAnsi="Georgia" w:eastAsia="Georgia"/>
          <w:b/>
          <w:i w:val="0"/>
          <w:color w:val="2E5C4E"/>
          <w:sz w:val="25"/>
        </w:rPr>
        <w:t>Assignment</w:t>
      </w:r>
      <w:bookmarkEnd w:id="105"/>
    </w:p>
    <w:p>
      <w:r>
        <w:rPr>
          <w:b w:val="0"/>
          <w:i w:val="0"/>
        </w:rPr>
        <w:t>You cannot transfer this policy without our prior written consent.</w:t>
      </w:r>
    </w:p>
    <w:p>
      <w:bookmarkStart w:id="106" w:name="c_cy_cond_entire_agreement"/>
      <w:r>
        <w:rPr>
          <w:rFonts w:ascii="Georgia" w:hAnsi="Georgia" w:eastAsia="Georgia"/>
          <w:b/>
          <w:i w:val="0"/>
          <w:color w:val="2E5C4E"/>
          <w:sz w:val="25"/>
        </w:rPr>
        <w:t>Entire Agreement</w:t>
      </w:r>
      <w:bookmarkEnd w:id="106"/>
    </w:p>
    <w:p>
      <w:r>
        <w:rPr>
          <w:b w:val="0"/>
          <w:i w:val="0"/>
        </w:rPr>
        <w:t>This policy, the schedule, and any endorsements form the entire agreement between you and us.</w:t>
      </w:r>
    </w:p>
    <w:p>
      <w:bookmarkStart w:id="107" w:name="c_cy_cond_disputes_and_complaints"/>
      <w:r>
        <w:rPr>
          <w:rFonts w:ascii="Georgia" w:hAnsi="Georgia" w:eastAsia="Georgia"/>
          <w:b/>
          <w:i w:val="0"/>
          <w:color w:val="2E5C4E"/>
          <w:sz w:val="25"/>
        </w:rPr>
        <w:t>Disputes and Complaints</w:t>
      </w:r>
      <w:bookmarkEnd w:id="107"/>
    </w:p>
    <w:p>
      <w:r>
        <w:rPr>
          <w:b w:val="0"/>
          <w:i w:val="0"/>
        </w:rPr>
        <w:t>If you are not happy with a decision we have made, contact us first. We will follow our internal dispute resolution process.</w:t>
      </w:r>
    </w:p>
    <w:p>
      <w:r>
        <w:rPr>
          <w:b w:val="0"/>
          <w:i w:val="0"/>
        </w:rPr>
        <w:t>If you are not satisfied with the outcome, you can refer the matter to the Australian Financial Complaints Authority (AFCA): www.afca.org.au, info@afca.org.au, 1800 931 678. AFCA provides a free and independent service. Time limits may apply.</w:t>
      </w:r>
    </w:p>
    <w:p>
      <w:bookmarkStart w:id="108" w:name="c_cy_cond_privacy"/>
      <w:r>
        <w:rPr>
          <w:rFonts w:ascii="Georgia" w:hAnsi="Georgia" w:eastAsia="Georgia"/>
          <w:b/>
          <w:i w:val="0"/>
          <w:color w:val="2E5C4E"/>
          <w:sz w:val="25"/>
        </w:rPr>
        <w:t>Privacy</w:t>
      </w:r>
      <w:bookmarkEnd w:id="108"/>
    </w:p>
    <w:p>
      <w:r>
        <w:rPr>
          <w:b w:val="0"/>
          <w:i w:val="0"/>
        </w:rPr>
        <w:t>We handle your personal information in accordance with the Privacy Act 1988 (Cth) and the Australian Privacy Principles. Our Privacy Policy is available on our website and on request.</w:t>
      </w:r>
    </w:p>
    <w:p>
      <w:bookmarkStart w:id="109" w:name="c_cy_cond_retroactive_date"/>
      <w:r>
        <w:rPr>
          <w:rFonts w:ascii="Georgia" w:hAnsi="Georgia" w:eastAsia="Georgia"/>
          <w:b/>
          <w:i w:val="0"/>
          <w:color w:val="2E5C4E"/>
          <w:sz w:val="25"/>
        </w:rPr>
        <w:t>Retroactive Date</w:t>
      </w:r>
      <w:bookmarkEnd w:id="109"/>
    </w:p>
    <w:p>
      <w:r>
        <w:rPr>
          <w:b w:val="0"/>
          <w:i w:val="0"/>
        </w:rPr>
        <w:t>This policy does not cover any cyber event or privacy breach that first occurred before the retroactive date, under any section of this policy, whether or not the relevant insuring clause expressly refers to the retroactive date.</w:t>
      </w:r>
    </w:p>
    <w:p>
      <w:r>
        <w:rPr>
          <w:b w:val="0"/>
          <w:i w:val="0"/>
        </w:rPr>
        <w:t xml:space="preserve">For </w:t>
      </w:r>
      <w:hyperlink w:anchor="c_cy_cover_media_liability">
        <w:r>
          <w:rPr>
            <w:color w:val="2E5C4E"/>
            <w:u w:val="single"/>
          </w:rPr>
          <w:t xml:space="preserve">the Media Liability clause</w:t>
        </w:r>
      </w:hyperlink>
      <w:r>
        <w:rPr>
          <w:b w:val="0"/>
          <w:i w:val="0"/>
        </w:rPr>
        <w:t>, the retroactive date applies to the wrongful act or the publication that gives rise to the claim, whichever first occurred. This policy does not cover a claim arising from a wrongful act or publication that first occurred before the retroactive date.</w:t>
      </w:r>
    </w:p>
    <w:p>
      <w:hyperlink w:anchor="c_cy_cover_privacy_liability">
        <w:r>
          <w:rPr>
            <w:color w:val="2E5C4E"/>
            <w:u w:val="single"/>
          </w:rPr>
          <w:t xml:space="preserve">The Privacy and Data Breach Liability clause</w:t>
        </w:r>
      </w:hyperlink>
      <w:r>
        <w:rPr>
          <w:b w:val="0"/>
          <w:i w:val="0"/>
        </w:rPr>
        <w:t xml:space="preserve"> and </w:t>
      </w:r>
      <w:hyperlink w:anchor="c_cy_cover_network_security_liability">
        <w:r>
          <w:rPr>
            <w:color w:val="2E5C4E"/>
            <w:u w:val="single"/>
          </w:rPr>
          <w:t xml:space="preserve">the Network Security Liability clause</w:t>
        </w:r>
      </w:hyperlink>
      <w:r>
        <w:rPr>
          <w:b w:val="0"/>
          <w:i w:val="0"/>
        </w:rPr>
        <w:t xml:space="preserve"> refer to the retroactive date for clarity; this condition is the authoritative source of the restriction and applies to every section of this policy, including </w:t>
      </w:r>
      <w:hyperlink w:anchor="c_cy_section_first_party">
        <w:r>
          <w:rPr>
            <w:color w:val="2E5C4E"/>
            <w:u w:val="single"/>
          </w:rPr>
          <w:t xml:space="preserve">the What Is Covered — Your Own Losses (First Party) section</w:t>
        </w:r>
      </w:hyperlink>
      <w:r>
        <w:rPr>
          <w:b w:val="0"/>
          <w:i w:val="0"/>
        </w:rPr>
        <w:t>.</w:t>
      </w:r>
    </w:p>
    <w:p>
      <w:bookmarkStart w:id="110" w:name="c_cy_claims_incident_guide"/>
      <w:r>
        <w:rPr>
          <w:rFonts w:ascii="Georgia" w:hAnsi="Georgia" w:eastAsia="Georgia"/>
          <w:b/>
          <w:i w:val="0"/>
          <w:color w:val="1C1915"/>
          <w:sz w:val="32"/>
        </w:rPr>
        <w:t>How to Respond to a Cyber Incident</w:t>
      </w:r>
      <w:bookmarkEnd w:id="110"/>
    </w:p>
    <w:p>
      <w:r>
        <w:rPr>
          <w:b/>
          <w:i w:val="0"/>
        </w:rPr>
        <w:t>Guidance only.</w:t>
      </w:r>
      <w:r>
        <w:rPr>
          <w:b w:val="0"/>
          <w:i w:val="0"/>
        </w:rPr>
        <w:t xml:space="preserve"> This guide is practical guidance. It does not form part of the operative terms of this policy and does not vary, add to, or override the policy, including </w:t>
      </w:r>
      <w:hyperlink w:anchor="c_cy_section_obligations">
        <w:r>
          <w:rPr>
            <w:color w:val="2E5C4E"/>
            <w:u w:val="single"/>
          </w:rPr>
          <w:t xml:space="preserve">the Your Obligations section</w:t>
        </w:r>
      </w:hyperlink>
      <w:r>
        <w:rPr>
          <w:b w:val="0"/>
          <w:i w:val="0"/>
        </w:rPr>
        <w:t>.</w:t>
      </w:r>
    </w:p>
    <w:p>
      <w:r>
        <w:rPr>
          <w:b/>
          <w:i w:val="0"/>
        </w:rPr>
        <w:t>Immediately (within hours)</w:t>
      </w:r>
    </w:p>
    <w:p>
      <w:pPr>
        <w:pStyle w:val="ListBullet"/>
      </w:pPr>
      <w:r>
        <w:rPr>
          <w:b w:val="0"/>
          <w:i w:val="0"/>
        </w:rPr>
        <w:t>Call our incident response team — the number is in your schedule. This is a 24/7 service. Do not wait until business hours.</w:t>
      </w:r>
    </w:p>
    <w:p>
      <w:pPr>
        <w:pStyle w:val="ListBullet"/>
      </w:pPr>
      <w:r>
        <w:rPr>
          <w:b w:val="0"/>
          <w:i w:val="0"/>
        </w:rPr>
        <w:t>Contain the incident — follow your own incident response plan. If you do not have one, our team will guide you. Common first steps include isolating affected systems from the network and changing compromised credentials.</w:t>
      </w:r>
    </w:p>
    <w:p>
      <w:pPr>
        <w:pStyle w:val="ListBullet"/>
      </w:pPr>
      <w:r>
        <w:rPr>
          <w:b w:val="0"/>
          <w:i w:val="0"/>
        </w:rPr>
        <w:t>Preserve evidence — do not wipe, reformat, or rebuild affected systems. Our forensic investigators need the evidence.</w:t>
      </w:r>
    </w:p>
    <w:p>
      <w:pPr>
        <w:pStyle w:val="ListBullet"/>
      </w:pPr>
      <w:r>
        <w:rPr>
          <w:b w:val="0"/>
          <w:i w:val="0"/>
        </w:rPr>
        <w:t>Do not pay any ransom — without our prior written consent.</w:t>
      </w:r>
    </w:p>
    <w:p>
      <w:r>
        <w:rPr>
          <w:b/>
          <w:i w:val="0"/>
        </w:rPr>
        <w:t>Within 24 hours</w:t>
      </w:r>
    </w:p>
    <w:p>
      <w:pPr>
        <w:pStyle w:val="ListBullet"/>
      </w:pPr>
      <w:r>
        <w:rPr>
          <w:b w:val="0"/>
          <w:i w:val="0"/>
        </w:rPr>
        <w:t>Brief your leadership — ensure your CEO, board, and legal counsel are aware.</w:t>
      </w:r>
    </w:p>
    <w:p>
      <w:pPr>
        <w:pStyle w:val="ListBullet"/>
      </w:pPr>
      <w:r>
        <w:rPr>
          <w:b w:val="0"/>
          <w:i w:val="0"/>
        </w:rPr>
        <w:t xml:space="preserve">Notify us formally — send written notification as described in </w:t>
      </w:r>
      <w:hyperlink w:anchor="c_cy_obl_notify_claims">
        <w:r>
          <w:rPr>
            <w:color w:val="2E5C4E"/>
            <w:u w:val="single"/>
          </w:rPr>
          <w:t xml:space="preserve">the Notify Us of Claims obligation</w:t>
        </w:r>
      </w:hyperlink>
      <w:r>
        <w:rPr>
          <w:b w:val="0"/>
          <w:i w:val="0"/>
        </w:rPr>
        <w:t xml:space="preserve"> or </w:t>
      </w:r>
      <w:hyperlink w:anchor="c_cy_obl_notify_circumstances">
        <w:r>
          <w:rPr>
            <w:color w:val="2E5C4E"/>
            <w:u w:val="single"/>
          </w:rPr>
          <w:t xml:space="preserve">the Notify Us of Circumstances obligation</w:t>
        </w:r>
      </w:hyperlink>
      <w:r>
        <w:rPr>
          <w:b w:val="0"/>
          <w:i w:val="0"/>
        </w:rPr>
        <w:t>. An email to the address in the schedule is sufficient.</w:t>
      </w:r>
    </w:p>
    <w:p>
      <w:r>
        <w:rPr>
          <w:b/>
          <w:i w:val="0"/>
        </w:rPr>
        <w:t>Within 72 hours</w:t>
      </w:r>
    </w:p>
    <w:p>
      <w:pPr>
        <w:pStyle w:val="ListBullet"/>
      </w:pPr>
      <w:r>
        <w:rPr>
          <w:b w:val="0"/>
          <w:i w:val="0"/>
        </w:rPr>
        <w:t xml:space="preserve">Ransom payments — if a ransomware payment has been made or is planned, tell us first. The Cyber Security Act 2024 (Cth) may require a report within a short time after the payment. See </w:t>
      </w:r>
      <w:hyperlink w:anchor="c_cy_cover_cyber_extortion">
        <w:r>
          <w:rPr>
            <w:color w:val="2E5C4E"/>
            <w:u w:val="single"/>
          </w:rPr>
          <w:t xml:space="preserve">the Cyber Extortion clause</w:t>
        </w:r>
      </w:hyperlink>
      <w:r>
        <w:rPr>
          <w:b w:val="0"/>
          <w:i w:val="0"/>
        </w:rPr>
        <w:t>.</w:t>
      </w:r>
    </w:p>
    <w:p>
      <w:pPr>
        <w:pStyle w:val="ListBullet"/>
      </w:pPr>
      <w:r>
        <w:rPr>
          <w:b w:val="0"/>
          <w:i w:val="0"/>
        </w:rPr>
        <w:t>Assess notification obligations — our breach coach (legal advisor) will help you determine whether you are required to notify the OAIC and affected individuals under the Notifiable Data Breaches scheme. The statutory deadline is "as soon as practicable" after you become aware of an eligible data breach, with a maximum assessment period of 30 days.</w:t>
      </w:r>
    </w:p>
    <w:p>
      <w:r>
        <w:rPr>
          <w:b/>
          <w:i w:val="0"/>
        </w:rPr>
        <w:t>Ongoing</w:t>
      </w:r>
    </w:p>
    <w:p>
      <w:pPr>
        <w:pStyle w:val="ListBullet"/>
      </w:pPr>
      <w:r>
        <w:rPr>
          <w:b w:val="0"/>
          <w:i w:val="0"/>
        </w:rPr>
        <w:t>Cooperate with the response team — forensic investigation, legal advice, notification, credit monitoring, and public relations will be coordinated by our panel providers. We manage the cost; you focus on your business.</w:t>
      </w:r>
    </w:p>
    <w:p>
      <w:bookmarkStart w:id="111" w:name="c_cy_endorsement_library"/>
      <w:r>
        <w:rPr>
          <w:rFonts w:ascii="Georgia" w:hAnsi="Georgia" w:eastAsia="Georgia"/>
          <w:b/>
          <w:i w:val="0"/>
          <w:color w:val="1C1915"/>
          <w:sz w:val="32"/>
        </w:rPr>
        <w:t>Endorsement Library</w:t>
      </w:r>
      <w:bookmarkEnd w:id="111"/>
    </w:p>
    <w:p>
      <w:r>
        <w:rPr>
          <w:b w:val="0"/>
          <w:i w:val="0"/>
        </w:rPr>
        <w:t>An endorsement applies only if its code is shown in the schedule. Each endorsement changes this policy only as it states, and is read together with the variables (sub-limits, excesses, co-insurance, periods, named parties) shown for it in the schedule. Where an endorsement and the rest of this policy conflict, the endorsement applies to the extent of the conflict. Endorsements do not increase the limit of liability unless they say so; a sub-limit in an endorsement is part of, not in addition to, the limit of liability. If a variable an endorsement needs is not shown in the schedule, the default stated in the endorsement applies; if it has no default, the endorsement does not apply until we show the variable in the schedule. These endorsements are for use with version 1.5.x of this wording.</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Code</w:t>
            </w:r>
          </w:p>
        </w:tc>
        <w:tc>
          <w:tcPr>
            <w:tcW w:type="dxa" w:w="3249"/>
          </w:tcPr>
          <w:p>
            <w:r/>
            <w:r>
              <w:rPr>
                <w:b w:val="0"/>
                <w:i w:val="0"/>
              </w:rPr>
              <w:t>Endorsement</w:t>
            </w:r>
          </w:p>
        </w:tc>
        <w:tc>
          <w:tcPr>
            <w:tcW w:type="dxa" w:w="3249"/>
          </w:tcPr>
          <w:p>
            <w:r/>
            <w:r>
              <w:rPr>
                <w:b w:val="0"/>
                <w:i w:val="0"/>
              </w:rPr>
              <w:t>Effect</w:t>
            </w:r>
          </w:p>
        </w:tc>
      </w:tr>
      <w:tr>
        <w:tc>
          <w:tcPr>
            <w:tcW w:type="dxa" w:w="3249"/>
          </w:tcPr>
          <w:p>
            <w:r/>
            <w:r>
              <w:rPr>
                <w:b w:val="0"/>
                <w:i w:val="0"/>
              </w:rPr>
              <w:t>E01</w:t>
            </w:r>
          </w:p>
        </w:tc>
        <w:tc>
          <w:tcPr>
            <w:tcW w:type="dxa" w:w="3249"/>
          </w:tcPr>
          <w:p>
            <w:r/>
            <w:r>
              <w:rPr>
                <w:b w:val="0"/>
                <w:i w:val="0"/>
              </w:rPr>
              <w:t>Extended Reporting Period</w:t>
            </w:r>
          </w:p>
        </w:tc>
        <w:tc>
          <w:tcPr>
            <w:tcW w:type="dxa" w:w="3249"/>
          </w:tcPr>
          <w:p>
            <w:r/>
            <w:r>
              <w:rPr>
                <w:b w:val="0"/>
                <w:i w:val="0"/>
              </w:rPr>
              <w:t>Extends the time to notify claims after the policy ends, for 12, 24, 36 or 72 months</w:t>
            </w:r>
          </w:p>
        </w:tc>
      </w:tr>
      <w:tr>
        <w:tc>
          <w:tcPr>
            <w:tcW w:type="dxa" w:w="3249"/>
          </w:tcPr>
          <w:p>
            <w:r/>
            <w:r>
              <w:rPr>
                <w:b w:val="0"/>
                <w:i w:val="0"/>
              </w:rPr>
              <w:t>E02</w:t>
            </w:r>
          </w:p>
        </w:tc>
        <w:tc>
          <w:tcPr>
            <w:tcW w:type="dxa" w:w="3249"/>
          </w:tcPr>
          <w:p>
            <w:r/>
            <w:r>
              <w:rPr>
                <w:b w:val="0"/>
                <w:i w:val="0"/>
              </w:rPr>
              <w:t>Defence Costs in Addition to the Limit</w:t>
            </w:r>
          </w:p>
        </w:tc>
        <w:tc>
          <w:tcPr>
            <w:tcW w:type="dxa" w:w="3249"/>
          </w:tcPr>
          <w:p>
            <w:r/>
            <w:r>
              <w:rPr>
                <w:b w:val="0"/>
                <w:i w:val="0"/>
              </w:rPr>
              <w:t>Pays defence costs in addition to the limit of liability, to a cap</w:t>
            </w:r>
          </w:p>
        </w:tc>
      </w:tr>
      <w:tr>
        <w:tc>
          <w:tcPr>
            <w:tcW w:type="dxa" w:w="3249"/>
          </w:tcPr>
          <w:p>
            <w:r/>
            <w:r>
              <w:rPr>
                <w:b w:val="0"/>
                <w:i w:val="0"/>
              </w:rPr>
              <w:t>E03</w:t>
            </w:r>
          </w:p>
        </w:tc>
        <w:tc>
          <w:tcPr>
            <w:tcW w:type="dxa" w:w="3249"/>
          </w:tcPr>
          <w:p>
            <w:r/>
            <w:r>
              <w:rPr>
                <w:b w:val="0"/>
                <w:i w:val="0"/>
              </w:rPr>
              <w:t>End-of-Life Software</w:t>
            </w:r>
          </w:p>
        </w:tc>
        <w:tc>
          <w:tcPr>
            <w:tcW w:type="dxa" w:w="3249"/>
          </w:tcPr>
          <w:p>
            <w:r/>
            <w:r>
              <w:rPr>
                <w:b w:val="0"/>
                <w:i w:val="0"/>
              </w:rPr>
              <w:t>Writes back the Unsupported Software exclusion for the systems named, with co-insurance</w:t>
            </w:r>
          </w:p>
        </w:tc>
      </w:tr>
      <w:tr>
        <w:tc>
          <w:tcPr>
            <w:tcW w:type="dxa" w:w="3249"/>
          </w:tcPr>
          <w:p>
            <w:r/>
            <w:r>
              <w:rPr>
                <w:b w:val="0"/>
                <w:i w:val="0"/>
              </w:rPr>
              <w:t>E04</w:t>
            </w:r>
          </w:p>
        </w:tc>
        <w:tc>
          <w:tcPr>
            <w:tcW w:type="dxa" w:w="3249"/>
          </w:tcPr>
          <w:p>
            <w:r/>
            <w:r>
              <w:rPr>
                <w:b w:val="0"/>
                <w:i w:val="0"/>
              </w:rPr>
              <w:t>Increased Social Engineering Fraud Sub-limit</w:t>
            </w:r>
          </w:p>
        </w:tc>
        <w:tc>
          <w:tcPr>
            <w:tcW w:type="dxa" w:w="3249"/>
          </w:tcPr>
          <w:p>
            <w:r/>
            <w:r>
              <w:rPr>
                <w:b w:val="0"/>
                <w:i w:val="0"/>
              </w:rPr>
              <w:t>Increases the funds transfer and social engineering sub-limit where payments are verified by call-back</w:t>
            </w:r>
          </w:p>
        </w:tc>
      </w:tr>
      <w:tr>
        <w:tc>
          <w:tcPr>
            <w:tcW w:type="dxa" w:w="3249"/>
          </w:tcPr>
          <w:p>
            <w:r/>
            <w:r>
              <w:rPr>
                <w:b w:val="0"/>
                <w:i w:val="0"/>
              </w:rPr>
              <w:t>E05</w:t>
            </w:r>
          </w:p>
        </w:tc>
        <w:tc>
          <w:tcPr>
            <w:tcW w:type="dxa" w:w="3249"/>
          </w:tcPr>
          <w:p>
            <w:r/>
            <w:r>
              <w:rPr>
                <w:b w:val="0"/>
                <w:i w:val="0"/>
              </w:rPr>
              <w:t>Increased Dependent Business Interruption Sub-limit</w:t>
            </w:r>
          </w:p>
        </w:tc>
        <w:tc>
          <w:tcPr>
            <w:tcW w:type="dxa" w:w="3249"/>
          </w:tcPr>
          <w:p>
            <w:r/>
            <w:r>
              <w:rPr>
                <w:b w:val="0"/>
                <w:i w:val="0"/>
              </w:rPr>
              <w:t>Increases the Dependent Business Interruption sub-limit, for all or named providers</w:t>
            </w:r>
          </w:p>
        </w:tc>
      </w:tr>
      <w:tr>
        <w:tc>
          <w:tcPr>
            <w:tcW w:type="dxa" w:w="3249"/>
          </w:tcPr>
          <w:p>
            <w:r/>
            <w:r>
              <w:rPr>
                <w:b w:val="0"/>
                <w:i w:val="0"/>
              </w:rPr>
              <w:t>E06</w:t>
            </w:r>
          </w:p>
        </w:tc>
        <w:tc>
          <w:tcPr>
            <w:tcW w:type="dxa" w:w="3249"/>
          </w:tcPr>
          <w:p>
            <w:r/>
            <w:r>
              <w:rPr>
                <w:b w:val="0"/>
                <w:i w:val="0"/>
              </w:rPr>
              <w:t>Digital Asset Theft</w:t>
            </w:r>
          </w:p>
        </w:tc>
        <w:tc>
          <w:tcPr>
            <w:tcW w:type="dxa" w:w="3249"/>
          </w:tcPr>
          <w:p>
            <w:r/>
            <w:r>
              <w:rPr>
                <w:b w:val="0"/>
                <w:i w:val="0"/>
              </w:rPr>
              <w:t>Extends Funds Transfer Fraud to cryptocurrency and other digital assets you own</w:t>
            </w:r>
          </w:p>
        </w:tc>
      </w:tr>
      <w:tr>
        <w:tc>
          <w:tcPr>
            <w:tcW w:type="dxa" w:w="3249"/>
          </w:tcPr>
          <w:p>
            <w:r/>
            <w:r>
              <w:rPr>
                <w:b w:val="0"/>
                <w:i w:val="0"/>
              </w:rPr>
              <w:t>E07</w:t>
            </w:r>
          </w:p>
        </w:tc>
        <w:tc>
          <w:tcPr>
            <w:tcW w:type="dxa" w:w="3249"/>
          </w:tcPr>
          <w:p>
            <w:r/>
            <w:r>
              <w:rPr>
                <w:b w:val="0"/>
                <w:i w:val="0"/>
              </w:rPr>
              <w:t>Technology Errors and Omissions</w:t>
            </w:r>
          </w:p>
        </w:tc>
        <w:tc>
          <w:tcPr>
            <w:tcW w:type="dxa" w:w="3249"/>
          </w:tcPr>
          <w:p>
            <w:r/>
            <w:r>
              <w:rPr>
                <w:b w:val="0"/>
                <w:i w:val="0"/>
              </w:rPr>
              <w:t>Covers claims for errors in the technology products and services you provide, to a sub-limit</w:t>
            </w:r>
          </w:p>
        </w:tc>
      </w:tr>
      <w:tr>
        <w:tc>
          <w:tcPr>
            <w:tcW w:type="dxa" w:w="3249"/>
          </w:tcPr>
          <w:p>
            <w:r/>
            <w:r>
              <w:rPr>
                <w:b w:val="0"/>
                <w:i w:val="0"/>
              </w:rPr>
              <w:t>E08</w:t>
            </w:r>
          </w:p>
        </w:tc>
        <w:tc>
          <w:tcPr>
            <w:tcW w:type="dxa" w:w="3249"/>
          </w:tcPr>
          <w:p>
            <w:r/>
            <w:r>
              <w:rPr>
                <w:b w:val="0"/>
                <w:i w:val="0"/>
              </w:rPr>
              <w:t>Invoice Manipulation Fraud</w:t>
            </w:r>
          </w:p>
        </w:tc>
        <w:tc>
          <w:tcPr>
            <w:tcW w:type="dxa" w:w="3249"/>
          </w:tcPr>
          <w:p>
            <w:r/>
            <w:r>
              <w:rPr>
                <w:b w:val="0"/>
                <w:i w:val="0"/>
              </w:rPr>
              <w:t>Covers payments to you that a fraudster diverts by altering or issuing your invoices</w:t>
            </w:r>
          </w:p>
        </w:tc>
      </w:tr>
      <w:tr>
        <w:tc>
          <w:tcPr>
            <w:tcW w:type="dxa" w:w="3249"/>
          </w:tcPr>
          <w:p>
            <w:r/>
            <w:r>
              <w:rPr>
                <w:b w:val="0"/>
                <w:i w:val="0"/>
              </w:rPr>
              <w:t>E09</w:t>
            </w:r>
          </w:p>
        </w:tc>
        <w:tc>
          <w:tcPr>
            <w:tcW w:type="dxa" w:w="3249"/>
          </w:tcPr>
          <w:p>
            <w:r/>
            <w:r>
              <w:rPr>
                <w:b w:val="0"/>
                <w:i w:val="0"/>
              </w:rPr>
              <w:t>Contingent Bodily Injury from Operational Technology</w:t>
            </w:r>
          </w:p>
        </w:tc>
        <w:tc>
          <w:tcPr>
            <w:tcW w:type="dxa" w:w="3249"/>
          </w:tcPr>
          <w:p>
            <w:r/>
            <w:r>
              <w:rPr>
                <w:b w:val="0"/>
                <w:i w:val="0"/>
              </w:rPr>
              <w:t>Writes back bodily injury caused by a cyber event affecting your operational technology, in excess of liability insurance</w:t>
            </w:r>
          </w:p>
        </w:tc>
      </w:tr>
      <w:tr>
        <w:tc>
          <w:tcPr>
            <w:tcW w:type="dxa" w:w="3249"/>
          </w:tcPr>
          <w:p>
            <w:r/>
            <w:r>
              <w:rPr>
                <w:b w:val="0"/>
                <w:i w:val="0"/>
              </w:rPr>
              <w:t>E10</w:t>
            </w:r>
          </w:p>
        </w:tc>
        <w:tc>
          <w:tcPr>
            <w:tcW w:type="dxa" w:w="3249"/>
          </w:tcPr>
          <w:p>
            <w:r/>
            <w:r>
              <w:rPr>
                <w:b w:val="0"/>
                <w:i w:val="0"/>
              </w:rPr>
              <w:t>Excess Layer</w:t>
            </w:r>
          </w:p>
        </w:tc>
        <w:tc>
          <w:tcPr>
            <w:tcW w:type="dxa" w:w="3249"/>
          </w:tcPr>
          <w:p>
            <w:r/>
            <w:r>
              <w:rPr>
                <w:b w:val="0"/>
                <w:i w:val="0"/>
              </w:rPr>
              <w:t>Writes this policy in excess of the underlying insurance named</w:t>
            </w:r>
          </w:p>
        </w:tc>
      </w:tr>
      <w:tr>
        <w:tc>
          <w:tcPr>
            <w:tcW w:type="dxa" w:w="3249"/>
          </w:tcPr>
          <w:p>
            <w:r/>
            <w:r>
              <w:rPr>
                <w:b w:val="0"/>
                <w:i w:val="0"/>
              </w:rPr>
              <w:t>E11</w:t>
            </w:r>
          </w:p>
        </w:tc>
        <w:tc>
          <w:tcPr>
            <w:tcW w:type="dxa" w:w="3249"/>
          </w:tcPr>
          <w:p>
            <w:r/>
            <w:r>
              <w:rPr>
                <w:b w:val="0"/>
                <w:i w:val="0"/>
              </w:rPr>
              <w:t>United States and Canada Jurisdiction</w:t>
            </w:r>
          </w:p>
        </w:tc>
        <w:tc>
          <w:tcPr>
            <w:tcW w:type="dxa" w:w="3249"/>
          </w:tcPr>
          <w:p>
            <w:r/>
            <w:r>
              <w:rPr>
                <w:b w:val="0"/>
                <w:i w:val="0"/>
              </w:rPr>
              <w:t>Writes back claims brought, or judgments enforced, in the United States and Canada</w:t>
            </w:r>
          </w:p>
        </w:tc>
      </w:tr>
      <w:tr>
        <w:tc>
          <w:tcPr>
            <w:tcW w:type="dxa" w:w="3249"/>
          </w:tcPr>
          <w:p>
            <w:r/>
            <w:r>
              <w:rPr>
                <w:b w:val="0"/>
                <w:i w:val="0"/>
              </w:rPr>
              <w:t>E12</w:t>
            </w:r>
          </w:p>
        </w:tc>
        <w:tc>
          <w:tcPr>
            <w:tcW w:type="dxa" w:w="3249"/>
          </w:tcPr>
          <w:p>
            <w:r/>
            <w:r>
              <w:rPr>
                <w:b w:val="0"/>
                <w:i w:val="0"/>
              </w:rPr>
              <w:t>Aggregate Limit Reinstatement</w:t>
            </w:r>
          </w:p>
        </w:tc>
        <w:tc>
          <w:tcPr>
            <w:tcW w:type="dxa" w:w="3249"/>
          </w:tcPr>
          <w:p>
            <w:r/>
            <w:r>
              <w:rPr>
                <w:b w:val="0"/>
                <w:i w:val="0"/>
              </w:rPr>
              <w:t>Reinstates the limit of liability after it is exhausted</w:t>
            </w:r>
          </w:p>
        </w:tc>
      </w:tr>
      <w:tr>
        <w:tc>
          <w:tcPr>
            <w:tcW w:type="dxa" w:w="3249"/>
          </w:tcPr>
          <w:p>
            <w:r/>
            <w:r>
              <w:rPr>
                <w:b w:val="0"/>
                <w:i w:val="0"/>
              </w:rPr>
              <w:t>E13</w:t>
            </w:r>
          </w:p>
        </w:tc>
        <w:tc>
          <w:tcPr>
            <w:tcW w:type="dxa" w:w="3249"/>
          </w:tcPr>
          <w:p>
            <w:r/>
            <w:r>
              <w:rPr>
                <w:b w:val="0"/>
                <w:i w:val="0"/>
              </w:rPr>
              <w:t>Non-IT Dependent Business Interruption</w:t>
            </w:r>
          </w:p>
        </w:tc>
        <w:tc>
          <w:tcPr>
            <w:tcW w:type="dxa" w:w="3249"/>
          </w:tcPr>
          <w:p>
            <w:r/>
            <w:r>
              <w:rPr>
                <w:b w:val="0"/>
                <w:i w:val="0"/>
              </w:rPr>
              <w:t>Extends Dependent Business Interruption to cyber events at named non-IT suppliers</w:t>
            </w:r>
          </w:p>
        </w:tc>
      </w:tr>
      <w:tr>
        <w:tc>
          <w:tcPr>
            <w:tcW w:type="dxa" w:w="3249"/>
          </w:tcPr>
          <w:p>
            <w:r/>
            <w:r>
              <w:rPr>
                <w:b w:val="0"/>
                <w:i w:val="0"/>
              </w:rPr>
              <w:t>E14</w:t>
            </w:r>
          </w:p>
        </w:tc>
        <w:tc>
          <w:tcPr>
            <w:tcW w:type="dxa" w:w="3249"/>
          </w:tcPr>
          <w:p>
            <w:r/>
            <w:r>
              <w:rPr>
                <w:b w:val="0"/>
                <w:i w:val="0"/>
              </w:rPr>
              <w:t>Customer Business Interruption</w:t>
            </w:r>
          </w:p>
        </w:tc>
        <w:tc>
          <w:tcPr>
            <w:tcW w:type="dxa" w:w="3249"/>
          </w:tcPr>
          <w:p>
            <w:r/>
            <w:r>
              <w:rPr>
                <w:b w:val="0"/>
                <w:i w:val="0"/>
              </w:rPr>
              <w:t>Covers lost income when a cyber event at a named customer reduces its purchases</w:t>
            </w:r>
          </w:p>
        </w:tc>
      </w:tr>
      <w:tr>
        <w:tc>
          <w:tcPr>
            <w:tcW w:type="dxa" w:w="3249"/>
          </w:tcPr>
          <w:p>
            <w:r/>
            <w:r>
              <w:rPr>
                <w:b w:val="0"/>
                <w:i w:val="0"/>
              </w:rPr>
              <w:t>E15</w:t>
            </w:r>
          </w:p>
        </w:tc>
        <w:tc>
          <w:tcPr>
            <w:tcW w:type="dxa" w:w="3249"/>
          </w:tcPr>
          <w:p>
            <w:r/>
            <w:r>
              <w:rPr>
                <w:b w:val="0"/>
                <w:i w:val="0"/>
              </w:rPr>
              <w:t>Generative AI Systems</w:t>
            </w:r>
          </w:p>
        </w:tc>
        <w:tc>
          <w:tcPr>
            <w:tcW w:type="dxa" w:w="3249"/>
          </w:tcPr>
          <w:p>
            <w:r/>
            <w:r>
              <w:rPr>
                <w:b w:val="0"/>
                <w:i w:val="0"/>
              </w:rPr>
              <w:t>Extends the policy to AI systems, data poisoning and prompt injection</w:t>
            </w:r>
          </w:p>
        </w:tc>
      </w:tr>
      <w:tr>
        <w:tc>
          <w:tcPr>
            <w:tcW w:type="dxa" w:w="3249"/>
          </w:tcPr>
          <w:p>
            <w:r/>
            <w:r>
              <w:rPr>
                <w:b w:val="0"/>
                <w:i w:val="0"/>
              </w:rPr>
              <w:t>E16</w:t>
            </w:r>
          </w:p>
        </w:tc>
        <w:tc>
          <w:tcPr>
            <w:tcW w:type="dxa" w:w="3249"/>
          </w:tcPr>
          <w:p>
            <w:r/>
            <w:r>
              <w:rPr>
                <w:b w:val="0"/>
                <w:i w:val="0"/>
              </w:rPr>
              <w:t>Ransomware Exclusion</w:t>
            </w:r>
          </w:p>
        </w:tc>
        <w:tc>
          <w:tcPr>
            <w:tcW w:type="dxa" w:w="3249"/>
          </w:tcPr>
          <w:p>
            <w:r/>
            <w:r>
              <w:rPr>
                <w:b w:val="0"/>
                <w:i w:val="0"/>
              </w:rPr>
              <w:t>Removes cyber extortion and ransomware first-party cover where MFA or tested offline backups are missing</w:t>
            </w:r>
          </w:p>
        </w:tc>
      </w:tr>
    </w:tbl>
    <w:p>
      <w:bookmarkStart w:id="112" w:name="c_cy_end_e01"/>
      <w:r>
        <w:rPr>
          <w:rFonts w:ascii="Georgia" w:hAnsi="Georgia" w:eastAsia="Georgia"/>
          <w:b/>
          <w:i w:val="0"/>
          <w:color w:val="2E5C4E"/>
          <w:sz w:val="25"/>
        </w:rPr>
        <w:t>E01 Extended Reporting Period</w:t>
      </w:r>
      <w:bookmarkEnd w:id="112"/>
    </w:p>
    <w:p>
      <w:r>
        <w:rPr>
          <w:b w:val="0"/>
          <w:i w:val="0"/>
        </w:rPr>
        <w:t>If this policy is cancelled or not renewed, and you do not obtain replacement cover, you may buy an extended reporting period of the duration shown in the schedule for this endorsement by giving us written notice and paying the additional premium within 30 days after the end of the policy period.</w:t>
      </w:r>
    </w:p>
    <w:p>
      <w:r>
        <w:rPr>
          <w:b w:val="0"/>
          <w:i w:val="0"/>
        </w:rPr>
        <w:t>During the extended reporting period we will cover claims first made against you, and insured losses first discovered by you, arising solely from cyber events, dependent events, privacy breaches, or acts, errors or omissions that occurred before the end of the policy period.</w:t>
      </w:r>
    </w:p>
    <w:p>
      <w:r>
        <w:rPr>
          <w:b w:val="0"/>
          <w:i w:val="0"/>
        </w:rPr>
        <w:t>The extended reporting period does not reinstate or increase the limit of liability, which applies in the aggregate across the policy period and the extended reporting period combined.</w:t>
      </w:r>
    </w:p>
    <w:p>
      <w:r>
        <w:rPr>
          <w:b w:val="0"/>
          <w:i w:val="0"/>
        </w:rPr>
        <w:t xml:space="preserve">You may not buy the extended reporting period if the policy was cancelled for non-payment of premium or for fraud. The automatic 30-day period under </w:t>
      </w:r>
      <w:hyperlink w:anchor="c_cy_cond_cancellation">
        <w:r>
          <w:rPr>
            <w:color w:val="2E5C4E"/>
            <w:u w:val="single"/>
          </w:rPr>
          <w:t xml:space="preserve">the Cancellation and Extended Reporting condition</w:t>
        </w:r>
      </w:hyperlink>
      <w:r>
        <w:rPr>
          <w:b w:val="0"/>
          <w:i w:val="0"/>
        </w:rPr>
        <w:t xml:space="preserve"> is part of, and does not extend, any period bought under this endorsement.</w:t>
      </w:r>
    </w:p>
    <w:p>
      <w:r>
        <w:rPr>
          <w:b w:val="0"/>
          <w:i w:val="0"/>
        </w:rPr>
        <w:t>Schedule variables: duration (12, 24, 36 or 72 months); additional premium (a percentage of the expiring annual premium).</w:t>
      </w:r>
    </w:p>
    <w:p>
      <w:bookmarkStart w:id="113" w:name="c_cy_end_e02"/>
      <w:r>
        <w:rPr>
          <w:rFonts w:ascii="Georgia" w:hAnsi="Georgia" w:eastAsia="Georgia"/>
          <w:b/>
          <w:i w:val="0"/>
          <w:color w:val="2E5C4E"/>
          <w:sz w:val="25"/>
        </w:rPr>
        <w:t>E02 Defence Costs in Addition to the Limit</w:t>
      </w:r>
      <w:bookmarkEnd w:id="113"/>
    </w:p>
    <w:p>
      <w:hyperlink w:anchor="c_cy_pay_defence_costs">
        <w:r>
          <w:rPr>
            <w:color w:val="2E5C4E"/>
            <w:u w:val="single"/>
          </w:rPr>
          <w:t xml:space="preserve">The Defence Costs provision</w:t>
        </w:r>
      </w:hyperlink>
      <w:r>
        <w:rPr>
          <w:b w:val="0"/>
          <w:i w:val="0"/>
        </w:rPr>
        <w:t xml:space="preserve"> is amended so that defence costs are payable in addition to, and do not reduce, the limit of liability.</w:t>
      </w:r>
    </w:p>
    <w:p>
      <w:r>
        <w:rPr>
          <w:b w:val="0"/>
          <w:i w:val="0"/>
        </w:rPr>
        <w:t>The most we will pay for defence costs under this endorsement is the defence costs cap shown in the schedule for this endorsement or, if no amount is shown, an amount equal to the limit of liability. Once the cap is exhausted, further defence costs are payable within the limit of liability.</w:t>
      </w:r>
    </w:p>
    <w:p>
      <w:r>
        <w:rPr>
          <w:b w:val="0"/>
          <w:i w:val="0"/>
        </w:rPr>
        <w:t xml:space="preserve">Where a claim is only partly covered, defence costs are allocated on a fair and reasonable basis between covered and uncovered matters. Where </w:t>
      </w:r>
      <w:hyperlink w:anchor="c_cy_end_e11">
        <w:r>
          <w:rPr>
            <w:color w:val="2E5C4E"/>
            <w:u w:val="single"/>
          </w:rPr>
          <w:t xml:space="preserve">the E11 United States and Canada Jurisdiction endorsement</w:t>
        </w:r>
      </w:hyperlink>
      <w:r>
        <w:rPr>
          <w:b w:val="0"/>
          <w:i w:val="0"/>
        </w:rPr>
        <w:t xml:space="preserve"> applies to a claim, defence costs for that claim are within the limit of liability.</w:t>
      </w:r>
    </w:p>
    <w:p>
      <w:r>
        <w:rPr>
          <w:b w:val="0"/>
          <w:i w:val="0"/>
        </w:rPr>
        <w:t>Schedule variables: defence costs cap.</w:t>
      </w:r>
    </w:p>
    <w:p>
      <w:bookmarkStart w:id="114" w:name="c_cy_end_e03"/>
      <w:r>
        <w:rPr>
          <w:rFonts w:ascii="Georgia" w:hAnsi="Georgia" w:eastAsia="Georgia"/>
          <w:b/>
          <w:i w:val="0"/>
          <w:color w:val="2E5C4E"/>
          <w:sz w:val="25"/>
        </w:rPr>
        <w:t>E03 End-of-Life Software</w:t>
      </w:r>
      <w:bookmarkEnd w:id="114"/>
    </w:p>
    <w:p>
      <w:hyperlink w:anchor="c_cy_excl_unsupported_software">
        <w:r>
          <w:rPr>
            <w:color w:val="2E5C4E"/>
            <w:u w:val="single"/>
          </w:rPr>
          <w:t xml:space="preserve">The Unsupported Software exclusion</w:t>
        </w:r>
      </w:hyperlink>
      <w:r>
        <w:rPr>
          <w:b w:val="0"/>
          <w:i w:val="0"/>
        </w:rPr>
        <w:t xml:space="preserve"> does not apply to the systems and software listed in the schedule for this endorsement.</w:t>
      </w:r>
    </w:p>
    <w:p>
      <w:r>
        <w:rPr>
          <w:b w:val="0"/>
          <w:i w:val="0"/>
        </w:rPr>
        <w:t>For any insured loss or claim arising from a cyber event that exploits a vulnerability in listed end-of-life software, you bear the co-insurance percentage shown in the schedule of each amount otherwise payable, in addition to the excess.</w:t>
      </w:r>
    </w:p>
    <w:p>
      <w:r>
        <w:rPr>
          <w:b w:val="0"/>
          <w:i w:val="0"/>
        </w:rPr>
        <w:t>You must maintain the compensating controls described in the schedule (such as network segmentation, virtual patching, or endpoint monitoring) for each listed system. If you do not, we may reduce our liability to the extent that the failure caused or contributed to the loss or prejudiced us, as s.54 of the Insurance Contracts Act 1984 (Cth) allows.</w:t>
      </w:r>
    </w:p>
    <w:p>
      <w:r>
        <w:rPr>
          <w:b w:val="0"/>
          <w:i w:val="0"/>
        </w:rPr>
        <w:t>Schedule variables: listed systems and software; co-insurance percentage (default 20%); compensating controls.</w:t>
      </w:r>
    </w:p>
    <w:p>
      <w:bookmarkStart w:id="115" w:name="c_cy_end_e04"/>
      <w:r>
        <w:rPr>
          <w:rFonts w:ascii="Georgia" w:hAnsi="Georgia" w:eastAsia="Georgia"/>
          <w:b/>
          <w:i w:val="0"/>
          <w:color w:val="2E5C4E"/>
          <w:sz w:val="25"/>
        </w:rPr>
        <w:t>E04 Increased Social Engineering Fraud Sub-limit</w:t>
      </w:r>
      <w:bookmarkEnd w:id="115"/>
    </w:p>
    <w:p>
      <w:r>
        <w:rPr>
          <w:b w:val="0"/>
          <w:i w:val="0"/>
        </w:rPr>
        <w:t xml:space="preserve">The funds transfer and social engineering sub-limit in </w:t>
      </w:r>
      <w:hyperlink w:anchor="c_cy_cover_social_engineering">
        <w:r>
          <w:rPr>
            <w:color w:val="2E5C4E"/>
            <w:u w:val="single"/>
          </w:rPr>
          <w:t xml:space="preserve">the Social Engineering Fraud clause</w:t>
        </w:r>
      </w:hyperlink>
      <w:r>
        <w:rPr>
          <w:b w:val="0"/>
          <w:i w:val="0"/>
        </w:rPr>
        <w:t xml:space="preserve"> is increased to the amount shown in the schedule for this endorsement, for loss under that clause.</w:t>
      </w:r>
    </w:p>
    <w:p>
      <w:r>
        <w:rPr>
          <w:b w:val="0"/>
          <w:i w:val="0"/>
        </w:rPr>
        <w:t>The increased sub-limit applies to a transfer only if, before acting on the instruction to transfer funds or change payment details, you verified the instruction with the requesting party using contact details you held independently of the instruction (call-back verification), or followed the other verification procedure shown in the schedule. Where verification was not performed, cover for that transfer is not removed: it applies at the sub-limit that would apply without this endorsement.</w:t>
      </w:r>
    </w:p>
    <w:p>
      <w:r>
        <w:rPr>
          <w:b w:val="0"/>
          <w:i w:val="0"/>
        </w:rPr>
        <w:t>Schedule variables: increased sub-limit; verification procedure (call-back unless the schedule states otherwise).</w:t>
      </w:r>
    </w:p>
    <w:p>
      <w:bookmarkStart w:id="116" w:name="c_cy_end_e05"/>
      <w:r>
        <w:rPr>
          <w:rFonts w:ascii="Georgia" w:hAnsi="Georgia" w:eastAsia="Georgia"/>
          <w:b/>
          <w:i w:val="0"/>
          <w:color w:val="2E5C4E"/>
          <w:sz w:val="25"/>
        </w:rPr>
        <w:t>E05 Increased Dependent Business Interruption Sub-limit</w:t>
      </w:r>
      <w:bookmarkEnd w:id="116"/>
    </w:p>
    <w:p>
      <w:r>
        <w:rPr>
          <w:b w:val="0"/>
          <w:i w:val="0"/>
        </w:rPr>
        <w:t xml:space="preserve">The sub-limit for </w:t>
      </w:r>
      <w:hyperlink w:anchor="c_cy_ext_dependent_business_interruption">
        <w:r>
          <w:rPr>
            <w:color w:val="2E5C4E"/>
            <w:u w:val="single"/>
          </w:rPr>
          <w:t xml:space="preserve">the Dependent Business Interruption extension</w:t>
        </w:r>
      </w:hyperlink>
      <w:r>
        <w:rPr>
          <w:b w:val="0"/>
          <w:i w:val="0"/>
        </w:rPr>
        <w:t xml:space="preserve"> is increased to the amount shown in the schedule for this endorsement.</w:t>
      </w:r>
    </w:p>
    <w:p>
      <w:r>
        <w:rPr>
          <w:b w:val="0"/>
          <w:i w:val="0"/>
        </w:rPr>
        <w:t>Where the schedule names service providers for this endorsement, the increased sub-limit applies only to interruptions arising from dependent events affecting those named providers; the original sub-limit continues to apply to all other providers.</w:t>
      </w:r>
    </w:p>
    <w:p>
      <w:r>
        <w:rPr>
          <w:b w:val="0"/>
          <w:i w:val="0"/>
        </w:rPr>
        <w:t xml:space="preserve">The waiting period applies on a threshold basis, as </w:t>
      </w:r>
      <w:hyperlink w:anchor="c_cy_cover_business_interruption">
        <w:r>
          <w:rPr>
            <w:color w:val="2E5C4E"/>
            <w:u w:val="single"/>
          </w:rPr>
          <w:t xml:space="preserve">the Business Interruption clause</w:t>
        </w:r>
      </w:hyperlink>
      <w:r>
        <w:rPr>
          <w:b w:val="0"/>
          <w:i w:val="0"/>
        </w:rPr>
        <w:t xml:space="preserve"> sets out.</w:t>
      </w:r>
    </w:p>
    <w:p>
      <w:r>
        <w:rPr>
          <w:b w:val="0"/>
          <w:i w:val="0"/>
        </w:rPr>
        <w:t>Schedule variables: increased sub-limit; named providers (optional).</w:t>
      </w:r>
    </w:p>
    <w:p>
      <w:bookmarkStart w:id="117" w:name="c_cy_end_e06"/>
      <w:r>
        <w:rPr>
          <w:rFonts w:ascii="Georgia" w:hAnsi="Georgia" w:eastAsia="Georgia"/>
          <w:b/>
          <w:i w:val="0"/>
          <w:color w:val="2E5C4E"/>
          <w:sz w:val="25"/>
        </w:rPr>
        <w:t>E06 Digital Asset Theft</w:t>
      </w:r>
      <w:bookmarkEnd w:id="117"/>
    </w:p>
    <w:p>
      <w:r>
        <w:rPr>
          <w:b w:val="0"/>
          <w:i w:val="0"/>
        </w:rPr>
        <w:t xml:space="preserve">For </w:t>
      </w:r>
      <w:hyperlink w:anchor="c_cy_cover_funds_transfer_fraud">
        <w:r>
          <w:rPr>
            <w:color w:val="2E5C4E"/>
            <w:u w:val="single"/>
          </w:rPr>
          <w:t xml:space="preserve">the Funds Transfer Fraud clause</w:t>
        </w:r>
      </w:hyperlink>
      <w:r>
        <w:rPr>
          <w:b w:val="0"/>
          <w:i w:val="0"/>
        </w:rPr>
        <w:t xml:space="preserve">, funds include cryptocurrency and other digital assets owned by you and held in wallets under your control, and a fraudulent transfer includes the theft of those assets by a third party who gains </w:t>
      </w:r>
      <w:r>
        <w:rPr>
          <w:b/>
          <w:i w:val="0"/>
        </w:rPr>
        <w:t>unauthorised</w:t>
      </w:r>
      <w:r>
        <w:rPr>
          <w:b w:val="0"/>
          <w:i w:val="0"/>
        </w:rPr>
        <w:t xml:space="preserve"> access to your computer system or wallet.</w:t>
      </w:r>
    </w:p>
    <w:p>
      <w:r>
        <w:rPr>
          <w:b w:val="0"/>
          <w:i w:val="0"/>
        </w:rPr>
        <w:t>We will pay the lesser of the market value of the stolen assets at the time of discovery and their market value at the time of the theft, determined by reference to a reputable exchange.</w:t>
      </w:r>
    </w:p>
    <w:p>
      <w:r>
        <w:rPr>
          <w:b w:val="0"/>
          <w:i w:val="0"/>
        </w:rPr>
        <w:t>You must: (a) hold the private keys for holdings above the hot-wallet threshold shown in the schedule in cold storage; and (b) protect all wallet access with multi-factor authentication. If you do not, we may reduce our liability to the extent that the failure caused or contributed to the loss or prejudiced us, as s.54 of the Insurance Contracts Act 1984 (Cth) allows.</w:t>
      </w:r>
    </w:p>
    <w:p>
      <w:r>
        <w:rPr>
          <w:b w:val="0"/>
          <w:i w:val="0"/>
        </w:rPr>
        <w:t>This endorsement does not cover assets you hold on trust for, or on behalf of, any third party, or any fall in the market value of assets that are not stolen.</w:t>
      </w:r>
    </w:p>
    <w:p>
      <w:r>
        <w:rPr>
          <w:b w:val="0"/>
          <w:i w:val="0"/>
        </w:rPr>
        <w:t>Schedule variables: sub-limit; hot-wallet threshold.</w:t>
      </w:r>
    </w:p>
    <w:p>
      <w:bookmarkStart w:id="118" w:name="c_cy_end_e07"/>
      <w:r>
        <w:rPr>
          <w:rFonts w:ascii="Georgia" w:hAnsi="Georgia" w:eastAsia="Georgia"/>
          <w:b/>
          <w:i w:val="0"/>
          <w:color w:val="2E5C4E"/>
          <w:sz w:val="25"/>
        </w:rPr>
        <w:t>E07 Technology Errors and Omissions</w:t>
      </w:r>
      <w:bookmarkEnd w:id="118"/>
    </w:p>
    <w:p>
      <w:r>
        <w:rPr>
          <w:b w:val="0"/>
          <w:i w:val="0"/>
        </w:rPr>
        <w:t xml:space="preserve">Cover extends to claims first made against you during the policy period, for an act, error or omission on or after the retroactive date shown for this endorsement, alleging a negligent act, error, or omission in your provision of technology products or technology services to a third party for a fee, including failure of your products or services to perform as intended. </w:t>
      </w:r>
      <w:hyperlink w:anchor="c_cy_excl_professional_services">
        <w:r>
          <w:rPr>
            <w:color w:val="2E5C4E"/>
            <w:u w:val="single"/>
          </w:rPr>
          <w:t xml:space="preserve">The Professional Services exclusion</w:t>
        </w:r>
      </w:hyperlink>
      <w:r>
        <w:rPr>
          <w:b w:val="0"/>
          <w:i w:val="0"/>
        </w:rPr>
        <w:t xml:space="preserve"> does not apply to this cover.</w:t>
      </w:r>
    </w:p>
    <w:p>
      <w:r>
        <w:rPr>
          <w:b w:val="0"/>
          <w:i w:val="0"/>
        </w:rPr>
        <w:t>For this endorsement: technology products means hardware, software, or electronic components you design, develop, license, sell, or distribute; technology services means services such as software development, hosting, data processing, systems integration, consulting, and support.</w:t>
      </w:r>
    </w:p>
    <w:p>
      <w:r>
        <w:rPr>
          <w:b w:val="0"/>
          <w:i w:val="0"/>
        </w:rPr>
        <w:t>This endorsement does not cover: (a) bodily injury or property damage; (b) your fees, cost guarantees, or estimates of probable cost; (c) any express warranty or guarantee beyond your liability at law; or (d) deliberate breach of contract.</w:t>
      </w:r>
    </w:p>
    <w:p>
      <w:r>
        <w:rPr>
          <w:b w:val="0"/>
          <w:i w:val="0"/>
        </w:rPr>
        <w:t xml:space="preserve">The retention shown in the schedule applies to each claim under this endorsement. Where a single event gives rise to a claim under both this endorsement and another section of the policy, </w:t>
      </w:r>
      <w:hyperlink w:anchor="c_cy_pay_excess">
        <w:r>
          <w:rPr>
            <w:color w:val="2E5C4E"/>
            <w:u w:val="single"/>
          </w:rPr>
          <w:t xml:space="preserve">the Excess provision</w:t>
        </w:r>
      </w:hyperlink>
      <w:r>
        <w:rPr>
          <w:b w:val="0"/>
          <w:i w:val="0"/>
        </w:rPr>
        <w:t xml:space="preserve"> applies: one claim, and only the highest excess.</w:t>
      </w:r>
    </w:p>
    <w:p>
      <w:r>
        <w:rPr>
          <w:b w:val="0"/>
          <w:i w:val="0"/>
        </w:rPr>
        <w:t>Businesses with material technology errors and omissions exposure should consider the Meridian Comprehensive Technology Liability wording, which provides this cover in full form.</w:t>
      </w:r>
    </w:p>
    <w:p>
      <w:r>
        <w:rPr>
          <w:b w:val="0"/>
          <w:i w:val="0"/>
        </w:rPr>
        <w:t>Schedule variables: sub-limit; retention; retroactive date for this endorsement.</w:t>
      </w:r>
    </w:p>
    <w:p>
      <w:bookmarkStart w:id="119" w:name="c_cy_end_e08"/>
      <w:r>
        <w:rPr>
          <w:rFonts w:ascii="Georgia" w:hAnsi="Georgia" w:eastAsia="Georgia"/>
          <w:b/>
          <w:i w:val="0"/>
          <w:color w:val="2E5C4E"/>
          <w:sz w:val="25"/>
        </w:rPr>
        <w:t>E08 Invoice Manipulation Fraud</w:t>
      </w:r>
      <w:bookmarkEnd w:id="119"/>
    </w:p>
    <w:p>
      <w:hyperlink w:anchor="c_cy_section_first_party">
        <w:r>
          <w:rPr>
            <w:color w:val="2E5C4E"/>
            <w:u w:val="single"/>
          </w:rPr>
          <w:t xml:space="preserve">The What Is Covered — Your Own Losses (First Party) section</w:t>
        </w:r>
      </w:hyperlink>
      <w:r>
        <w:rPr>
          <w:b w:val="0"/>
          <w:i w:val="0"/>
        </w:rPr>
        <w:t xml:space="preserve"> is extended to cover your direct financial loss where a third party, having gained </w:t>
      </w:r>
      <w:r>
        <w:rPr>
          <w:b/>
          <w:i w:val="0"/>
        </w:rPr>
        <w:t>unauthorised</w:t>
      </w:r>
      <w:r>
        <w:rPr>
          <w:b w:val="0"/>
          <w:i w:val="0"/>
        </w:rPr>
        <w:t xml:space="preserve"> access to your computer system or email, fraudulently alters or issues invoices or payment instructions in your name, causing amounts properly payable to you to be paid to the fraudster instead.</w:t>
      </w:r>
    </w:p>
    <w:p>
      <w:r>
        <w:rPr>
          <w:b w:val="0"/>
          <w:i w:val="0"/>
        </w:rPr>
        <w:t>We will pay the invoiced amounts you are unable to recover from your customer or the receiving institution, provided you make reasonable efforts to recover them and notify affected customers promptly on discovery. You must discover the loss during the policy period and notify us within 30 days of discovery.</w:t>
      </w:r>
    </w:p>
    <w:p>
      <w:r>
        <w:rPr>
          <w:b w:val="0"/>
          <w:i w:val="0"/>
        </w:rPr>
        <w:t xml:space="preserve">This endorsement does not cover amounts lost where the fraudulent instruction did not involve </w:t>
      </w:r>
      <w:r>
        <w:rPr>
          <w:b/>
          <w:i w:val="0"/>
        </w:rPr>
        <w:t>unauthorised</w:t>
      </w:r>
      <w:r>
        <w:rPr>
          <w:b w:val="0"/>
          <w:i w:val="0"/>
        </w:rPr>
        <w:t xml:space="preserve"> access to your computer system or email.</w:t>
      </w:r>
    </w:p>
    <w:p>
      <w:r>
        <w:rPr>
          <w:b w:val="0"/>
          <w:i w:val="0"/>
        </w:rPr>
        <w:t>Schedule variables: sub-limit.</w:t>
      </w:r>
    </w:p>
    <w:p>
      <w:bookmarkStart w:id="120" w:name="c_cy_end_e09"/>
      <w:r>
        <w:rPr>
          <w:rFonts w:ascii="Georgia" w:hAnsi="Georgia" w:eastAsia="Georgia"/>
          <w:b/>
          <w:i w:val="0"/>
          <w:color w:val="2E5C4E"/>
          <w:sz w:val="25"/>
        </w:rPr>
        <w:t>E09 Contingent Bodily Injury from Operational Technology</w:t>
      </w:r>
      <w:bookmarkEnd w:id="120"/>
    </w:p>
    <w:p>
      <w:hyperlink w:anchor="c_cy_excl_bodily_injury_property_damage">
        <w:r>
          <w:rPr>
            <w:color w:val="2E5C4E"/>
            <w:u w:val="single"/>
          </w:rPr>
          <w:t xml:space="preserve">The Bodily Injury and Property Damage exclusion</w:t>
        </w:r>
      </w:hyperlink>
      <w:r>
        <w:rPr>
          <w:b w:val="0"/>
          <w:i w:val="0"/>
        </w:rPr>
        <w:t xml:space="preserve"> does not apply to claims against you for bodily injury to a third party directly caused by a cyber event that affects operational technology under your control. Operational technology means computer systems that monitor or control physical equipment, plant or processes.</w:t>
      </w:r>
    </w:p>
    <w:p>
      <w:r>
        <w:rPr>
          <w:b w:val="0"/>
          <w:i w:val="0"/>
        </w:rPr>
        <w:t>Cover under this endorsement applies only in excess of, and contingent on, any valid and collectible general liability insurance available to you, and only to the extent that insurance does not respond because of a cyber exclusion.</w:t>
      </w:r>
    </w:p>
    <w:p>
      <w:r>
        <w:rPr>
          <w:b w:val="0"/>
          <w:i w:val="0"/>
        </w:rPr>
        <w:t>This endorsement does not cover property damage, product liability, product recall, or bodily injury arising from professional services.</w:t>
      </w:r>
    </w:p>
    <w:p>
      <w:r>
        <w:rPr>
          <w:b w:val="0"/>
          <w:i w:val="0"/>
        </w:rPr>
        <w:t>Schedule variables: sub-limit.</w:t>
      </w:r>
    </w:p>
    <w:p>
      <w:bookmarkStart w:id="121" w:name="c_cy_end_e10"/>
      <w:r>
        <w:rPr>
          <w:rFonts w:ascii="Georgia" w:hAnsi="Georgia" w:eastAsia="Georgia"/>
          <w:b/>
          <w:i w:val="0"/>
          <w:color w:val="2E5C4E"/>
          <w:sz w:val="25"/>
        </w:rPr>
        <w:t>E10 Excess Layer</w:t>
      </w:r>
      <w:bookmarkEnd w:id="121"/>
    </w:p>
    <w:p>
      <w:r>
        <w:rPr>
          <w:b w:val="0"/>
          <w:i w:val="0"/>
        </w:rPr>
        <w:t>This policy applies as excess insurance above the underlying insurance listed in the schedule for this endorsement. Cover attaches only after the underlying limits have been exhausted by actual payment of covered loss.</w:t>
      </w:r>
    </w:p>
    <w:p>
      <w:r>
        <w:rPr>
          <w:b w:val="0"/>
          <w:i w:val="0"/>
        </w:rPr>
        <w:t>This policy follows the terms, conditions, definitions and exclusions of the primary policy listed in the schedule, except as otherwise stated in this policy or the schedule, and except that this policy's limit of liability, premium and notice provisions always apply.</w:t>
      </w:r>
    </w:p>
    <w:p>
      <w:r>
        <w:rPr>
          <w:b w:val="0"/>
          <w:i w:val="0"/>
        </w:rPr>
        <w:t xml:space="preserve">You must maintain the underlying insurance in full effect during the policy period and tell us of any change to it. If the underlying insurance is reduced or exhausted by covered loss, this policy drops down only to the extent of that reduction; it does not drop down where the underlying insurance is uncollectible for any other reason, including insurer insolvency. </w:t>
      </w:r>
      <w:hyperlink w:anchor="c_cy_pay_excess">
        <w:r>
          <w:rPr>
            <w:color w:val="2E5C4E"/>
            <w:u w:val="single"/>
          </w:rPr>
          <w:t xml:space="preserve">The Excess provision</w:t>
        </w:r>
      </w:hyperlink>
      <w:r>
        <w:rPr>
          <w:b w:val="0"/>
          <w:i w:val="0"/>
        </w:rPr>
        <w:t xml:space="preserve"> does not apply; the underlying limits are the attachment point.</w:t>
      </w:r>
    </w:p>
    <w:p>
      <w:r>
        <w:rPr>
          <w:b w:val="0"/>
          <w:i w:val="0"/>
        </w:rPr>
        <w:t>Schedule variables: underlying insurance; attachment point.</w:t>
      </w:r>
    </w:p>
    <w:p>
      <w:bookmarkStart w:id="122" w:name="c_cy_end_e11"/>
      <w:r>
        <w:rPr>
          <w:rFonts w:ascii="Georgia" w:hAnsi="Georgia" w:eastAsia="Georgia"/>
          <w:b/>
          <w:i w:val="0"/>
          <w:color w:val="2E5C4E"/>
          <w:sz w:val="25"/>
        </w:rPr>
        <w:t>E11 United States and Canada Jurisdiction</w:t>
      </w:r>
      <w:bookmarkEnd w:id="122"/>
    </w:p>
    <w:p>
      <w:hyperlink w:anchor="c_cy_cond_territory_and_jurisdiction">
        <w:r>
          <w:rPr>
            <w:color w:val="2E5C4E"/>
            <w:u w:val="single"/>
          </w:rPr>
          <w:t xml:space="preserve">The Territory and Jurisdiction condition</w:t>
        </w:r>
      </w:hyperlink>
      <w:r>
        <w:rPr>
          <w:b w:val="0"/>
          <w:i w:val="0"/>
        </w:rPr>
        <w:t xml:space="preserve"> does not exclude claims brought within, or judgments entered or enforced from, a court of the United States of America or Canada or their territories, and the covers in </w:t>
      </w:r>
      <w:hyperlink w:anchor="c_cy_section_third_party">
        <w:r>
          <w:rPr>
            <w:color w:val="2E5C4E"/>
            <w:u w:val="single"/>
          </w:rPr>
          <w:t xml:space="preserve">the What Is Covered — Claims by Others (Third Party) section</w:t>
        </w:r>
      </w:hyperlink>
      <w:r>
        <w:rPr>
          <w:b w:val="0"/>
          <w:i w:val="0"/>
        </w:rPr>
        <w:t xml:space="preserve"> apply to those claims.</w:t>
      </w:r>
    </w:p>
    <w:p>
      <w:r>
        <w:rPr>
          <w:b w:val="0"/>
          <w:i w:val="0"/>
        </w:rPr>
        <w:t xml:space="preserve">For claims within the scope of this endorsement: (a) we will not pay punitive, exemplary, or multiple damages, or any fine or penalty; (b) defence costs are within the limit of liability, whatever </w:t>
      </w:r>
      <w:hyperlink w:anchor="c_cy_end_e02">
        <w:r>
          <w:rPr>
            <w:color w:val="2E5C4E"/>
            <w:u w:val="single"/>
          </w:rPr>
          <w:t xml:space="preserve">the E02 Defence Costs in Addition to the Limit endorsement</w:t>
        </w:r>
      </w:hyperlink>
      <w:r>
        <w:rPr>
          <w:b w:val="0"/>
          <w:i w:val="0"/>
        </w:rPr>
        <w:t xml:space="preserve"> provides; and (c) the most we will pay is the sub-limit shown in the schedule for this endorsement, if one is shown.</w:t>
      </w:r>
    </w:p>
    <w:p>
      <w:r>
        <w:rPr>
          <w:b w:val="0"/>
          <w:i w:val="0"/>
        </w:rPr>
        <w:t>You must not admit liability, settle, or incur defence costs for any claim within the scope of this endorsement without our prior written consent, which we will not unreasonably withhold, and we may appoint counsel of our choosing.</w:t>
      </w:r>
    </w:p>
    <w:p>
      <w:r>
        <w:rPr>
          <w:b w:val="0"/>
          <w:i w:val="0"/>
        </w:rPr>
        <w:t>Schedule variables: sub-limit (if any); additional premium.</w:t>
      </w:r>
    </w:p>
    <w:p>
      <w:bookmarkStart w:id="123" w:name="c_cy_end_e12"/>
      <w:r>
        <w:rPr>
          <w:rFonts w:ascii="Georgia" w:hAnsi="Georgia" w:eastAsia="Georgia"/>
          <w:b/>
          <w:i w:val="0"/>
          <w:color w:val="2E5C4E"/>
          <w:sz w:val="25"/>
        </w:rPr>
        <w:t>E12 Aggregate Limit Reinstatement</w:t>
      </w:r>
      <w:bookmarkEnd w:id="123"/>
    </w:p>
    <w:p>
      <w:r>
        <w:rPr>
          <w:b w:val="0"/>
          <w:i w:val="0"/>
        </w:rPr>
        <w:t>If the limit of liability is exhausted by payment of covered loss, it is reinstated for the rest of the policy period, as many times as the schedule for this endorsement shows (once if no number is shown).</w:t>
      </w:r>
    </w:p>
    <w:p>
      <w:r>
        <w:rPr>
          <w:b w:val="0"/>
          <w:i w:val="0"/>
        </w:rPr>
        <w:t xml:space="preserve">A reinstated limit applies only to claims and insured losses arising from cyber events, dependent events, privacy breaches, or acts, errors or omissions that are not related events (see </w:t>
      </w:r>
      <w:hyperlink w:anchor="c_cy_def_related_events">
        <w:r>
          <w:rPr>
            <w:color w:val="2E5C4E"/>
            <w:u w:val="single"/>
          </w:rPr>
          <w:t xml:space="preserve">the definition of Related events</w:t>
        </w:r>
      </w:hyperlink>
      <w:r>
        <w:rPr>
          <w:b w:val="0"/>
          <w:i w:val="0"/>
        </w:rPr>
        <w:t>) to those that exhausted the limit, and never increases the amount payable for any single claim, insured loss, or series of related events.</w:t>
      </w:r>
    </w:p>
    <w:p>
      <w:r>
        <w:rPr>
          <w:b w:val="0"/>
          <w:i w:val="0"/>
        </w:rPr>
        <w:t>Each reinstatement attracts the additional premium shown in the schedule, payable when the reinstatement takes effect.</w:t>
      </w:r>
    </w:p>
    <w:p>
      <w:r>
        <w:rPr>
          <w:b w:val="0"/>
          <w:i w:val="0"/>
        </w:rPr>
        <w:t>Schedule variables: number of reinstatements (default one); additional premium.</w:t>
      </w:r>
    </w:p>
    <w:p>
      <w:bookmarkStart w:id="124" w:name="c_cy_end_e13"/>
      <w:r>
        <w:rPr>
          <w:rFonts w:ascii="Georgia" w:hAnsi="Georgia" w:eastAsia="Georgia"/>
          <w:b/>
          <w:i w:val="0"/>
          <w:color w:val="2E5C4E"/>
          <w:sz w:val="25"/>
        </w:rPr>
        <w:t>E13 Non-IT Dependent Business Interruption</w:t>
      </w:r>
      <w:bookmarkEnd w:id="124"/>
    </w:p>
    <w:p>
      <w:hyperlink w:anchor="c_cy_ext_dependent_business_interruption">
        <w:r>
          <w:rPr>
            <w:color w:val="2E5C4E"/>
            <w:u w:val="single"/>
          </w:rPr>
          <w:t xml:space="preserve">The Dependent Business Interruption extension</w:t>
        </w:r>
      </w:hyperlink>
      <w:r>
        <w:rPr>
          <w:b w:val="0"/>
          <w:i w:val="0"/>
        </w:rPr>
        <w:t xml:space="preserve"> extends to interruption of your business resulting from a cyber event affecting the computer systems of a supplier named in the schedule for this endorsement, even though that supplier is not a service provider. For this endorsement, a cyber event at a named supplier is treated as a dependent event.</w:t>
      </w:r>
    </w:p>
    <w:p>
      <w:r>
        <w:rPr>
          <w:b w:val="0"/>
          <w:i w:val="0"/>
        </w:rPr>
        <w:t>The waiting period shown for this endorsement applies on a threshold basis: once the interruption exceeds it, we pay net income loss and extra expense measured from the start of the interruption.</w:t>
      </w:r>
    </w:p>
    <w:p>
      <w:r>
        <w:rPr>
          <w:b w:val="0"/>
          <w:i w:val="0"/>
        </w:rPr>
        <w:t>This endorsement does not cover interruption arising from physical damage to the supplier's premises or plant, insolvency of the supplier, industrial action, or the supplier's commercial decision to stop supplying.</w:t>
      </w:r>
    </w:p>
    <w:p>
      <w:r>
        <w:rPr>
          <w:b w:val="0"/>
          <w:i w:val="0"/>
        </w:rPr>
        <w:t>Schedule variables: named suppliers; sub-limit; waiting period.</w:t>
      </w:r>
    </w:p>
    <w:p>
      <w:bookmarkStart w:id="125" w:name="c_cy_end_e14"/>
      <w:r>
        <w:rPr>
          <w:rFonts w:ascii="Georgia" w:hAnsi="Georgia" w:eastAsia="Georgia"/>
          <w:b/>
          <w:i w:val="0"/>
          <w:color w:val="2E5C4E"/>
          <w:sz w:val="25"/>
        </w:rPr>
        <w:t>E14 Customer Business Interruption</w:t>
      </w:r>
      <w:bookmarkEnd w:id="125"/>
    </w:p>
    <w:p>
      <w:hyperlink w:anchor="c_cy_cover_business_interruption">
        <w:r>
          <w:rPr>
            <w:color w:val="2E5C4E"/>
            <w:u w:val="single"/>
          </w:rPr>
          <w:t xml:space="preserve">The Business Interruption clause</w:t>
        </w:r>
      </w:hyperlink>
      <w:r>
        <w:rPr>
          <w:b w:val="0"/>
          <w:i w:val="0"/>
        </w:rPr>
        <w:t xml:space="preserve"> extends to your net income loss resulting from a reduction in purchases by a customer named in the schedule for this endorsement, where that reduction results directly from a cyber event affecting the named customer's computer systems.</w:t>
      </w:r>
    </w:p>
    <w:p>
      <w:r>
        <w:rPr>
          <w:b w:val="0"/>
          <w:i w:val="0"/>
        </w:rPr>
        <w:t>Loss is measured over the indemnity period, after the waiting period shown for this endorsement on a threshold basis, and only to the extent the reduction in the named customer's purchases exceeds normal variation in their purchasing pattern over the preceding 12 months.</w:t>
      </w:r>
    </w:p>
    <w:p>
      <w:r>
        <w:rPr>
          <w:b w:val="0"/>
          <w:i w:val="0"/>
        </w:rPr>
        <w:t>This endorsement does not cover reductions attributable to market conditions, the customer's financial position, or any cause other than the cyber event.</w:t>
      </w:r>
    </w:p>
    <w:p>
      <w:r>
        <w:rPr>
          <w:b w:val="0"/>
          <w:i w:val="0"/>
        </w:rPr>
        <w:t>Schedule variables: named customers; sub-limit; waiting period.</w:t>
      </w:r>
    </w:p>
    <w:p>
      <w:bookmarkStart w:id="126" w:name="c_cy_end_e15"/>
      <w:r>
        <w:rPr>
          <w:rFonts w:ascii="Georgia" w:hAnsi="Georgia" w:eastAsia="Georgia"/>
          <w:b/>
          <w:i w:val="0"/>
          <w:color w:val="2E5C4E"/>
          <w:sz w:val="25"/>
        </w:rPr>
        <w:t>E15 Generative AI Systems</w:t>
      </w:r>
      <w:bookmarkEnd w:id="126"/>
    </w:p>
    <w:p>
      <w:r>
        <w:rPr>
          <w:b w:val="0"/>
          <w:i w:val="0"/>
        </w:rPr>
        <w:t>For this policy:</w:t>
      </w:r>
    </w:p>
    <w:p>
      <w:pPr>
        <w:pStyle w:val="ListBullet"/>
      </w:pPr>
      <w:r>
        <w:rPr>
          <w:b w:val="0"/>
          <w:i w:val="0"/>
        </w:rPr>
        <w:t>your computer system includes artificial intelligence systems you operate, or that are operated on your behalf, including models, model weights, training data, vector databases, and orchestration infrastructure, and data includes training data, fine-tuning data, and model weights;</w:t>
      </w:r>
    </w:p>
    <w:p>
      <w:pPr>
        <w:pStyle w:val="ListBullet"/>
      </w:pPr>
      <w:r>
        <w:rPr>
          <w:b w:val="0"/>
          <w:i w:val="0"/>
        </w:rPr>
        <w:t xml:space="preserve">a cyber event includes: (a) data poisoning, meaning the deliberate corruption or manipulation of your training data or model weights by a person without authority; and (b) manipulation of an AI system's behaviour through adversarial inputs, including prompt injection, that results in </w:t>
      </w:r>
      <w:r>
        <w:rPr>
          <w:b/>
          <w:i w:val="0"/>
        </w:rPr>
        <w:t>unauthorised</w:t>
      </w:r>
      <w:r>
        <w:rPr>
          <w:b w:val="0"/>
          <w:i w:val="0"/>
        </w:rPr>
        <w:t xml:space="preserve"> access to or disclosure of data;</w:t>
      </w:r>
    </w:p>
    <w:p>
      <w:pPr>
        <w:pStyle w:val="ListBullet"/>
      </w:pPr>
      <w:hyperlink w:anchor="c_cy_cover_data_restoration">
        <w:r>
          <w:rPr>
            <w:color w:val="2E5C4E"/>
            <w:u w:val="single"/>
          </w:rPr>
          <w:t xml:space="preserve">the Data and System Restoration clause</w:t>
        </w:r>
      </w:hyperlink>
      <w:r>
        <w:rPr>
          <w:b w:val="0"/>
          <w:i w:val="0"/>
        </w:rPr>
        <w:t xml:space="preserve"> includes the reasonable costs of restoring, retraining, or fine-tuning an affected model to substantially its pre-event state, up to the model restoration sub-limit shown in the schedule; and</w:t>
      </w:r>
    </w:p>
    <w:p>
      <w:pPr>
        <w:pStyle w:val="ListBullet"/>
      </w:pPr>
      <w:r>
        <w:rPr>
          <w:b w:val="0"/>
          <w:i w:val="0"/>
        </w:rPr>
        <w:t xml:space="preserve">a third party providing AI model hosting or inference services to you under written contract is a service provider for </w:t>
      </w:r>
      <w:hyperlink w:anchor="c_cy_ext_dependent_business_interruption">
        <w:r>
          <w:rPr>
            <w:color w:val="2E5C4E"/>
            <w:u w:val="single"/>
          </w:rPr>
          <w:t xml:space="preserve">the Dependent Business Interruption extension</w:t>
        </w:r>
      </w:hyperlink>
      <w:r>
        <w:rPr>
          <w:b w:val="0"/>
          <w:i w:val="0"/>
        </w:rPr>
        <w:t>.</w:t>
      </w:r>
    </w:p>
    <w:p>
      <w:r>
        <w:rPr>
          <w:b w:val="0"/>
          <w:i w:val="0"/>
        </w:rPr>
        <w:t>This endorsement does not cover: (a) claims alleging infringement of intellectual property rights in training data or model outputs; (b) loss arising from the inherent inaccuracy, bias, or unreliability of model outputs without a cyber event; or (c) regulatory proceedings arising solely from your governance of AI systems.</w:t>
      </w:r>
    </w:p>
    <w:p>
      <w:r>
        <w:rPr>
          <w:b w:val="0"/>
          <w:i w:val="0"/>
        </w:rPr>
        <w:t>Schedule variables: model restoration sub-limit; covered AI systems.</w:t>
      </w:r>
    </w:p>
    <w:p>
      <w:bookmarkStart w:id="127" w:name="c_cy_end_e16"/>
      <w:r>
        <w:rPr>
          <w:rFonts w:ascii="Georgia" w:hAnsi="Georgia" w:eastAsia="Georgia"/>
          <w:b/>
          <w:i w:val="0"/>
          <w:color w:val="2E5C4E"/>
          <w:sz w:val="25"/>
        </w:rPr>
        <w:t>E16 Ransomware Exclusion</w:t>
      </w:r>
      <w:bookmarkEnd w:id="127"/>
    </w:p>
    <w:p>
      <w:r>
        <w:rPr>
          <w:b w:val="0"/>
          <w:i w:val="0"/>
        </w:rPr>
        <w:t>This endorsement applies where the schedule shows it, and is the default where multi-factor authentication for remote access and email, or offline backups tested in the last 12 months, are not in place.</w:t>
      </w:r>
    </w:p>
    <w:p>
      <w:r>
        <w:rPr>
          <w:b w:val="0"/>
          <w:i w:val="0"/>
        </w:rPr>
        <w:t>For this policy:</w:t>
      </w:r>
    </w:p>
    <w:p>
      <w:pPr>
        <w:pStyle w:val="ListBullet"/>
      </w:pPr>
      <w:hyperlink w:anchor="c_cy_cover_cyber_extortion">
        <w:r>
          <w:rPr>
            <w:color w:val="2E5C4E"/>
            <w:u w:val="single"/>
          </w:rPr>
          <w:t xml:space="preserve">the Cyber Extortion clause</w:t>
        </w:r>
      </w:hyperlink>
      <w:r>
        <w:rPr>
          <w:b w:val="0"/>
          <w:i w:val="0"/>
        </w:rPr>
        <w:t xml:space="preserve"> does not apply; and</w:t>
      </w:r>
    </w:p>
    <w:p>
      <w:pPr>
        <w:pStyle w:val="ListBullet"/>
      </w:pPr>
      <w:r>
        <w:rPr>
          <w:b w:val="0"/>
          <w:i w:val="0"/>
        </w:rPr>
        <w:t xml:space="preserve">we do not pay any insured loss under </w:t>
      </w:r>
      <w:hyperlink w:anchor="c_cy_cover_business_interruption">
        <w:r>
          <w:rPr>
            <w:color w:val="2E5C4E"/>
            <w:u w:val="single"/>
          </w:rPr>
          <w:t xml:space="preserve">the Business Interruption clause</w:t>
        </w:r>
      </w:hyperlink>
      <w:r>
        <w:rPr>
          <w:b w:val="0"/>
          <w:i w:val="0"/>
        </w:rPr>
        <w:t xml:space="preserve">, </w:t>
      </w:r>
      <w:hyperlink w:anchor="c_cy_cover_data_restoration">
        <w:r>
          <w:rPr>
            <w:color w:val="2E5C4E"/>
            <w:u w:val="single"/>
          </w:rPr>
          <w:t xml:space="preserve">the Data and System Restoration clause</w:t>
        </w:r>
      </w:hyperlink>
      <w:r>
        <w:rPr>
          <w:b w:val="0"/>
          <w:i w:val="0"/>
        </w:rPr>
        <w:t xml:space="preserve">, </w:t>
      </w:r>
      <w:hyperlink w:anchor="c_cy_ext_dependent_business_interruption">
        <w:r>
          <w:rPr>
            <w:color w:val="2E5C4E"/>
            <w:u w:val="single"/>
          </w:rPr>
          <w:t xml:space="preserve">the Dependent Business Interruption extension</w:t>
        </w:r>
      </w:hyperlink>
      <w:r>
        <w:rPr>
          <w:b w:val="0"/>
          <w:i w:val="0"/>
        </w:rPr>
        <w:t xml:space="preserve"> or </w:t>
      </w:r>
      <w:hyperlink w:anchor="c_cy_ext_bricking">
        <w:r>
          <w:rPr>
            <w:color w:val="2E5C4E"/>
            <w:u w:val="single"/>
          </w:rPr>
          <w:t xml:space="preserve">the Bricking extension</w:t>
        </w:r>
      </w:hyperlink>
      <w:r>
        <w:rPr>
          <w:b w:val="0"/>
          <w:i w:val="0"/>
        </w:rPr>
        <w:t xml:space="preserve"> arising from ransomware, unless the schedule shows a ransomware sub-limit for this endorsement, in which case the most we will pay for all such insured loss is that sub-limit.</w:t>
      </w:r>
    </w:p>
    <w:p>
      <w:r>
        <w:rPr>
          <w:b w:val="0"/>
          <w:i w:val="0"/>
        </w:rPr>
        <w:t xml:space="preserve">This endorsement does not affect </w:t>
      </w:r>
      <w:hyperlink w:anchor="c_cy_cover_incident_response">
        <w:r>
          <w:rPr>
            <w:color w:val="2E5C4E"/>
            <w:u w:val="single"/>
          </w:rPr>
          <w:t xml:space="preserve">the Incident Response Costs clause</w:t>
        </w:r>
      </w:hyperlink>
      <w:r>
        <w:rPr>
          <w:b w:val="0"/>
          <w:i w:val="0"/>
        </w:rPr>
        <w:t xml:space="preserve"> or any cover in </w:t>
      </w:r>
      <w:hyperlink w:anchor="c_cy_section_third_party">
        <w:r>
          <w:rPr>
            <w:color w:val="2E5C4E"/>
            <w:u w:val="single"/>
          </w:rPr>
          <w:t xml:space="preserve">the What Is Covered — Claims by Others (Third Party) section</w:t>
        </w:r>
      </w:hyperlink>
      <w:r>
        <w:rPr>
          <w:b w:val="0"/>
          <w:i w:val="0"/>
        </w:rPr>
        <w:t>: we still pay incident response costs, and claims against you, arising from ransomware.</w:t>
      </w:r>
    </w:p>
    <w:p>
      <w:r>
        <w:rPr>
          <w:b w:val="0"/>
          <w:i w:val="0"/>
        </w:rPr>
        <w:t>If you tell us during the policy period that the missing controls are now in place, and we agree, we will remove this endorsement from the date we agree, for any ransomware first occurring after that date.</w:t>
      </w:r>
    </w:p>
    <w:p>
      <w:r>
        <w:rPr>
          <w:b w:val="0"/>
          <w:i w:val="0"/>
        </w:rPr>
        <w:t>Schedule variables: ransomware sub-limit (default none).</w:t>
      </w:r>
    </w:p>
    <w:p>
      <w:bookmarkStart w:id="128" w:name="c_cy_licence_notice"/>
      <w:r>
        <w:rPr>
          <w:rFonts w:ascii="Georgia" w:hAnsi="Georgia" w:eastAsia="Georgia"/>
          <w:b/>
          <w:i w:val="0"/>
          <w:color w:val="1C1915"/>
          <w:sz w:val="32"/>
        </w:rPr>
        <w:t>Licence and Trademark Notice</w:t>
      </w:r>
      <w:bookmarkEnd w:id="128"/>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agency's own schedule,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agencies and their advisers are responsible for obtaining their own legal, regulatory, and reinsurance advice before use, and use of this wording requires the approval of the relevant capacity provider. Any Wording Partner review and sign-off letter issued in respect of this wording runs to Cuttleflow Pty Ltd t/a Cuttleflow Systems only and does not constitute legal advice to any adopting agency or insured.</w:t>
      </w:r>
    </w:p>
    <w:p>
      <w:r>
        <w:rPr>
          <w:b w:val="0"/>
          <w:i w:val="0"/>
        </w:rPr>
        <w:t>Designed for the Australian market. Assumes application of the Insurance Contracts Act 1984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Remediation following the Claude pre-review of 2 November 2026.</w:t>
      </w:r>
    </w:p>
    <w:p>
      <w:pPr>
        <w:pStyle w:val="ListBullet"/>
      </w:pPr>
      <w:r>
        <w:rPr>
          <w:b w:val="0"/>
          <w:i w:val="0"/>
        </w:rPr>
        <w:t>Cyber Extortion: we reimburse a ransom only if you had our prior written consent; the paragraph that reimbursed an unconsented ransom where delay would have caused greater loss is removed. Consent now also depends on the payment not breaching the terrorism-financing offences in the Criminal Code Act 1995 (Cth). A new paragraph deals with reporting a ransomware payment under the Cyber Security Act 2024 (Cth): tell us before you pay, we help with the report, and we do not pay a penalty for failing to report.</w:t>
      </w:r>
    </w:p>
    <w:p>
      <w:pPr>
        <w:pStyle w:val="ListBullet"/>
      </w:pPr>
      <w:r>
        <w:rPr>
          <w:b w:val="0"/>
          <w:i w:val="0"/>
        </w:rPr>
        <w:t>How to Respond to a Cyber Incident: a new step about reporting a ransomware payment.</w:t>
      </w:r>
    </w:p>
    <w:p>
      <w:pPr>
        <w:pStyle w:val="ListBullet"/>
      </w:pPr>
      <w:r>
        <w:rPr>
          <w:b w:val="0"/>
          <w:i w:val="0"/>
        </w:rPr>
        <w:t>Sanctions: moved out of the exclusions and replaced with the library's standard general condition.</w:t>
      </w:r>
    </w:p>
    <w:p>
      <w:pPr>
        <w:pStyle w:val="ListBullet"/>
      </w:pPr>
      <w:r>
        <w:rPr>
          <w:b w:val="0"/>
          <w:i w:val="0"/>
        </w:rPr>
        <w:t>War and State-Backed Cyber Operations: "civil unrest" and "any similar belligerent act" are removed from limb (a). A new carve-back keeps cover for your computer systems and data located outside the state that suffered the harm, if they are not themselves used by or for a state.</w:t>
      </w:r>
    </w:p>
    <w:p>
      <w:pPr>
        <w:pStyle w:val="ListBullet"/>
      </w:pPr>
      <w:r>
        <w:rPr>
          <w:b w:val="0"/>
          <w:i w:val="0"/>
        </w:rPr>
        <w:t>Retroactive Date, Prior Known Events and Media Liability: the retroactive date now also applies to the wrongful act or publication that gives rise to a media claim.</w:t>
      </w:r>
    </w:p>
    <w:p>
      <w:pPr>
        <w:pStyle w:val="ListBullet"/>
      </w:pPr>
      <w:r>
        <w:rPr>
          <w:b w:val="0"/>
          <w:i w:val="0"/>
        </w:rPr>
        <w:t>What Is Covered, Your Own Losses: a single trigger for first-party cover. Incident Response Costs, Business Interruption, Data and System Restoration and Dependent Business Interruption all respond to a cyber event, privacy breach or dependent event that you first discover during the policy period. Default set for underwriter confirmation.</w:t>
      </w:r>
    </w:p>
    <w:p>
      <w:pPr>
        <w:pStyle w:val="ListBullet"/>
      </w:pPr>
      <w:r>
        <w:rPr>
          <w:b w:val="0"/>
          <w:i w:val="0"/>
        </w:rPr>
        <w:t>Social Engineering Fraud: a missed verification step no longer removes cover. We may reduce payment only to the extent the failure caused or contributed to the loss.</w:t>
      </w:r>
    </w:p>
    <w:p>
      <w:pPr>
        <w:pStyle w:val="ListBullet"/>
      </w:pPr>
      <w:r>
        <w:rPr>
          <w:b w:val="0"/>
          <w:i w:val="0"/>
        </w:rPr>
        <w:t>Other Insurance: replaced with the library's standard text, plus one crime priority rule. Crime insurance is primary for loss of funds through social engineering or funds transfer fraud, and this policy pays only the excess over it.</w:t>
      </w:r>
    </w:p>
    <w:p>
      <w:pPr>
        <w:pStyle w:val="ListBullet"/>
      </w:pPr>
      <w:r>
        <w:rPr>
          <w:b w:val="0"/>
          <w:i w:val="0"/>
        </w:rPr>
        <w:t>Insurance Contracts Act 1984 (Cth): replaced with the library's standard section 54 text.</w:t>
      </w:r>
    </w:p>
    <w:p>
      <w:pPr>
        <w:pStyle w:val="ListBullet"/>
      </w:pPr>
      <w:r>
        <w:rPr>
          <w:b w:val="0"/>
          <w:i w:val="0"/>
        </w:rPr>
        <w:t>Cancellation and Extended Reporting: you may cancel at any time and receive a pro-rata refund, without deduction for amounts paid or reserved. We may cancel only as the Insurance Contracts Act 1984 (Cth) allows. The automatic extended reporting period is unchanged.</w:t>
      </w:r>
    </w:p>
    <w:p>
      <w:pPr>
        <w:pStyle w:val="ListBullet"/>
      </w:pPr>
      <w:r>
        <w:rPr>
          <w:b w:val="0"/>
          <w:i w:val="0"/>
        </w:rPr>
        <w:t>Control group: a new definition. Prior Known Events, Your Duty of Disclosure and Deliberate and Dishonest Acts now turn on what a member of the control group knew or did, and one insured's knowledge or conduct is not imputed to another.</w:t>
      </w:r>
    </w:p>
    <w:p>
      <w:pPr>
        <w:pStyle w:val="ListBullet"/>
      </w:pPr>
      <w:r>
        <w:rPr>
          <w:b w:val="0"/>
          <w:i w:val="0"/>
        </w:rPr>
        <w:t>Regulatory Fines and Penalties: redrafted. It is limited to fines imposed in Australia or New Zealand, it names the penalties that cannot be insured (work health and safety penalties in the States and Territories that prohibit insurance of them, criminal fines and penalties for failing to report), it no longer says that civil penalties are generally insurable, and defence costs are advanced and repayable on final adjudication. It no longer reaches a pure failure to comply with a privacy law.</w:t>
      </w:r>
    </w:p>
    <w:p>
      <w:pPr>
        <w:pStyle w:val="ListBullet"/>
      </w:pPr>
      <w:r>
        <w:rPr>
          <w:b w:val="0"/>
          <w:i w:val="0"/>
        </w:rPr>
        <w:t>Related events: a new definition used in Claim, Insured loss, Widespread event and E12 Aggregate Limit Reinstatement.</w:t>
      </w:r>
    </w:p>
    <w:p>
      <w:pPr>
        <w:pStyle w:val="ListBullet"/>
      </w:pPr>
      <w:r>
        <w:rPr>
          <w:b w:val="0"/>
          <w:i w:val="0"/>
        </w:rPr>
        <w:t>Territory and Jurisdiction: the courts clause is no longer exclusive, and a service of suit paragraph is added for an insurer not authorised in Australia.</w:t>
      </w:r>
    </w:p>
    <w:p>
      <w:pPr>
        <w:pStyle w:val="ListBullet"/>
      </w:pPr>
      <w:r>
        <w:rPr>
          <w:b w:val="0"/>
          <w:i w:val="0"/>
        </w:rPr>
        <w:t>Who This Policy Is For: a new statement about retail clients, the Product Disclosure Statement and the Target Market Determination.</w:t>
      </w:r>
    </w:p>
    <w:p>
      <w:pPr>
        <w:pStyle w:val="ListBullet"/>
      </w:pPr>
      <w:r>
        <w:rPr>
          <w:b w:val="0"/>
          <w:i w:val="0"/>
        </w:rPr>
        <w:t>Endorsement Library: the endorsements are now for use with version 1.5.x.</w:t>
      </w:r>
    </w:p>
    <w:p>
      <w:r>
        <w:rPr>
          <w:b w:val="0"/>
          <w:i/>
          <w:sz w:val="18"/>
        </w:rPr>
        <w:t>Cuttleflow Systems — Open Source Insurance Wording</w:t>
      </w:r>
    </w:p>
    <w:p>
      <w:r>
        <w:rPr>
          <w:rFonts w:ascii="Consolas" w:hAnsi="Consolas" w:eastAsia="Consolas"/>
          <w:b w:val="0"/>
          <w:i w:val="0"/>
          <w:sz w:val="16"/>
        </w:rPr>
        <w:t>2026/CY/0002 · v1.5.0-DRAFT · November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2026/CY/0002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CYBER INSURANCE · V1.5.0-DRAFT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