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DIRECTORS &amp; OFFICERS LIABILITY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1.4.0-DRAFT · November 2026 · CC BY 4.0 (wording text only)</w:t>
      </w:r>
    </w:p>
    <w:p>
      <w:r>
        <w:rPr>
          <w:rFonts w:ascii="Consolas" w:hAnsi="Consolas" w:eastAsia="Consolas"/>
          <w:b w:val="0"/>
          <w:i w:val="0"/>
          <w:sz w:val="18"/>
        </w:rPr>
        <w:t>Document ref 2026/DO/0001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do_about"/>
      <w:r>
        <w:rPr>
          <w:rFonts w:ascii="Georgia" w:hAnsi="Georgia" w:eastAsia="Georgia"/>
          <w:b/>
          <w:i w:val="0"/>
          <w:color w:val="1C1915"/>
          <w:sz w:val="32"/>
        </w:rPr>
        <w:t>About This Policy</w:t>
      </w:r>
      <w:bookmarkEnd w:id="0"/>
    </w:p>
    <w:p>
      <w:r>
        <w:rPr>
          <w:b w:val="0"/>
          <w:i w:val="0"/>
        </w:rPr>
        <w:t>It is structured in three parts:</w:t>
      </w:r>
    </w:p>
    <w:p>
      <w:r>
        <w:rPr>
          <w:b w:val="0"/>
          <w:i w:val="0"/>
        </w:rPr>
        <w:t>Side A — pays the director or officer directly when the company cannot or will not indemnify them</w:t>
      </w:r>
    </w:p>
    <w:p>
      <w:r>
        <w:rPr>
          <w:b w:val="0"/>
          <w:i w:val="0"/>
        </w:rPr>
        <w:t>Side B — reimburses the company when it has indemnified a director or officer</w:t>
      </w:r>
    </w:p>
    <w:p>
      <w:r>
        <w:rPr>
          <w:b w:val="0"/>
          <w:i w:val="0"/>
        </w:rPr>
        <w:t>Side C — covers the company itself, but only for securities claims</w:t>
      </w:r>
    </w:p>
    <w:p>
      <w:r>
        <w:rPr>
          <w:b w:val="0"/>
          <w:i w:val="0"/>
        </w:rPr>
        <w:t>Australia has one of the most active securities class action environments in the world. This policy is designed for that environment — including the continuous disclosure regime (now with the knowledge/recklessness/negligence fault element), the Corporations Act 2001 personal duties framework, and increasing regulatory focus on individual accountability.</w:t>
      </w:r>
    </w:p>
    <w:p>
      <w:r>
        <w:rPr>
          <w:b w:val="0"/>
          <w:i w:val="0"/>
        </w:rPr>
        <w:t xml:space="preserve">This policy, together with your schedule and any endorsements, forms your contract of insurance. Words in bold have special meanings — see </w:t>
      </w:r>
      <w:hyperlink w:anchor="c_do_section_definitions">
        <w:r>
          <w:rPr>
            <w:color w:val="2E5C4E"/>
            <w:u w:val="single"/>
          </w:rPr>
          <w:t xml:space="preserve">the Definitions section</w:t>
        </w:r>
      </w:hyperlink>
      <w:r>
        <w:rPr>
          <w:b w:val="0"/>
          <w:i w:val="0"/>
        </w:rPr>
        <w:t>.</w:t>
      </w:r>
    </w:p>
    <w:p>
      <w:r>
        <w:rPr>
          <w:b w:val="0"/>
          <w:i w:val="0"/>
        </w:rPr>
        <w:t xml:space="preserve">Before this policy was entered into, you were given written notice, as required by section 40(1) of the Insurance Contracts Act 1984 (Cth), of the effect of section 40(3) (see </w:t>
      </w:r>
      <w:hyperlink w:anchor="c_do_obl_notify_circumstances">
        <w:r>
          <w:rPr>
            <w:color w:val="2E5C4E"/>
            <w:u w:val="single"/>
          </w:rPr>
          <w:t xml:space="preserve">the Notify Circumstances obligation</w:t>
        </w:r>
      </w:hyperlink>
      <w:r>
        <w:rPr>
          <w:b w:val="0"/>
          <w:i w:val="0"/>
        </w:rPr>
        <w:t>).</w:t>
      </w:r>
    </w:p>
    <w:p>
      <w:bookmarkStart w:id="1" w:name="c_do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r>
        <w:rPr>
          <w:b w:val="0"/>
          <w:i w:val="0"/>
        </w:rPr>
        <w:t>The changes made in each version are listed in the Changes From note issued with it.</w:t>
      </w:r>
    </w:p>
    <w:p>
      <w:bookmarkStart w:id="2" w:name="c_do_who_this_policy_is_for"/>
      <w:r>
        <w:rPr>
          <w:rFonts w:ascii="Georgia" w:hAnsi="Georgia" w:eastAsia="Georgia"/>
          <w:b/>
          <w:i w:val="0"/>
          <w:color w:val="1C1915"/>
          <w:sz w:val="32"/>
        </w:rPr>
        <w:t>Who This Policy Is For</w:t>
      </w:r>
      <w:bookmarkEnd w:id="2"/>
    </w:p>
    <w:p>
      <w:r>
        <w:rPr>
          <w:b w:val="0"/>
          <w:i w:val="0"/>
        </w:rPr>
        <w:t>This wording is written for businesses and professionals. Some buyers, such as small businesses, may be retail clients under the Corporations Act 2001 (Cth). Where a buyer is a retail client, the issuer must give a Product Disclosure Statement and make a Target Market Determination available. This wording is not itself a Product Disclosure Statement.</w:t>
      </w:r>
    </w:p>
    <w:p>
      <w:bookmarkStart w:id="3" w:name="c_do_distribution_note"/>
      <w:r>
        <w:rPr>
          <w:rFonts w:ascii="Georgia" w:hAnsi="Georgia" w:eastAsia="Georgia"/>
          <w:b/>
          <w:i w:val="0"/>
          <w:color w:val="1C1915"/>
          <w:sz w:val="32"/>
        </w:rPr>
        <w:t>Distribution and Regulatory Note</w:t>
      </w:r>
      <w:bookmarkEnd w:id="3"/>
    </w:p>
    <w:p>
      <w:r>
        <w:rPr>
          <w:b w:val="0"/>
          <w:i w:val="0"/>
        </w:rPr>
        <w:t>*For issuing insurers and distributors — not an operative policy term.*</w:t>
      </w:r>
    </w:p>
    <w:p>
      <w:r>
        <w:rPr>
          <w:b w:val="0"/>
          <w:i w:val="0"/>
        </w:rPr>
        <w:t>This wording is designed for the directors' and officers' liability of Australian listed companies, and of private companies and not-for-profit organisations. It is a commercial product. Some insureds, such as small private companies, may meet the retail client test under section 761G of the Corporations Act 2001 (Cth) and regulation 7.1.11 of the Corporations Regulations 2001 (Cth).</w:t>
      </w:r>
    </w:p>
    <w:p>
      <w:r>
        <w:rPr>
          <w:b w:val="0"/>
          <w:i w:val="0"/>
        </w:rPr>
        <w:t>Before distributing this wording, the issuing insurer or its authorised distributor should:</w:t>
      </w:r>
    </w:p>
    <w:p>
      <w:pPr>
        <w:pStyle w:val="ListBullet"/>
      </w:pPr>
      <w:r>
        <w:rPr>
          <w:b w:val="0"/>
          <w:i w:val="0"/>
        </w:rPr>
        <w:t>determine, for each prospective insured, whether the client meets the retail client test;</w:t>
      </w:r>
    </w:p>
    <w:p>
      <w:pPr>
        <w:pStyle w:val="ListBullet"/>
      </w:pPr>
      <w:r>
        <w:rPr>
          <w:b w:val="0"/>
          <w:i w:val="0"/>
        </w:rPr>
        <w:t>where it does, prepare and maintain a Target Market Determination and Product Disclosure Statement that comply with Part 7.8A and Part 7.9 of the Corporations Act 2001 (Cth) before offering or issuing this product to that client; and</w:t>
      </w:r>
    </w:p>
    <w:p>
      <w:pPr>
        <w:pStyle w:val="ListBullet"/>
      </w:pPr>
      <w:r>
        <w:rPr>
          <w:b w:val="0"/>
          <w:i w:val="0"/>
        </w:rPr>
        <w:t>where this wording is intended for wholesale clients only, state that restriction expressly in the issuer's own distribution materials and schedule documentation.</w:t>
      </w:r>
    </w:p>
    <w:p>
      <w:r>
        <w:rPr>
          <w:b w:val="0"/>
          <w:i w:val="0"/>
        </w:rPr>
        <w:t>This note is drafting guidance for adopters of the Meridian Commons wording. It is not a substitute for the issuer's own Design and Distribution Obligations compliance program, and not legal advice.</w:t>
      </w:r>
    </w:p>
    <w:p>
      <w:bookmarkStart w:id="4" w:name="c_do_schedule"/>
      <w:r>
        <w:rPr>
          <w:rFonts w:ascii="Georgia" w:hAnsi="Georgia" w:eastAsia="Georgia"/>
          <w:b/>
          <w:i w:val="0"/>
          <w:color w:val="1C1915"/>
          <w:sz w:val="32"/>
        </w:rPr>
        <w:t>Schedule</w:t>
      </w:r>
      <w:bookmarkEnd w:id="4"/>
    </w:p>
    <w:p>
      <w:r>
        <w:rPr>
          <w:b w:val="0"/>
          <w:i w:val="0"/>
        </w:rPr>
        <w:t>(Completed separately for each policy — contains your specific details)</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Item</w:t>
            </w:r>
          </w:p>
        </w:tc>
        <w:tc>
          <w:tcPr>
            <w:tcW w:type="dxa" w:w="4873"/>
          </w:tcPr>
          <w:p>
            <w:r/>
            <w:r>
              <w:rPr>
                <w:b w:val="0"/>
                <w:i w:val="0"/>
              </w:rPr>
              <w:t>Detail</w:t>
            </w:r>
          </w:p>
        </w:tc>
      </w:tr>
      <w:tr>
        <w:tc>
          <w:tcPr>
            <w:tcW w:type="dxa" w:w="4873"/>
          </w:tcPr>
          <w:p>
            <w:r/>
            <w:r>
              <w:rPr>
                <w:b w:val="0"/>
                <w:i w:val="0"/>
              </w:rPr>
              <w:t>1</w:t>
            </w:r>
          </w:p>
        </w:tc>
        <w:tc>
          <w:tcPr>
            <w:tcW w:type="dxa" w:w="4873"/>
          </w:tcPr>
          <w:p>
            <w:r/>
            <w:r>
              <w:rPr>
                <w:b w:val="0"/>
                <w:i w:val="0"/>
              </w:rPr>
              <w:t>The company: the entity named here, with its ABN. The company also includes its subsidiaries</w:t>
            </w:r>
          </w:p>
        </w:tc>
      </w:tr>
      <w:tr>
        <w:tc>
          <w:tcPr>
            <w:tcW w:type="dxa" w:w="4873"/>
          </w:tcPr>
          <w:p>
            <w:r/>
            <w:r>
              <w:rPr>
                <w:b w:val="0"/>
                <w:i w:val="0"/>
              </w:rPr>
              <w:t>2</w:t>
            </w:r>
          </w:p>
        </w:tc>
        <w:tc>
          <w:tcPr>
            <w:tcW w:type="dxa" w:w="4873"/>
          </w:tcPr>
          <w:p>
            <w:r/>
            <w:r>
              <w:rPr>
                <w:b w:val="0"/>
                <w:i w:val="0"/>
              </w:rPr>
              <w:t>The policy period: start date and end date</w:t>
            </w:r>
          </w:p>
        </w:tc>
      </w:tr>
      <w:tr>
        <w:tc>
          <w:tcPr>
            <w:tcW w:type="dxa" w:w="4873"/>
          </w:tcPr>
          <w:p>
            <w:r/>
            <w:r>
              <w:rPr>
                <w:b w:val="0"/>
                <w:i w:val="0"/>
              </w:rPr>
              <w:t>3</w:t>
            </w:r>
          </w:p>
        </w:tc>
        <w:tc>
          <w:tcPr>
            <w:tcW w:type="dxa" w:w="4873"/>
          </w:tcPr>
          <w:p>
            <w:r/>
            <w:r>
              <w:rPr>
                <w:b w:val="0"/>
                <w:i w:val="0"/>
              </w:rPr>
              <w:t>Limits of liability. Items 3(a) to 3(g) below make up Item 3</w:t>
            </w:r>
          </w:p>
        </w:tc>
      </w:tr>
      <w:tr>
        <w:tc>
          <w:tcPr>
            <w:tcW w:type="dxa" w:w="4873"/>
          </w:tcPr>
          <w:p>
            <w:r/>
            <w:r>
              <w:rPr>
                <w:b w:val="0"/>
                <w:i w:val="0"/>
              </w:rPr>
              <w:t>3(a)</w:t>
            </w:r>
          </w:p>
        </w:tc>
        <w:tc>
          <w:tcPr>
            <w:tcW w:type="dxa" w:w="4873"/>
          </w:tcPr>
          <w:p>
            <w:r/>
            <w:r>
              <w:rPr>
                <w:b w:val="0"/>
                <w:i w:val="0"/>
              </w:rPr>
              <w:t>Side A: the limit for any one claim</w:t>
            </w:r>
          </w:p>
        </w:tc>
      </w:tr>
      <w:tr>
        <w:tc>
          <w:tcPr>
            <w:tcW w:type="dxa" w:w="4873"/>
          </w:tcPr>
          <w:p>
            <w:r/>
            <w:r>
              <w:rPr>
                <w:b w:val="0"/>
                <w:i w:val="0"/>
              </w:rPr>
              <w:t>3(b)</w:t>
            </w:r>
          </w:p>
        </w:tc>
        <w:tc>
          <w:tcPr>
            <w:tcW w:type="dxa" w:w="4873"/>
          </w:tcPr>
          <w:p>
            <w:r/>
            <w:r>
              <w:rPr>
                <w:b w:val="0"/>
                <w:i w:val="0"/>
              </w:rPr>
              <w:t>Side A: the aggregate limit for all claims in the policy period</w:t>
            </w:r>
          </w:p>
        </w:tc>
      </w:tr>
      <w:tr>
        <w:tc>
          <w:tcPr>
            <w:tcW w:type="dxa" w:w="4873"/>
          </w:tcPr>
          <w:p>
            <w:r/>
            <w:r>
              <w:rPr>
                <w:b w:val="0"/>
                <w:i w:val="0"/>
              </w:rPr>
              <w:t>3(c)</w:t>
            </w:r>
          </w:p>
        </w:tc>
        <w:tc>
          <w:tcPr>
            <w:tcW w:type="dxa" w:w="4873"/>
          </w:tcPr>
          <w:p>
            <w:r/>
            <w:r>
              <w:rPr>
                <w:b w:val="0"/>
                <w:i w:val="0"/>
              </w:rPr>
              <w:t>Side B: the limit for any one claim</w:t>
            </w:r>
          </w:p>
        </w:tc>
      </w:tr>
      <w:tr>
        <w:tc>
          <w:tcPr>
            <w:tcW w:type="dxa" w:w="4873"/>
          </w:tcPr>
          <w:p>
            <w:r/>
            <w:r>
              <w:rPr>
                <w:b w:val="0"/>
                <w:i w:val="0"/>
              </w:rPr>
              <w:t>3(d)</w:t>
            </w:r>
          </w:p>
        </w:tc>
        <w:tc>
          <w:tcPr>
            <w:tcW w:type="dxa" w:w="4873"/>
          </w:tcPr>
          <w:p>
            <w:r/>
            <w:r>
              <w:rPr>
                <w:b w:val="0"/>
                <w:i w:val="0"/>
              </w:rPr>
              <w:t>Side B: the aggregate limit for all claims in the policy period</w:t>
            </w:r>
          </w:p>
        </w:tc>
      </w:tr>
      <w:tr>
        <w:tc>
          <w:tcPr>
            <w:tcW w:type="dxa" w:w="4873"/>
          </w:tcPr>
          <w:p>
            <w:r/>
            <w:r>
              <w:rPr>
                <w:b w:val="0"/>
                <w:i w:val="0"/>
              </w:rPr>
              <w:t>3(e)</w:t>
            </w:r>
          </w:p>
        </w:tc>
        <w:tc>
          <w:tcPr>
            <w:tcW w:type="dxa" w:w="4873"/>
          </w:tcPr>
          <w:p>
            <w:r/>
            <w:r>
              <w:rPr>
                <w:b w:val="0"/>
                <w:i w:val="0"/>
              </w:rPr>
              <w:t>Side C: the limit for any one securities claim</w:t>
            </w:r>
          </w:p>
        </w:tc>
      </w:tr>
      <w:tr>
        <w:tc>
          <w:tcPr>
            <w:tcW w:type="dxa" w:w="4873"/>
          </w:tcPr>
          <w:p>
            <w:r/>
            <w:r>
              <w:rPr>
                <w:b w:val="0"/>
                <w:i w:val="0"/>
              </w:rPr>
              <w:t>3(f)</w:t>
            </w:r>
          </w:p>
        </w:tc>
        <w:tc>
          <w:tcPr>
            <w:tcW w:type="dxa" w:w="4873"/>
          </w:tcPr>
          <w:p>
            <w:r/>
            <w:r>
              <w:rPr>
                <w:b w:val="0"/>
                <w:i w:val="0"/>
              </w:rPr>
              <w:t>Side C: the aggregate limit for all securities claims in the policy period</w:t>
            </w:r>
          </w:p>
        </w:tc>
      </w:tr>
      <w:tr>
        <w:tc>
          <w:tcPr>
            <w:tcW w:type="dxa" w:w="4873"/>
          </w:tcPr>
          <w:p>
            <w:r/>
            <w:r>
              <w:rPr>
                <w:b w:val="0"/>
                <w:i w:val="0"/>
              </w:rPr>
              <w:t>3(g)</w:t>
            </w:r>
          </w:p>
        </w:tc>
        <w:tc>
          <w:tcPr>
            <w:tcW w:type="dxa" w:w="4873"/>
          </w:tcPr>
          <w:p>
            <w:r/>
            <w:r>
              <w:rPr>
                <w:b w:val="0"/>
                <w:i w:val="0"/>
              </w:rPr>
              <w:t>The Overall Aggregate: the most we will pay across all Sides combined in the policy period</w:t>
            </w:r>
          </w:p>
        </w:tc>
      </w:tr>
      <w:tr>
        <w:tc>
          <w:tcPr>
            <w:tcW w:type="dxa" w:w="4873"/>
          </w:tcPr>
          <w:p>
            <w:r/>
            <w:r>
              <w:rPr>
                <w:b w:val="0"/>
                <w:i w:val="0"/>
              </w:rPr>
              <w:t>4</w:t>
            </w:r>
          </w:p>
        </w:tc>
        <w:tc>
          <w:tcPr>
            <w:tcW w:type="dxa" w:w="4873"/>
          </w:tcPr>
          <w:p>
            <w:r/>
            <w:r>
              <w:rPr>
                <w:b w:val="0"/>
                <w:i w:val="0"/>
              </w:rPr>
              <w:t>The excess for each claim under Side B</w:t>
            </w:r>
          </w:p>
        </w:tc>
      </w:tr>
      <w:tr>
        <w:tc>
          <w:tcPr>
            <w:tcW w:type="dxa" w:w="4873"/>
          </w:tcPr>
          <w:p>
            <w:r/>
            <w:r>
              <w:rPr>
                <w:b w:val="0"/>
                <w:i w:val="0"/>
              </w:rPr>
              <w:t>5</w:t>
            </w:r>
          </w:p>
        </w:tc>
        <w:tc>
          <w:tcPr>
            <w:tcW w:type="dxa" w:w="4873"/>
          </w:tcPr>
          <w:p>
            <w:r/>
            <w:r>
              <w:rPr>
                <w:b w:val="0"/>
                <w:i w:val="0"/>
              </w:rPr>
              <w:t>The retention for each securities claim under Side C</w:t>
            </w:r>
          </w:p>
        </w:tc>
      </w:tr>
      <w:tr>
        <w:tc>
          <w:tcPr>
            <w:tcW w:type="dxa" w:w="4873"/>
          </w:tcPr>
          <w:p>
            <w:r/>
            <w:r>
              <w:rPr>
                <w:b w:val="0"/>
                <w:i w:val="0"/>
              </w:rPr>
              <w:t>6</w:t>
            </w:r>
          </w:p>
        </w:tc>
        <w:tc>
          <w:tcPr>
            <w:tcW w:type="dxa" w:w="4873"/>
          </w:tcPr>
          <w:p>
            <w:r/>
            <w:r>
              <w:rPr>
                <w:b w:val="0"/>
                <w:i w:val="0"/>
              </w:rPr>
              <w:t>The continuity date</w:t>
            </w:r>
          </w:p>
        </w:tc>
      </w:tr>
      <w:tr>
        <w:tc>
          <w:tcPr>
            <w:tcW w:type="dxa" w:w="4873"/>
          </w:tcPr>
          <w:p>
            <w:r/>
            <w:r>
              <w:rPr>
                <w:b w:val="0"/>
                <w:i w:val="0"/>
              </w:rPr>
              <w:t>7</w:t>
            </w:r>
          </w:p>
        </w:tc>
        <w:tc>
          <w:tcPr>
            <w:tcW w:type="dxa" w:w="4873"/>
          </w:tcPr>
          <w:p>
            <w:r/>
            <w:r>
              <w:rPr>
                <w:b w:val="0"/>
                <w:i w:val="0"/>
              </w:rPr>
              <w:t>The retroactive date, or the words “Full Prior Acts”</w:t>
            </w:r>
          </w:p>
        </w:tc>
      </w:tr>
      <w:tr>
        <w:tc>
          <w:tcPr>
            <w:tcW w:type="dxa" w:w="4873"/>
          </w:tcPr>
          <w:p>
            <w:r/>
            <w:r>
              <w:rPr>
                <w:b w:val="0"/>
                <w:i w:val="0"/>
              </w:rPr>
              <w:t>8</w:t>
            </w:r>
          </w:p>
        </w:tc>
        <w:tc>
          <w:tcPr>
            <w:tcW w:type="dxa" w:w="4873"/>
          </w:tcPr>
          <w:p>
            <w:r/>
            <w:r>
              <w:rPr>
                <w:b w:val="0"/>
                <w:i w:val="0"/>
              </w:rPr>
              <w:t>Governing law: the State or Territory of Australia</w:t>
            </w:r>
          </w:p>
        </w:tc>
      </w:tr>
      <w:tr>
        <w:tc>
          <w:tcPr>
            <w:tcW w:type="dxa" w:w="4873"/>
          </w:tcPr>
          <w:p>
            <w:r/>
            <w:r>
              <w:rPr>
                <w:b w:val="0"/>
                <w:i w:val="0"/>
              </w:rPr>
              <w:t>9</w:t>
            </w:r>
          </w:p>
        </w:tc>
        <w:tc>
          <w:tcPr>
            <w:tcW w:type="dxa" w:w="4873"/>
          </w:tcPr>
          <w:p>
            <w:r/>
            <w:r>
              <w:rPr>
                <w:b w:val="0"/>
                <w:i w:val="0"/>
              </w:rPr>
              <w:t>The insurer</w:t>
            </w:r>
          </w:p>
        </w:tc>
      </w:tr>
      <w:tr>
        <w:tc>
          <w:tcPr>
            <w:tcW w:type="dxa" w:w="4873"/>
          </w:tcPr>
          <w:p>
            <w:r/>
            <w:r>
              <w:rPr>
                <w:b w:val="0"/>
                <w:i w:val="0"/>
              </w:rPr>
              <w:t>10</w:t>
            </w:r>
          </w:p>
        </w:tc>
        <w:tc>
          <w:tcPr>
            <w:tcW w:type="dxa" w:w="4873"/>
          </w:tcPr>
          <w:p>
            <w:r/>
            <w:r>
              <w:rPr>
                <w:b w:val="0"/>
                <w:i w:val="0"/>
              </w:rPr>
              <w:t>The premium, and any government charges</w:t>
            </w:r>
          </w:p>
        </w:tc>
      </w:tr>
      <w:tr>
        <w:tc>
          <w:tcPr>
            <w:tcW w:type="dxa" w:w="4873"/>
          </w:tcPr>
          <w:p>
            <w:r/>
            <w:r>
              <w:rPr>
                <w:b w:val="0"/>
                <w:i w:val="0"/>
              </w:rPr>
              <w:t>11</w:t>
            </w:r>
          </w:p>
        </w:tc>
        <w:tc>
          <w:tcPr>
            <w:tcW w:type="dxa" w:w="4873"/>
          </w:tcPr>
          <w:p>
            <w:r/>
            <w:r>
              <w:rPr>
                <w:b w:val="0"/>
                <w:i w:val="0"/>
              </w:rPr>
              <w:t>The endorsements that apply, with the variables each one needs</w:t>
            </w:r>
          </w:p>
        </w:tc>
      </w:tr>
      <w:tr>
        <w:tc>
          <w:tcPr>
            <w:tcW w:type="dxa" w:w="4873"/>
          </w:tcPr>
          <w:p>
            <w:r/>
            <w:r>
              <w:rPr>
                <w:b w:val="0"/>
                <w:i w:val="0"/>
              </w:rPr>
              <w:t>12</w:t>
            </w:r>
          </w:p>
        </w:tc>
        <w:tc>
          <w:tcPr>
            <w:tcW w:type="dxa" w:w="4873"/>
          </w:tcPr>
          <w:p>
            <w:r/>
            <w:r>
              <w:rPr>
                <w:b w:val="0"/>
                <w:i w:val="0"/>
              </w:rPr>
              <w:t>The address, email address or online portal for notices to us</w:t>
            </w:r>
          </w:p>
        </w:tc>
      </w:tr>
    </w:tbl>
    <w:p>
      <w:bookmarkStart w:id="5" w:name="c_do_section_definitions"/>
      <w:r>
        <w:rPr>
          <w:rFonts w:ascii="Georgia" w:hAnsi="Georgia" w:eastAsia="Georgia"/>
          <w:b/>
          <w:i w:val="0"/>
          <w:color w:val="1C1915"/>
          <w:sz w:val="32"/>
        </w:rPr>
        <w:t>Definitions</w:t>
      </w:r>
      <w:bookmarkEnd w:id="5"/>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6" w:name="c_do_def_claim"/>
            <w:r>
              <w:rPr>
                <w:b/>
                <w:i w:val="0"/>
              </w:rPr>
              <w:t>Claim</w:t>
            </w:r>
            <w:bookmarkEnd w:id="6"/>
          </w:p>
        </w:tc>
        <w:tc>
          <w:tcPr>
            <w:tcW w:type="dxa" w:w="6803"/>
          </w:tcPr>
          <w:p>
            <w:r>
              <w:rPr>
                <w:b w:val="0"/>
                <w:i w:val="0"/>
              </w:rPr>
              <w:t>means any of the following first made against an insured during the policy period: (a) any written demand for compensation; (b) any writ, summons, statement of claim, cross-claim, counterclaim, or originating process in any civil, criminal, or administrative proceeding; (c) any Securities claim; (d) any Derivative action; (e) any Investigation; (f) any extradition proceeding or warrant for arrest in connection with a wrongful act; and (g) any formal demand by a liquidator, administrator, or receiver for payment of money or return of property. Two or more claims arising from the same, similar, or related wrongful acts, or from the same or related facts, matters, or circumstances, are treated as a single claim first made when the earliest was first made.</w:t>
            </w:r>
          </w:p>
        </w:tc>
      </w:tr>
      <w:tr>
        <w:tc>
          <w:tcPr>
            <w:tcW w:type="dxa" w:w="2608"/>
          </w:tcPr>
          <w:p>
            <w:bookmarkStart w:id="7" w:name="c_do_def_company"/>
            <w:r>
              <w:rPr>
                <w:b/>
                <w:i w:val="0"/>
              </w:rPr>
              <w:t>Company</w:t>
            </w:r>
            <w:bookmarkEnd w:id="7"/>
          </w:p>
        </w:tc>
        <w:tc>
          <w:tcPr>
            <w:tcW w:type="dxa" w:w="6803"/>
          </w:tcPr>
          <w:p>
            <w:r>
              <w:rPr>
                <w:b w:val="0"/>
                <w:i w:val="0"/>
              </w:rPr>
              <w:t>means the entity named in Item 1 of the schedule, and any Subsidiary.</w:t>
            </w:r>
          </w:p>
        </w:tc>
      </w:tr>
      <w:tr>
        <w:tc>
          <w:tcPr>
            <w:tcW w:type="dxa" w:w="2608"/>
          </w:tcPr>
          <w:p>
            <w:bookmarkStart w:id="8" w:name="c_do_def_compensatory_damages"/>
            <w:r>
              <w:rPr>
                <w:b/>
                <w:i w:val="0"/>
              </w:rPr>
              <w:t>Compensatory damages</w:t>
            </w:r>
            <w:bookmarkEnd w:id="8"/>
          </w:p>
        </w:tc>
        <w:tc>
          <w:tcPr>
            <w:tcW w:type="dxa" w:w="6803"/>
          </w:tcPr>
          <w:p>
            <w:r>
              <w:rPr>
                <w:b w:val="0"/>
                <w:i w:val="0"/>
              </w:rPr>
              <w:t>means the amount an insured becomes legally liable to pay by way of judgment, award, or settlement (with our consent), including pre-judgment and post-judgment interest, and including the claimant's costs awarded against the insured.</w:t>
            </w:r>
          </w:p>
        </w:tc>
      </w:tr>
      <w:tr>
        <w:tc>
          <w:tcPr>
            <w:tcW w:type="dxa" w:w="2608"/>
          </w:tcPr>
          <w:p>
            <w:bookmarkStart w:id="9" w:name="c_do_def_consolidated_assets"/>
            <w:r>
              <w:rPr>
                <w:b/>
                <w:i w:val="0"/>
              </w:rPr>
              <w:t>Consolidated assets</w:t>
            </w:r>
            <w:bookmarkEnd w:id="9"/>
          </w:p>
        </w:tc>
        <w:tc>
          <w:tcPr>
            <w:tcW w:type="dxa" w:w="6803"/>
          </w:tcPr>
          <w:p>
            <w:r>
              <w:rPr>
                <w:b w:val="0"/>
                <w:i w:val="0"/>
              </w:rPr>
              <w:t>means the total assets of the company and its Subsidiaries on a consolidated basis, as shown in the company's most recent audited consolidated financial statements.</w:t>
            </w:r>
          </w:p>
        </w:tc>
      </w:tr>
      <w:tr>
        <w:tc>
          <w:tcPr>
            <w:tcW w:type="dxa" w:w="2608"/>
          </w:tcPr>
          <w:p>
            <w:bookmarkStart w:id="10" w:name="c_do_def_control_group"/>
            <w:r>
              <w:rPr>
                <w:b/>
                <w:i w:val="0"/>
              </w:rPr>
              <w:t>Control group</w:t>
            </w:r>
            <w:bookmarkEnd w:id="10"/>
          </w:p>
        </w:tc>
        <w:tc>
          <w:tcPr>
            <w:tcW w:type="dxa" w:w="6803"/>
          </w:tcPr>
          <w:p>
            <w:r>
              <w:rPr>
                <w:b w:val="0"/>
                <w:i w:val="0"/>
              </w:rPr>
              <w:t>means the company's chief executive officer, chief financial officer, general counsel, head of risk or insurance, and directors, or a person performing an equivalent role.</w:t>
            </w:r>
          </w:p>
        </w:tc>
      </w:tr>
      <w:tr>
        <w:tc>
          <w:tcPr>
            <w:tcW w:type="dxa" w:w="2608"/>
          </w:tcPr>
          <w:p>
            <w:bookmarkStart w:id="11" w:name="c_do_def_continuity_date"/>
            <w:r>
              <w:rPr>
                <w:b/>
                <w:i w:val="0"/>
              </w:rPr>
              <w:t>Continuity date</w:t>
            </w:r>
            <w:bookmarkEnd w:id="11"/>
          </w:p>
        </w:tc>
        <w:tc>
          <w:tcPr>
            <w:tcW w:type="dxa" w:w="6803"/>
          </w:tcPr>
          <w:p>
            <w:r>
              <w:rPr>
                <w:b w:val="0"/>
                <w:i w:val="0"/>
              </w:rPr>
              <w:t xml:space="preserve">means the date shown in Item 6 of the schedule, being the date from which continuous D&amp;O coverage has been maintained for the purposes of </w:t>
            </w:r>
            <w:hyperlink w:anchor="c_do_cond_continuous_cover">
              <w:r>
                <w:rPr>
                  <w:color w:val="2E5C4E"/>
                  <w:u w:val="single"/>
                </w:rPr>
                <w:t xml:space="preserve">the Continuous Cover condition</w:t>
              </w:r>
            </w:hyperlink>
            <w:r>
              <w:rPr>
                <w:b w:val="0"/>
                <w:i w:val="0"/>
              </w:rPr>
              <w:t>. The continuity date does not limit which wrongful acts are covered by this policy — that is the function of the Retroactive date, defined below.</w:t>
            </w:r>
          </w:p>
        </w:tc>
      </w:tr>
      <w:tr>
        <w:tc>
          <w:tcPr>
            <w:tcW w:type="dxa" w:w="2608"/>
          </w:tcPr>
          <w:p>
            <w:bookmarkStart w:id="12" w:name="c_do_def_continuous_disclosure_breach"/>
            <w:r>
              <w:rPr>
                <w:b/>
                <w:i w:val="0"/>
              </w:rPr>
              <w:t>Continuous disclosure breach</w:t>
            </w:r>
            <w:bookmarkEnd w:id="12"/>
          </w:p>
        </w:tc>
        <w:tc>
          <w:tcPr>
            <w:tcW w:type="dxa" w:w="6803"/>
          </w:tcPr>
          <w:p>
            <w:r>
              <w:rPr>
                <w:b w:val="0"/>
                <w:i w:val="0"/>
              </w:rPr>
              <w:t>means any actual or alleged contravention of ASX Listing Rule 3.1 or section 674 of the Corporations Act 2001 (Cth), or any equivalent foreign provision, regarding the obligation to disclose material price-sensitive information to the market.</w:t>
            </w:r>
          </w:p>
        </w:tc>
      </w:tr>
      <w:tr>
        <w:tc>
          <w:tcPr>
            <w:tcW w:type="dxa" w:w="2608"/>
          </w:tcPr>
          <w:p>
            <w:bookmarkStart w:id="13" w:name="c_do_def_defence_costs"/>
            <w:r>
              <w:rPr>
                <w:b/>
                <w:i w:val="0"/>
              </w:rPr>
              <w:t>Defence costs</w:t>
            </w:r>
            <w:bookmarkEnd w:id="13"/>
          </w:p>
        </w:tc>
        <w:tc>
          <w:tcPr>
            <w:tcW w:type="dxa" w:w="6803"/>
          </w:tcPr>
          <w:p>
            <w:r>
              <w:rPr>
                <w:b w:val="0"/>
                <w:i w:val="0"/>
              </w:rPr>
              <w:t xml:space="preserve">means the reasonable fees, costs, and expenses incurred with our prior written consent to investigate, defend, settle, or appeal a claim, including: (a) legal fees of counsel and solicitors; (b) expert witness fees (including financial, actuarial, and forensic experts); (c) e-discovery costs; (d) class certification study expenses; (e) costs of mediation or alternative dispute resolution; and (f) costs of retaining a public relations consultant in connection with a covered claim (subject to </w:t>
            </w:r>
            <w:hyperlink w:anchor="c_do_ext_public_relations">
              <w:r>
                <w:rPr>
                  <w:color w:val="2E5C4E"/>
                  <w:u w:val="single"/>
                </w:rPr>
                <w:t xml:space="preserve">the Public Relations extension</w:t>
              </w:r>
            </w:hyperlink>
            <w:r>
              <w:rPr>
                <w:b w:val="0"/>
                <w:i w:val="0"/>
              </w:rPr>
              <w:t>). We will not unreasonably withhold or delay consent. Where urgency requires immediate legal representation, the insured person may retain counsel and seek our retrospective consent within 14 days.</w:t>
            </w:r>
          </w:p>
        </w:tc>
      </w:tr>
      <w:tr>
        <w:tc>
          <w:tcPr>
            <w:tcW w:type="dxa" w:w="2608"/>
          </w:tcPr>
          <w:p>
            <w:bookmarkStart w:id="14" w:name="c_do_def_derivative_action"/>
            <w:r>
              <w:rPr>
                <w:b/>
                <w:i w:val="0"/>
              </w:rPr>
              <w:t>Derivative action</w:t>
            </w:r>
            <w:bookmarkEnd w:id="14"/>
          </w:p>
        </w:tc>
        <w:tc>
          <w:tcPr>
            <w:tcW w:type="dxa" w:w="6803"/>
          </w:tcPr>
          <w:p>
            <w:r>
              <w:rPr>
                <w:b w:val="0"/>
                <w:i w:val="0"/>
              </w:rPr>
              <w:t>means a proceeding brought under Part 2F.1A of the Corporations Act 2001 (Cth), or any equivalent foreign provision, by or on behalf of a shareholder or member seeking relief on behalf of the company for an alleged wrongful act of an insured person.</w:t>
            </w:r>
          </w:p>
        </w:tc>
      </w:tr>
      <w:tr>
        <w:tc>
          <w:tcPr>
            <w:tcW w:type="dxa" w:w="2608"/>
          </w:tcPr>
          <w:p>
            <w:bookmarkStart w:id="15" w:name="c_do_def_e_discovery_costs"/>
            <w:r>
              <w:rPr>
                <w:b/>
                <w:i w:val="0"/>
              </w:rPr>
              <w:t>E-discovery costs</w:t>
            </w:r>
            <w:bookmarkEnd w:id="15"/>
          </w:p>
        </w:tc>
        <w:tc>
          <w:tcPr>
            <w:tcW w:type="dxa" w:w="6803"/>
          </w:tcPr>
          <w:p>
            <w:r>
              <w:rPr>
                <w:b w:val="0"/>
                <w:i w:val="0"/>
              </w:rPr>
              <w:t>means the reasonable costs of collecting, processing, hosting, reviewing, and producing electronically stored information in connection with a covered claim.</w:t>
            </w:r>
          </w:p>
        </w:tc>
      </w:tr>
      <w:tr>
        <w:tc>
          <w:tcPr>
            <w:tcW w:type="dxa" w:w="2608"/>
          </w:tcPr>
          <w:p>
            <w:bookmarkStart w:id="16" w:name="c_do_def_class_certification_study_expen"/>
            <w:r>
              <w:rPr>
                <w:b/>
                <w:i w:val="0"/>
              </w:rPr>
              <w:t>Class certification study expenses</w:t>
            </w:r>
            <w:bookmarkEnd w:id="16"/>
          </w:p>
        </w:tc>
        <w:tc>
          <w:tcPr>
            <w:tcW w:type="dxa" w:w="6803"/>
          </w:tcPr>
          <w:p>
            <w:r>
              <w:rPr>
                <w:b w:val="0"/>
                <w:i w:val="0"/>
              </w:rPr>
              <w:t>means the reasonable fees and expenses of an expert retained through defence counsel to prepare a report, analysis, or rebuttal of evidence in connection with a class certification motion, a common fund application, a group costs order, or any equivalent procedural step.</w:t>
            </w:r>
          </w:p>
        </w:tc>
      </w:tr>
      <w:tr>
        <w:tc>
          <w:tcPr>
            <w:tcW w:type="dxa" w:w="2608"/>
          </w:tcPr>
          <w:p>
            <w:bookmarkStart w:id="17" w:name="c_do_def_employee"/>
            <w:r>
              <w:rPr>
                <w:b/>
                <w:i w:val="0"/>
              </w:rPr>
              <w:t>Employee</w:t>
            </w:r>
            <w:bookmarkEnd w:id="17"/>
          </w:p>
        </w:tc>
        <w:tc>
          <w:tcPr>
            <w:tcW w:type="dxa" w:w="6803"/>
          </w:tcPr>
          <w:p>
            <w:r>
              <w:rPr>
                <w:b w:val="0"/>
                <w:i w:val="0"/>
              </w:rPr>
              <w:t>means any natural person employed by the company under a contract of employment.</w:t>
            </w:r>
          </w:p>
        </w:tc>
      </w:tr>
      <w:tr>
        <w:tc>
          <w:tcPr>
            <w:tcW w:type="dxa" w:w="2608"/>
          </w:tcPr>
          <w:p>
            <w:bookmarkStart w:id="18" w:name="c_do_def_employment_claim"/>
            <w:r>
              <w:rPr>
                <w:b/>
                <w:i w:val="0"/>
              </w:rPr>
              <w:t>Employment claim</w:t>
            </w:r>
            <w:bookmarkEnd w:id="18"/>
          </w:p>
        </w:tc>
        <w:tc>
          <w:tcPr>
            <w:tcW w:type="dxa" w:w="6803"/>
          </w:tcPr>
          <w:p>
            <w:r>
              <w:rPr>
                <w:b w:val="0"/>
                <w:i w:val="0"/>
              </w:rPr>
              <w:t xml:space="preserve">means a claim by an Employee, former Employee, or applicant for employment with the company, alleging: (a) wrongful, unfair, or constructive dismissal; (b) discrimination, harassment (including sexual harassment), vilification, or victimisation, including an alleged breach of the positive duty under Part IIB of the Sex Discrimination Act 1984 (Cth); (c) breach of an applicable employment-related statute (including the Fair Work Act 2009 (Cth), state and territory anti-discrimination legislation, and equivalent foreign legislation); (d) negligent provision of, or failure to provide, an employment reference; (e) breach of an employment contract; or (f) retaliation against an Employee for a protected disclosure, exercise of a workplace right, or a complaint of a kind described in (b). </w:t>
            </w:r>
            <w:hyperlink w:anchor="c_do_excl_employers_liability">
              <w:r>
                <w:rPr>
                  <w:color w:val="2E5C4E"/>
                  <w:u w:val="single"/>
                </w:rPr>
                <w:t xml:space="preserve">The Employer's Liability exclusion</w:t>
              </w:r>
            </w:hyperlink>
            <w:r>
              <w:rPr>
                <w:b w:val="0"/>
                <w:i w:val="0"/>
              </w:rPr>
              <w:t xml:space="preserve"> states the extent to which this policy responds to an Employment claim, and </w:t>
            </w:r>
            <w:hyperlink w:anchor="c_do_end_e13">
              <w:r>
                <w:rPr>
                  <w:color w:val="2E5C4E"/>
                  <w:u w:val="single"/>
                </w:rPr>
                <w:t xml:space="preserve">the E13 Employment Practices Liability (EPL) endorsement</w:t>
              </w:r>
            </w:hyperlink>
            <w:r>
              <w:rPr>
                <w:b w:val="0"/>
                <w:i w:val="0"/>
              </w:rPr>
              <w:t xml:space="preserve"> provides fuller cover where operative.</w:t>
            </w:r>
          </w:p>
        </w:tc>
      </w:tr>
      <w:tr>
        <w:tc>
          <w:tcPr>
            <w:tcW w:type="dxa" w:w="2608"/>
          </w:tcPr>
          <w:p>
            <w:bookmarkStart w:id="19" w:name="c_do_def_endorsement"/>
            <w:r>
              <w:rPr>
                <w:b/>
                <w:i w:val="0"/>
              </w:rPr>
              <w:t>Endorsement</w:t>
            </w:r>
            <w:bookmarkEnd w:id="19"/>
          </w:p>
        </w:tc>
        <w:tc>
          <w:tcPr>
            <w:tcW w:type="dxa" w:w="6803"/>
          </w:tcPr>
          <w:p>
            <w:r>
              <w:rPr>
                <w:b w:val="0"/>
                <w:i w:val="0"/>
              </w:rPr>
              <w:t>means a document attached to this policy that changes its standard terms.</w:t>
            </w:r>
          </w:p>
        </w:tc>
      </w:tr>
      <w:tr>
        <w:tc>
          <w:tcPr>
            <w:tcW w:type="dxa" w:w="2608"/>
          </w:tcPr>
          <w:p>
            <w:bookmarkStart w:id="20" w:name="c_do_def_entity_cover_loss"/>
            <w:r>
              <w:rPr>
                <w:b/>
                <w:i w:val="0"/>
              </w:rPr>
              <w:t>Entity cover loss</w:t>
            </w:r>
            <w:bookmarkEnd w:id="20"/>
          </w:p>
        </w:tc>
        <w:tc>
          <w:tcPr>
            <w:tcW w:type="dxa" w:w="6803"/>
          </w:tcPr>
          <w:p>
            <w:r>
              <w:rPr>
                <w:b w:val="0"/>
                <w:i w:val="0"/>
              </w:rPr>
              <w:t>means Compensatory damages and Defence costs that the company becomes legally liable to pay in connection with a Securities claim.</w:t>
            </w:r>
          </w:p>
        </w:tc>
      </w:tr>
      <w:tr>
        <w:tc>
          <w:tcPr>
            <w:tcW w:type="dxa" w:w="2608"/>
          </w:tcPr>
          <w:p>
            <w:bookmarkStart w:id="21" w:name="c_do_def_excess"/>
            <w:r>
              <w:rPr>
                <w:b/>
                <w:i w:val="0"/>
              </w:rPr>
              <w:t>Excess</w:t>
            </w:r>
            <w:bookmarkEnd w:id="21"/>
          </w:p>
        </w:tc>
        <w:tc>
          <w:tcPr>
            <w:tcW w:type="dxa" w:w="6803"/>
          </w:tcPr>
          <w:p>
            <w:r>
              <w:rPr>
                <w:b w:val="0"/>
                <w:i w:val="0"/>
              </w:rPr>
              <w:t>means the amount shown in Item 4 of the schedule that the company must pay as the first part of each claim under Side B.</w:t>
            </w:r>
          </w:p>
        </w:tc>
      </w:tr>
      <w:tr>
        <w:tc>
          <w:tcPr>
            <w:tcW w:type="dxa" w:w="2608"/>
          </w:tcPr>
          <w:p>
            <w:bookmarkStart w:id="22" w:name="c_do_def_final_adjudication"/>
            <w:r>
              <w:rPr>
                <w:b/>
                <w:i w:val="0"/>
              </w:rPr>
              <w:t>Final adjudication</w:t>
            </w:r>
            <w:bookmarkEnd w:id="22"/>
          </w:p>
        </w:tc>
        <w:tc>
          <w:tcPr>
            <w:tcW w:type="dxa" w:w="6803"/>
          </w:tcPr>
          <w:p>
            <w:r>
              <w:rPr>
                <w:b w:val="0"/>
                <w:i w:val="0"/>
              </w:rPr>
              <w:t>means 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23" w:name="c_do_def_financial_institution"/>
            <w:r>
              <w:rPr>
                <w:b/>
                <w:i w:val="0"/>
              </w:rPr>
              <w:t>Financial institution</w:t>
            </w:r>
            <w:bookmarkEnd w:id="23"/>
          </w:p>
        </w:tc>
        <w:tc>
          <w:tcPr>
            <w:tcW w:type="dxa" w:w="6803"/>
          </w:tcPr>
          <w:p>
            <w:r>
              <w:rPr>
                <w:b w:val="0"/>
                <w:i w:val="0"/>
              </w:rPr>
              <w:t>means an entity that is authorised, licensed, or required to be licensed by APRA (including as an ADI, general insurer, life insurer, private health insurer, or RSE licensee), or an equivalent entity regulated by a foreign prudential regulator.</w:t>
            </w:r>
          </w:p>
        </w:tc>
      </w:tr>
      <w:tr>
        <w:tc>
          <w:tcPr>
            <w:tcW w:type="dxa" w:w="2608"/>
          </w:tcPr>
          <w:p>
            <w:bookmarkStart w:id="24" w:name="c_do_def_indemnifiable_loss"/>
            <w:r>
              <w:rPr>
                <w:b/>
                <w:i w:val="0"/>
              </w:rPr>
              <w:t>Indemnifiable loss</w:t>
            </w:r>
            <w:bookmarkEnd w:id="24"/>
          </w:p>
        </w:tc>
        <w:tc>
          <w:tcPr>
            <w:tcW w:type="dxa" w:w="6803"/>
          </w:tcPr>
          <w:p>
            <w:r>
              <w:rPr>
                <w:b w:val="0"/>
                <w:i w:val="0"/>
              </w:rPr>
              <w:t>means Loss that the company is legally permitted to indemnify under the Corporations Act 2001 (Cth), the company's constitution, any deed of indemnity, access and insurance, or applicable law.</w:t>
            </w:r>
          </w:p>
        </w:tc>
      </w:tr>
      <w:tr>
        <w:tc>
          <w:tcPr>
            <w:tcW w:type="dxa" w:w="2608"/>
          </w:tcPr>
          <w:p>
            <w:bookmarkStart w:id="25" w:name="c_do_def_insured"/>
            <w:r>
              <w:rPr>
                <w:b/>
                <w:i w:val="0"/>
              </w:rPr>
              <w:t>Insured</w:t>
            </w:r>
            <w:bookmarkEnd w:id="25"/>
          </w:p>
        </w:tc>
        <w:tc>
          <w:tcPr>
            <w:tcW w:type="dxa" w:w="6803"/>
          </w:tcPr>
          <w:p>
            <w:r>
              <w:rPr>
                <w:b w:val="0"/>
                <w:i w:val="0"/>
              </w:rPr>
              <w:t>means: (a) the company (for Side C only); and (b) any insured person (for Side A and Side B).</w:t>
            </w:r>
          </w:p>
        </w:tc>
      </w:tr>
      <w:tr>
        <w:tc>
          <w:tcPr>
            <w:tcW w:type="dxa" w:w="2608"/>
          </w:tcPr>
          <w:p>
            <w:bookmarkStart w:id="26" w:name="c_do_def_insured_person"/>
            <w:r>
              <w:rPr>
                <w:b/>
                <w:i w:val="0"/>
              </w:rPr>
              <w:t>Insured person</w:t>
            </w:r>
            <w:bookmarkEnd w:id="26"/>
          </w:p>
        </w:tc>
        <w:tc>
          <w:tcPr>
            <w:tcW w:type="dxa" w:w="6803"/>
          </w:tcPr>
          <w:p>
            <w:r>
              <w:rPr>
                <w:b w:val="0"/>
                <w:i w:val="0"/>
              </w:rPr>
              <w:t>means any natural person who is, was, or during the policy period becomes: (a) a director of the company (including executive, non-executive, independent, alternate, shadow, and de facto directors); (b) the company secretary; (c) an officer of the company within the meaning of section 9 of the Corporations Act 2001 — including the CEO, CFO, COO, CRO, CIO, CLO/general counsel, and any person who participates in making decisions that affect the whole or a substantial part of the company's business; (d) a member of any board committee (audit, risk, remuneration, nomination, ESG, or other); (e) any Employee in a managerial or supervisory role, but only for claims alleging a wrongful act in that capacity; (f) an equivalent person in any Subsidiary; and (g) the lawful spouse, domestic partner, estate, heir, or legal representative of any person described in (a)–(f), but only for claims arising from that person's wrongful acts.</w:t>
            </w:r>
          </w:p>
        </w:tc>
      </w:tr>
      <w:tr>
        <w:tc>
          <w:tcPr>
            <w:tcW w:type="dxa" w:w="2608"/>
          </w:tcPr>
          <w:p>
            <w:bookmarkStart w:id="27" w:name="c_do_def_investigation"/>
            <w:r>
              <w:rPr>
                <w:b/>
                <w:i w:val="0"/>
              </w:rPr>
              <w:t>Investigation</w:t>
            </w:r>
            <w:bookmarkEnd w:id="27"/>
          </w:p>
        </w:tc>
        <w:tc>
          <w:tcPr>
            <w:tcW w:type="dxa" w:w="6803"/>
          </w:tcPr>
          <w:p>
            <w:r>
              <w:rPr>
                <w:b w:val="0"/>
                <w:i w:val="0"/>
              </w:rPr>
              <w:t>means a formal investigation, examination, inquiry, or proceeding commenced by a regulator into the conduct of an insured, including: (a) an investigation under Part 3 of the ASIC Act, or an examination under section 19; (b) an APRA investigation or prudential review; (c) an investigation under the Competition and Consumer Act 2010; (d) an ASX investigation or inquiry, or a Takeovers Panel proceeding; (e) an ATO audit or investigation relating to director penalty notices or personal tax obligations; (f) a coronial inquest where an insured person is a person of interest; (g) a Royal Commission, Parliamentary Committee inquiry, or equivalent public inquiry, into a matter that includes the individual conduct of an insured, whether or not the insured is a named party to the inquiry; and (h) an equivalent investigation by a foreign regulator with jurisdiction. Does not include a routine compliance review or general industry inquiry that does not focus on the individual conduct of an insured.</w:t>
            </w:r>
          </w:p>
        </w:tc>
      </w:tr>
      <w:tr>
        <w:tc>
          <w:tcPr>
            <w:tcW w:type="dxa" w:w="2608"/>
          </w:tcPr>
          <w:p>
            <w:bookmarkStart w:id="28" w:name="c_do_def_limit_of_liability"/>
            <w:r>
              <w:rPr>
                <w:b/>
                <w:i w:val="0"/>
              </w:rPr>
              <w:t>Limit of liability</w:t>
            </w:r>
            <w:bookmarkEnd w:id="28"/>
          </w:p>
        </w:tc>
        <w:tc>
          <w:tcPr>
            <w:tcW w:type="dxa" w:w="6803"/>
          </w:tcPr>
          <w:p>
            <w:r>
              <w:rPr>
                <w:b w:val="0"/>
                <w:i w:val="0"/>
              </w:rPr>
              <w:t>means the amounts shown in Item 3 of the schedule.</w:t>
            </w:r>
          </w:p>
        </w:tc>
      </w:tr>
      <w:tr>
        <w:tc>
          <w:tcPr>
            <w:tcW w:type="dxa" w:w="2608"/>
          </w:tcPr>
          <w:p>
            <w:bookmarkStart w:id="29" w:name="c_do_def_loss"/>
            <w:r>
              <w:rPr>
                <w:b/>
                <w:i w:val="0"/>
              </w:rPr>
              <w:t>Loss</w:t>
            </w:r>
            <w:bookmarkEnd w:id="29"/>
          </w:p>
        </w:tc>
        <w:tc>
          <w:tcPr>
            <w:tcW w:type="dxa" w:w="6803"/>
          </w:tcPr>
          <w:p>
            <w:r>
              <w:rPr>
                <w:b w:val="0"/>
                <w:i w:val="0"/>
              </w:rPr>
              <w:t>means Compensatory damages and Defence costs. For Side A and Side B, loss also includes fines and penalties imposed on an insured person in connection with a wrongful act, but only to the extent the law allows them to be insured.</w:t>
            </w:r>
          </w:p>
          <w:p>
            <w:r>
              <w:rPr>
                <w:b w:val="0"/>
                <w:i w:val="0"/>
              </w:rPr>
              <w:t>We do not pay any fine or penalty that the law does not allow to be insured. In particular, we do not pay a penalty imposed under work health and safety law in a State or Territory whose law prohibits insurance of it (including New South Wales, Victoria and Queensland), and we do not pay a criminal fine. [WP REVIEW: confirm the list of jurisdictions that prohibit insurance of WHS penalties; library sources differ on WA and Victoria.]</w:t>
            </w:r>
          </w:p>
          <w:p>
            <w:r>
              <w:rPr>
                <w:b w:val="0"/>
                <w:i w:val="0"/>
              </w:rPr>
              <w:t>Loss does not include: (i) fines, penalties, or sanctions not insurable at law; (ii) taxes, levies, or statutory charges; (iii) disgorgement of remuneration or equity-based compensation to which the insured person was not legally entitled; (iv) the cost of complying with an injunction or specific performance order; or (v) matters uninsurable at law in the relevant jurisdiction.</w:t>
            </w:r>
          </w:p>
          <w:p>
            <w:r>
              <w:rPr>
                <w:b w:val="0"/>
                <w:i w:val="0"/>
              </w:rPr>
              <w:t xml:space="preserve">For who may pay the premium for cover of some liabilities, see </w:t>
            </w:r>
            <w:hyperlink w:anchor="c_do_cond_corporations_act_199a_199b">
              <w:r>
                <w:rPr>
                  <w:color w:val="2E5C4E"/>
                  <w:u w:val="single"/>
                </w:rPr>
                <w:t xml:space="preserve">the Corporations Act 2001 (Cth), sections 199A and 199B condition</w:t>
              </w:r>
            </w:hyperlink>
            <w:r>
              <w:rPr>
                <w:b w:val="0"/>
                <w:i w:val="0"/>
              </w:rPr>
              <w:t>.</w:t>
            </w:r>
          </w:p>
        </w:tc>
      </w:tr>
      <w:tr>
        <w:tc>
          <w:tcPr>
            <w:tcW w:type="dxa" w:w="2608"/>
          </w:tcPr>
          <w:p>
            <w:bookmarkStart w:id="30" w:name="c_do_def_non_indemnifiable_loss"/>
            <w:r>
              <w:rPr>
                <w:b/>
                <w:i w:val="0"/>
              </w:rPr>
              <w:t>Non-indemnifiable loss</w:t>
            </w:r>
            <w:bookmarkEnd w:id="30"/>
          </w:p>
        </w:tc>
        <w:tc>
          <w:tcPr>
            <w:tcW w:type="dxa" w:w="6803"/>
          </w:tcPr>
          <w:p>
            <w:r>
              <w:rPr>
                <w:b w:val="0"/>
                <w:i w:val="0"/>
              </w:rPr>
              <w:t xml:space="preserve">means Loss that the company: (a) is legally prohibited from indemnifying (including under section 199A of the Corporations Act 2001 (Cth); see </w:t>
            </w:r>
            <w:hyperlink w:anchor="c_do_cond_corporations_act_199a_199b">
              <w:r>
                <w:rPr>
                  <w:color w:val="2E5C4E"/>
                  <w:u w:val="single"/>
                </w:rPr>
                <w:t xml:space="preserve">the Corporations Act 2001 (Cth), sections 199A and 199B condition</w:t>
              </w:r>
            </w:hyperlink>
            <w:r>
              <w:rPr>
                <w:b w:val="0"/>
                <w:i w:val="0"/>
              </w:rPr>
              <w:t>); (b) is financially unable to indemnify (due to insolvency, liquidation, administration, receivership, or scheme of arrangement); or (c) refuses or fails to indemnify (despite being permitted and able to do so).</w:t>
            </w:r>
          </w:p>
        </w:tc>
      </w:tr>
      <w:tr>
        <w:tc>
          <w:tcPr>
            <w:tcW w:type="dxa" w:w="2608"/>
          </w:tcPr>
          <w:p>
            <w:bookmarkStart w:id="31" w:name="c_do_def_policy_period"/>
            <w:r>
              <w:rPr>
                <w:b/>
                <w:i w:val="0"/>
              </w:rPr>
              <w:t>Policy period</w:t>
            </w:r>
            <w:bookmarkEnd w:id="31"/>
          </w:p>
        </w:tc>
        <w:tc>
          <w:tcPr>
            <w:tcW w:type="dxa" w:w="6803"/>
          </w:tcPr>
          <w:p>
            <w:r>
              <w:rPr>
                <w:b w:val="0"/>
                <w:i w:val="0"/>
              </w:rPr>
              <w:t>means the period shown in Item 2 of the schedule.</w:t>
            </w:r>
          </w:p>
        </w:tc>
      </w:tr>
      <w:tr>
        <w:tc>
          <w:tcPr>
            <w:tcW w:type="dxa" w:w="2608"/>
          </w:tcPr>
          <w:p>
            <w:bookmarkStart w:id="32" w:name="c_do_def_regulator"/>
            <w:r>
              <w:rPr>
                <w:b/>
                <w:i w:val="0"/>
              </w:rPr>
              <w:t>Regulator</w:t>
            </w:r>
            <w:bookmarkEnd w:id="32"/>
          </w:p>
        </w:tc>
        <w:tc>
          <w:tcPr>
            <w:tcW w:type="dxa" w:w="6803"/>
          </w:tcPr>
          <w:p>
            <w:r>
              <w:rPr>
                <w:b w:val="0"/>
                <w:i w:val="0"/>
              </w:rPr>
              <w:t>means and includes: ASIC, APRA, the ACCC, the ATO, the ASX, the Takeovers Panel, AUSTRAC, the OAIC, SafeWork (and state/territory equivalents), the Clean Energy Regulator, the Foreign Investment Review Board, and any equivalent foreign body.</w:t>
            </w:r>
          </w:p>
        </w:tc>
      </w:tr>
      <w:tr>
        <w:tc>
          <w:tcPr>
            <w:tcW w:type="dxa" w:w="2608"/>
          </w:tcPr>
          <w:p>
            <w:bookmarkStart w:id="33" w:name="c_do_def_retention"/>
            <w:r>
              <w:rPr>
                <w:b/>
                <w:i w:val="0"/>
              </w:rPr>
              <w:t>Retention</w:t>
            </w:r>
            <w:bookmarkEnd w:id="33"/>
          </w:p>
        </w:tc>
        <w:tc>
          <w:tcPr>
            <w:tcW w:type="dxa" w:w="6803"/>
          </w:tcPr>
          <w:p>
            <w:r>
              <w:rPr>
                <w:b w:val="0"/>
                <w:i w:val="0"/>
              </w:rPr>
              <w:t>means the amount shown in Item 5 of the schedule that the company must bear as the first part of each Securities claim under Side C.</w:t>
            </w:r>
          </w:p>
        </w:tc>
      </w:tr>
      <w:tr>
        <w:tc>
          <w:tcPr>
            <w:tcW w:type="dxa" w:w="2608"/>
          </w:tcPr>
          <w:p>
            <w:bookmarkStart w:id="34" w:name="c_do_def_retroactive_date"/>
            <w:r>
              <w:rPr>
                <w:b/>
                <w:i w:val="0"/>
              </w:rPr>
              <w:t>Retroactive date</w:t>
            </w:r>
            <w:bookmarkEnd w:id="34"/>
          </w:p>
        </w:tc>
        <w:tc>
          <w:tcPr>
            <w:tcW w:type="dxa" w:w="6803"/>
          </w:tcPr>
          <w:p>
            <w:r>
              <w:rPr>
                <w:b w:val="0"/>
                <w:i w:val="0"/>
              </w:rPr>
              <w:t>means the date shown in Item 7 of the schedule. This policy covers wrongful acts occurring on or after the retroactive date only, unless Item 7 states “Full Prior Acts”, in which case no retroactive-date restriction applies to which wrongful acts are covered. If Item 7 is blank, the retroactive date is the continuity date or, if Item 6 is also blank, the start of the policy period.</w:t>
            </w:r>
          </w:p>
          <w:p>
            <w:r>
              <w:rPr>
                <w:b w:val="0"/>
                <w:i w:val="0"/>
              </w:rPr>
              <w:t xml:space="preserve">The retroactive date (not the Continuity date) governs </w:t>
            </w:r>
            <w:hyperlink w:anchor="c_do_excl_prior_known_matters">
              <w:r>
                <w:rPr>
                  <w:color w:val="2E5C4E"/>
                  <w:u w:val="single"/>
                </w:rPr>
                <w:t xml:space="preserve">the Prior Known Matters exclusion</w:t>
              </w:r>
            </w:hyperlink>
            <w:r>
              <w:rPr>
                <w:b w:val="0"/>
                <w:i w:val="0"/>
              </w:rPr>
              <w:t xml:space="preserve">, </w:t>
            </w:r>
            <w:hyperlink w:anchor="c_do_excl_prior_and_pending_litigation">
              <w:r>
                <w:rPr>
                  <w:color w:val="2E5C4E"/>
                  <w:u w:val="single"/>
                </w:rPr>
                <w:t xml:space="preserve">the Prior and Pending Litigation exclusion</w:t>
              </w:r>
            </w:hyperlink>
            <w:r>
              <w:rPr>
                <w:b w:val="0"/>
                <w:i w:val="0"/>
              </w:rPr>
              <w:t xml:space="preserve">, and </w:t>
            </w:r>
            <w:hyperlink w:anchor="c_do_excl_major_transaction_ipo">
              <w:r>
                <w:rPr>
                  <w:color w:val="2E5C4E"/>
                  <w:u w:val="single"/>
                </w:rPr>
                <w:t xml:space="preserve">the Major Transaction — IPO exclusion</w:t>
              </w:r>
            </w:hyperlink>
            <w:r>
              <w:rPr>
                <w:b w:val="0"/>
                <w:i w:val="0"/>
              </w:rPr>
              <w:t>. Where Item 7 states “Full Prior Acts”, those three exclusions apply by reference to the continuity date or, if Item 6 is blank, the start of the policy period.</w:t>
            </w:r>
          </w:p>
          <w:p>
            <w:r>
              <w:rPr>
                <w:b w:val="0"/>
                <w:i w:val="0"/>
              </w:rPr>
              <w:t xml:space="preserve">Where two or more wrongful acts are treated as a single claim under </w:t>
            </w:r>
            <w:hyperlink w:anchor="c_do_def_claim">
              <w:r>
                <w:rPr>
                  <w:color w:val="2E5C4E"/>
                  <w:u w:val="single"/>
                </w:rPr>
                <w:t xml:space="preserve">the definition of Claim</w:t>
              </w:r>
            </w:hyperlink>
            <w:r>
              <w:rPr>
                <w:b w:val="0"/>
                <w:i w:val="0"/>
              </w:rPr>
              <w:t>, the retroactive date is applied to that claim by reference to the earliest of those wrongful acts.</w:t>
            </w:r>
          </w:p>
        </w:tc>
      </w:tr>
      <w:tr>
        <w:tc>
          <w:tcPr>
            <w:tcW w:type="dxa" w:w="2608"/>
          </w:tcPr>
          <w:p>
            <w:bookmarkStart w:id="35" w:name="c_do_def_schedule"/>
            <w:r>
              <w:rPr>
                <w:b/>
                <w:i w:val="0"/>
              </w:rPr>
              <w:t>Schedule</w:t>
            </w:r>
            <w:bookmarkEnd w:id="35"/>
          </w:p>
        </w:tc>
        <w:tc>
          <w:tcPr>
            <w:tcW w:type="dxa" w:w="6803"/>
          </w:tcPr>
          <w:p>
            <w:r>
              <w:rPr>
                <w:b w:val="0"/>
                <w:i w:val="0"/>
              </w:rPr>
              <w:t>means the document titled “Schedule” issued with this policy.</w:t>
            </w:r>
          </w:p>
        </w:tc>
      </w:tr>
      <w:tr>
        <w:tc>
          <w:tcPr>
            <w:tcW w:type="dxa" w:w="2608"/>
          </w:tcPr>
          <w:p>
            <w:bookmarkStart w:id="36" w:name="c_do_def_securities_claim"/>
            <w:r>
              <w:rPr>
                <w:b/>
                <w:i w:val="0"/>
              </w:rPr>
              <w:t>Securities claim</w:t>
            </w:r>
            <w:bookmarkEnd w:id="36"/>
          </w:p>
        </w:tc>
        <w:tc>
          <w:tcPr>
            <w:tcW w:type="dxa" w:w="6803"/>
          </w:tcPr>
          <w:p>
            <w:r>
              <w:rPr>
                <w:b w:val="0"/>
                <w:i w:val="0"/>
              </w:rPr>
              <w:t>means a claim that alleges: (a) a Continuous disclosure breach; (b) misleading or deceptive conduct in connection with the company's securities (under section 1041H of the Corporations Act 2001, section 12DA of the ASIC Act, or the Australian Consumer Law); (c) a breach of the prospectus or disclosure provisions of Chapter 6D of the Corporations Act 2001; (d) market manipulation or insider trading (Part 7.10 of the Corporations Act 2001); (e) a breach of equivalent foreign securities laws; or (f) loss suffered by a shareholder or investor in connection with the purchase, sale, or holding of the company's securities. A securities claim does not include a regulatory investigation or proceeding against the company alone, unless that proceeding is also brought against an insured person.</w:t>
            </w:r>
          </w:p>
        </w:tc>
      </w:tr>
      <w:tr>
        <w:tc>
          <w:tcPr>
            <w:tcW w:type="dxa" w:w="2608"/>
          </w:tcPr>
          <w:p>
            <w:bookmarkStart w:id="37" w:name="c_do_def_subsidiary"/>
            <w:r>
              <w:rPr>
                <w:b/>
                <w:i w:val="0"/>
              </w:rPr>
              <w:t>Subsidiary</w:t>
            </w:r>
            <w:bookmarkEnd w:id="37"/>
          </w:p>
        </w:tc>
        <w:tc>
          <w:tcPr>
            <w:tcW w:type="dxa" w:w="6803"/>
          </w:tcPr>
          <w:p>
            <w:r>
              <w:rPr>
                <w:b w:val="0"/>
                <w:i w:val="0"/>
              </w:rPr>
              <w:t>means any entity in which the company: (a) holds more than 50% of the voting rights; (b) has the right to appoint a majority of the board; or (c) has effective management control, at the time of the relevant wrongful act. A former subsidiary is covered for wrongful acts that occurred while it was a subsidiary.</w:t>
            </w:r>
          </w:p>
        </w:tc>
      </w:tr>
      <w:tr>
        <w:tc>
          <w:tcPr>
            <w:tcW w:type="dxa" w:w="2608"/>
          </w:tcPr>
          <w:p>
            <w:bookmarkStart w:id="38" w:name="c_do_def_we_us_our"/>
            <w:r>
              <w:rPr>
                <w:b/>
                <w:i w:val="0"/>
              </w:rPr>
              <w:t>We / us / our</w:t>
            </w:r>
            <w:bookmarkEnd w:id="38"/>
          </w:p>
        </w:tc>
        <w:tc>
          <w:tcPr>
            <w:tcW w:type="dxa" w:w="6803"/>
          </w:tcPr>
          <w:p>
            <w:r>
              <w:rPr>
                <w:b w:val="0"/>
                <w:i w:val="0"/>
              </w:rPr>
              <w:t>means the insurer named in the schedule.</w:t>
            </w:r>
          </w:p>
        </w:tc>
      </w:tr>
      <w:tr>
        <w:tc>
          <w:tcPr>
            <w:tcW w:type="dxa" w:w="2608"/>
          </w:tcPr>
          <w:p>
            <w:bookmarkStart w:id="39" w:name="c_do_def_wrongful_act"/>
            <w:r>
              <w:rPr>
                <w:b/>
                <w:i w:val="0"/>
              </w:rPr>
              <w:t>Wrongful act</w:t>
            </w:r>
            <w:bookmarkEnd w:id="39"/>
          </w:p>
        </w:tc>
        <w:tc>
          <w:tcPr>
            <w:tcW w:type="dxa" w:w="6803"/>
          </w:tcPr>
          <w:p>
            <w:r>
              <w:rPr>
                <w:b w:val="0"/>
                <w:i w:val="0"/>
              </w:rPr>
              <w:t>means any actual or alleged act, error, omission, misstatement, misleading statement, breach of duty, breach of trust, breach of fiduciary obligation, or breach of any statutory or regulatory obligation, committed by an insured in their capacity as a director, officer, or manager of the company.</w:t>
            </w:r>
          </w:p>
        </w:tc>
      </w:tr>
    </w:tbl>
    <w:p>
      <w:bookmarkStart w:id="40" w:name="c_do_section_covered"/>
      <w:r>
        <w:rPr>
          <w:rFonts w:ascii="Georgia" w:hAnsi="Georgia" w:eastAsia="Georgia"/>
          <w:b/>
          <w:i w:val="0"/>
          <w:color w:val="1C1915"/>
          <w:sz w:val="32"/>
        </w:rPr>
        <w:t>What Is Covered</w:t>
      </w:r>
      <w:bookmarkEnd w:id="40"/>
    </w:p>
    <w:p>
      <w:bookmarkStart w:id="41" w:name="c_do_section_side_a"/>
      <w:r>
        <w:rPr>
          <w:rFonts w:ascii="Georgia" w:hAnsi="Georgia" w:eastAsia="Georgia"/>
          <w:b/>
          <w:i w:val="0"/>
          <w:color w:val="1C1915"/>
          <w:sz w:val="32"/>
        </w:rPr>
        <w:t>Side A — Non-Indemnifiable Loss</w:t>
      </w:r>
      <w:bookmarkEnd w:id="41"/>
    </w:p>
    <w:p>
      <w:bookmarkStart w:id="42" w:name="c_do_cover_personal_liability_direct_pay"/>
      <w:r>
        <w:rPr>
          <w:rFonts w:ascii="Georgia" w:hAnsi="Georgia" w:eastAsia="Georgia"/>
          <w:b/>
          <w:i w:val="0"/>
          <w:color w:val="2E5C4E"/>
          <w:sz w:val="25"/>
        </w:rPr>
        <w:t>Personal Liability — Direct Payment</w:t>
      </w:r>
      <w:bookmarkEnd w:id="42"/>
    </w:p>
    <w:p>
      <w:r>
        <w:rPr>
          <w:b w:val="0"/>
          <w:i w:val="0"/>
        </w:rPr>
        <w:t>If a claim is first made against an insured person during the policy period for a wrongful act, and the claim results in non-indemnifiable loss, we will pay the insured person directly.</w:t>
      </w:r>
    </w:p>
    <w:p>
      <w:r>
        <w:rPr>
          <w:b w:val="0"/>
          <w:i w:val="0"/>
        </w:rPr>
        <w:t>The company has no right to access, direct, assign, or benefit from Side A payments. Side A exists exclusively for the protection of individual directors and officers.</w:t>
      </w:r>
    </w:p>
    <w:p>
      <w:bookmarkStart w:id="43" w:name="c_do_cover_when_non_indemnifiable_loss_a"/>
      <w:r>
        <w:rPr>
          <w:rFonts w:ascii="Georgia" w:hAnsi="Georgia" w:eastAsia="Georgia"/>
          <w:b/>
          <w:i w:val="0"/>
          <w:color w:val="2E5C4E"/>
          <w:sz w:val="25"/>
        </w:rPr>
        <w:t>When Non-Indemnifiable Loss Arises</w:t>
      </w:r>
      <w:bookmarkEnd w:id="43"/>
    </w:p>
    <w:p>
      <w:r>
        <w:rPr>
          <w:b w:val="0"/>
          <w:i w:val="0"/>
        </w:rPr>
        <w:t>Non-indemnifiable loss arises when the company:</w:t>
      </w:r>
    </w:p>
    <w:p>
      <w:r>
        <w:rPr>
          <w:b w:val="0"/>
          <w:i w:val="0"/>
        </w:rPr>
        <w:t xml:space="preserve">(a) Is legally prohibited from indemnifying. Section 199A of the Corporations Act 2001 (Cth) limits the liabilities and legal costs for which a company may indemnify its officers. See </w:t>
      </w:r>
      <w:hyperlink w:anchor="c_do_cond_corporations_act_199a_199b">
        <w:r>
          <w:rPr>
            <w:color w:val="2E5C4E"/>
            <w:u w:val="single"/>
          </w:rPr>
          <w:t xml:space="preserve">the Corporations Act 2001 (Cth), sections 199A and 199B condition</w:t>
        </w:r>
      </w:hyperlink>
      <w:r>
        <w:rPr>
          <w:b w:val="0"/>
          <w:i w:val="0"/>
        </w:rPr>
        <w:t>. Loss the company may not lawfully indemnify is non-indemnifiable loss.</w:t>
      </w:r>
    </w:p>
    <w:p>
      <w:r>
        <w:rPr>
          <w:b w:val="0"/>
          <w:i w:val="0"/>
        </w:rPr>
        <w:t>(b) Is financially unable to indemnify. The company is insolvent, in liquidation, administration, receivership, voluntary administration, or a deed of company arrangement.</w:t>
      </w:r>
    </w:p>
    <w:p>
      <w:r>
        <w:rPr>
          <w:b w:val="0"/>
          <w:i w:val="0"/>
        </w:rPr>
        <w:t>(c) Refuses to indemnify. The company is permitted and able, but refuses or fails to pay.</w:t>
      </w:r>
    </w:p>
    <w:p>
      <w:bookmarkStart w:id="44" w:name="c_do_cover_no_excess_on_side_a"/>
      <w:r>
        <w:rPr>
          <w:rFonts w:ascii="Georgia" w:hAnsi="Georgia" w:eastAsia="Georgia"/>
          <w:b/>
          <w:i w:val="0"/>
          <w:color w:val="2E5C4E"/>
          <w:sz w:val="25"/>
        </w:rPr>
        <w:t>No Excess on Side A</w:t>
      </w:r>
      <w:bookmarkEnd w:id="44"/>
    </w:p>
    <w:p>
      <w:r>
        <w:rPr>
          <w:b w:val="0"/>
          <w:i w:val="0"/>
        </w:rPr>
        <w:t xml:space="preserve">No excess or deductible applies to Side A, except the DIC retention shown in the schedule for </w:t>
      </w:r>
      <w:hyperlink w:anchor="c_do_end_e08">
        <w:r>
          <w:rPr>
            <w:color w:val="2E5C4E"/>
            <w:u w:val="single"/>
          </w:rPr>
          <w:t xml:space="preserve">the E08 Side A Standalone / Excess DIC endorsement</w:t>
        </w:r>
      </w:hyperlink>
      <w:r>
        <w:rPr>
          <w:b w:val="0"/>
          <w:i w:val="0"/>
        </w:rPr>
        <w:t>, which applies only to loss paid under that endorsement because the primary D&amp;O policy does not respond. We will never require an insured person to pay out of pocket before we respond to Side A loss that is not within that retention.</w:t>
      </w:r>
    </w:p>
    <w:p>
      <w:bookmarkStart w:id="45" w:name="c_do_section_side_b"/>
      <w:r>
        <w:rPr>
          <w:rFonts w:ascii="Georgia" w:hAnsi="Georgia" w:eastAsia="Georgia"/>
          <w:b/>
          <w:i w:val="0"/>
          <w:color w:val="1C1915"/>
          <w:sz w:val="32"/>
        </w:rPr>
        <w:t>Side B — Company Reimbursement</w:t>
      </w:r>
      <w:bookmarkEnd w:id="45"/>
    </w:p>
    <w:p>
      <w:bookmarkStart w:id="46" w:name="c_do_cover_reimbursement_of_the_company"/>
      <w:r>
        <w:rPr>
          <w:rFonts w:ascii="Georgia" w:hAnsi="Georgia" w:eastAsia="Georgia"/>
          <w:b/>
          <w:i w:val="0"/>
          <w:color w:val="2E5C4E"/>
          <w:sz w:val="25"/>
        </w:rPr>
        <w:t>Reimbursement of the Company</w:t>
      </w:r>
      <w:bookmarkEnd w:id="46"/>
    </w:p>
    <w:p>
      <w:r>
        <w:rPr>
          <w:b w:val="0"/>
          <w:i w:val="0"/>
        </w:rPr>
        <w:t>If a claim is first made against an insured person during the policy period for a wrongful act, and the company has indemnified or is obligated to indemnify the insured person for indemnifiable loss, we will reimburse the company.</w:t>
      </w:r>
    </w:p>
    <w:p>
      <w:bookmarkStart w:id="47" w:name="c_do_cover_side_b_excess"/>
      <w:r>
        <w:rPr>
          <w:rFonts w:ascii="Georgia" w:hAnsi="Georgia" w:eastAsia="Georgia"/>
          <w:b/>
          <w:i w:val="0"/>
          <w:color w:val="2E5C4E"/>
          <w:sz w:val="25"/>
        </w:rPr>
        <w:t>Side B Excess</w:t>
      </w:r>
      <w:bookmarkEnd w:id="47"/>
    </w:p>
    <w:p>
      <w:r>
        <w:rPr>
          <w:b w:val="0"/>
          <w:i w:val="0"/>
        </w:rPr>
        <w:t>The company must pay the excess shown in Item 4 of the schedule for each claim under Side B. The excess applies to the combined total of compensatory damages and defence costs.</w:t>
      </w:r>
    </w:p>
    <w:p>
      <w:bookmarkStart w:id="48" w:name="c_do_section_side_c"/>
      <w:r>
        <w:rPr>
          <w:rFonts w:ascii="Georgia" w:hAnsi="Georgia" w:eastAsia="Georgia"/>
          <w:b/>
          <w:i w:val="0"/>
          <w:color w:val="1C1915"/>
          <w:sz w:val="32"/>
        </w:rPr>
        <w:t>Side C — Entity Securities Claims</w:t>
      </w:r>
      <w:bookmarkEnd w:id="48"/>
    </w:p>
    <w:p>
      <w:bookmarkStart w:id="49" w:name="c_do_cover_securities_claims_against_the"/>
      <w:r>
        <w:rPr>
          <w:rFonts w:ascii="Georgia" w:hAnsi="Georgia" w:eastAsia="Georgia"/>
          <w:b/>
          <w:i w:val="0"/>
          <w:color w:val="2E5C4E"/>
          <w:sz w:val="25"/>
        </w:rPr>
        <w:t>Securities Claims Against the Company</w:t>
      </w:r>
      <w:bookmarkEnd w:id="49"/>
    </w:p>
    <w:p>
      <w:r>
        <w:rPr>
          <w:b w:val="0"/>
          <w:i w:val="0"/>
        </w:rPr>
        <w:t>If a securities claim is first made against the company during the policy period, we will pay the company's entity cover loss.</w:t>
      </w:r>
    </w:p>
    <w:p>
      <w:r>
        <w:rPr>
          <w:b w:val="0"/>
          <w:i w:val="0"/>
        </w:rPr>
        <w:t xml:space="preserve">Side C covers only securities claims. The company's broader management liability exposure (employment, regulatory, statutory) is not covered under Side C — see </w:t>
      </w:r>
      <w:hyperlink w:anchor="c_do_excl_employers_liability">
        <w:r>
          <w:rPr>
            <w:color w:val="2E5C4E"/>
            <w:u w:val="single"/>
          </w:rPr>
          <w:t xml:space="preserve">the Employer's Liability exclusion</w:t>
        </w:r>
      </w:hyperlink>
      <w:r>
        <w:rPr>
          <w:b w:val="0"/>
          <w:i w:val="0"/>
        </w:rPr>
        <w:t xml:space="preserve"> and </w:t>
      </w:r>
      <w:hyperlink w:anchor="c_do_end_e13">
        <w:r>
          <w:rPr>
            <w:color w:val="2E5C4E"/>
            <w:u w:val="single"/>
          </w:rPr>
          <w:t xml:space="preserve">the E13 Employment Practices Liability (EPL) endorsement</w:t>
        </w:r>
      </w:hyperlink>
      <w:r>
        <w:rPr>
          <w:b w:val="0"/>
          <w:i w:val="0"/>
        </w:rPr>
        <w:t xml:space="preserve"> for cover relating to claims by employees.</w:t>
      </w:r>
    </w:p>
    <w:p>
      <w:bookmarkStart w:id="50" w:name="c_do_cover_side_c_retention"/>
      <w:r>
        <w:rPr>
          <w:rFonts w:ascii="Georgia" w:hAnsi="Georgia" w:eastAsia="Georgia"/>
          <w:b/>
          <w:i w:val="0"/>
          <w:color w:val="2E5C4E"/>
          <w:sz w:val="25"/>
        </w:rPr>
        <w:t>Side C Retention</w:t>
      </w:r>
      <w:bookmarkEnd w:id="50"/>
    </w:p>
    <w:p>
      <w:r>
        <w:rPr>
          <w:b w:val="0"/>
          <w:i w:val="0"/>
        </w:rPr>
        <w:t>The company must bear the retention shown in Item 5 for each securities claim under Side C. The retention applies to entity cover loss only — it does not apply to an insured person's personal loss arising from the same securities claim (which is covered under Side A or Side B).</w:t>
      </w:r>
    </w:p>
    <w:p>
      <w:bookmarkStart w:id="51" w:name="c_do_section_extensions"/>
      <w:r>
        <w:rPr>
          <w:rFonts w:ascii="Georgia" w:hAnsi="Georgia" w:eastAsia="Georgia"/>
          <w:b/>
          <w:i w:val="0"/>
          <w:color w:val="1C1915"/>
          <w:sz w:val="32"/>
        </w:rPr>
        <w:t>Extensions of Cover</w:t>
      </w:r>
      <w:bookmarkEnd w:id="51"/>
    </w:p>
    <w:p>
      <w:bookmarkStart w:id="52" w:name="c_do_section_defence_investigation"/>
      <w:r>
        <w:rPr>
          <w:rFonts w:ascii="Georgia" w:hAnsi="Georgia" w:eastAsia="Georgia"/>
          <w:b/>
          <w:i w:val="0"/>
          <w:color w:val="1C1915"/>
          <w:sz w:val="32"/>
        </w:rPr>
        <w:t>Defence and Investigation</w:t>
      </w:r>
      <w:bookmarkEnd w:id="52"/>
    </w:p>
    <w:p>
      <w:bookmarkStart w:id="53" w:name="c_do_ext_advancement_of_defence_costs"/>
      <w:r>
        <w:rPr>
          <w:rFonts w:ascii="Georgia" w:hAnsi="Georgia" w:eastAsia="Georgia"/>
          <w:b/>
          <w:i w:val="0"/>
          <w:color w:val="2E5C4E"/>
          <w:sz w:val="25"/>
        </w:rPr>
        <w:t>Advancement of Defence Costs</w:t>
      </w:r>
      <w:bookmarkEnd w:id="53"/>
    </w:p>
    <w:p>
      <w:r>
        <w:rPr>
          <w:b w:val="0"/>
          <w:i w:val="0"/>
        </w:rPr>
        <w:t>We will advance defence costs as they are incurred, without waiting for the final outcome of a claim. We will never require an insured person to self-fund their defence. We advance defence costs in the same way in civil-penalty and criminal proceedings.</w:t>
      </w:r>
    </w:p>
    <w:p>
      <w:r>
        <w:rPr>
          <w:b w:val="0"/>
          <w:i w:val="0"/>
        </w:rPr>
        <w:t>An insured person must repay advanced defence costs to the extent that:</w:t>
      </w:r>
    </w:p>
    <w:p>
      <w:r>
        <w:rPr>
          <w:b w:val="0"/>
          <w:i w:val="0"/>
        </w:rPr>
        <w:t xml:space="preserve">(a) it is later established that the claim, or part of it, is not covered, by Final adjudication or by an allocation under </w:t>
      </w:r>
      <w:hyperlink w:anchor="c_do_pay_allocation">
        <w:r>
          <w:rPr>
            <w:color w:val="2E5C4E"/>
            <w:u w:val="single"/>
          </w:rPr>
          <w:t xml:space="preserve">the Allocation provision</w:t>
        </w:r>
      </w:hyperlink>
      <w:r>
        <w:rPr>
          <w:b w:val="0"/>
          <w:i w:val="0"/>
        </w:rPr>
        <w:t>;</w:t>
      </w:r>
    </w:p>
    <w:p>
      <w:r>
        <w:rPr>
          <w:b w:val="0"/>
          <w:i w:val="0"/>
        </w:rPr>
        <w:t xml:space="preserve">(b) a Final adjudication, or a court's finding, establishes conduct that </w:t>
      </w:r>
      <w:hyperlink w:anchor="c_do_excl_dishonesty_and_fraud">
        <w:r>
          <w:rPr>
            <w:color w:val="2E5C4E"/>
            <w:u w:val="single"/>
          </w:rPr>
          <w:t xml:space="preserve">the Dishonesty and Fraud exclusion</w:t>
        </w:r>
      </w:hyperlink>
      <w:r>
        <w:rPr>
          <w:b w:val="0"/>
          <w:i w:val="0"/>
        </w:rPr>
        <w:t xml:space="preserve"> or </w:t>
      </w:r>
      <w:hyperlink w:anchor="c_do_excl_personal_profit_and_illegal_re">
        <w:r>
          <w:rPr>
            <w:color w:val="2E5C4E"/>
            <w:u w:val="single"/>
          </w:rPr>
          <w:t xml:space="preserve">the Personal Profit and Illegal Remuneration exclusion</w:t>
        </w:r>
      </w:hyperlink>
      <w:r>
        <w:rPr>
          <w:b w:val="0"/>
          <w:i w:val="0"/>
        </w:rPr>
        <w:t xml:space="preserve"> excludes, or that the law does not allow to be covered (see </w:t>
      </w:r>
      <w:hyperlink w:anchor="c_do_cond_corporations_act_199a_199b">
        <w:r>
          <w:rPr>
            <w:color w:val="2E5C4E"/>
            <w:u w:val="single"/>
          </w:rPr>
          <w:t xml:space="preserve">the Corporations Act 2001 (Cth), sections 199A and 199B condition</w:t>
        </w:r>
      </w:hyperlink>
      <w:r>
        <w:rPr>
          <w:b w:val="0"/>
          <w:i w:val="0"/>
        </w:rPr>
        <w:t>); or</w:t>
      </w:r>
    </w:p>
    <w:p>
      <w:r>
        <w:rPr>
          <w:b w:val="0"/>
          <w:i w:val="0"/>
        </w:rPr>
        <w:t>(c) the company later indemnifies the insured person for the same defence costs, to the extent of the indemnity received, so that there is no double recovery.</w:t>
      </w:r>
    </w:p>
    <w:p>
      <w:r>
        <w:rPr>
          <w:b w:val="0"/>
          <w:i w:val="0"/>
        </w:rPr>
        <w:t xml:space="preserve">Where the claim involves conduct excluded under </w:t>
      </w:r>
      <w:hyperlink w:anchor="c_do_excl_dishonesty_and_fraud">
        <w:r>
          <w:rPr>
            <w:color w:val="2E5C4E"/>
            <w:u w:val="single"/>
          </w:rPr>
          <w:t xml:space="preserve">the Dishonesty and Fraud exclusion</w:t>
        </w:r>
      </w:hyperlink>
      <w:r>
        <w:rPr>
          <w:b w:val="0"/>
          <w:i w:val="0"/>
        </w:rPr>
        <w:t xml:space="preserve"> or </w:t>
      </w:r>
      <w:hyperlink w:anchor="c_do_excl_personal_profit_and_illegal_re">
        <w:r>
          <w:rPr>
            <w:color w:val="2E5C4E"/>
            <w:u w:val="single"/>
          </w:rPr>
          <w:t xml:space="preserve">the Personal Profit and Illegal Remuneration exclusion</w:t>
        </w:r>
      </w:hyperlink>
      <w:r>
        <w:rPr>
          <w:b w:val="0"/>
          <w:i w:val="0"/>
        </w:rPr>
        <w:t xml:space="preserve">, repayment is required only after Final adjudication (as defined in </w:t>
      </w:r>
      <w:hyperlink w:anchor="c_do_def_final_adjudication">
        <w:r>
          <w:rPr>
            <w:color w:val="2E5C4E"/>
            <w:u w:val="single"/>
          </w:rPr>
          <w:t xml:space="preserve">the definition of Final adjudication</w:t>
        </w:r>
      </w:hyperlink>
      <w:r>
        <w:rPr>
          <w:b w:val="0"/>
          <w:i w:val="0"/>
        </w:rPr>
        <w:t xml:space="preserve">), consistent with </w:t>
      </w:r>
      <w:hyperlink w:anchor="c_do_cond_insurance_contracts_act_1984_c">
        <w:r>
          <w:rPr>
            <w:color w:val="2E5C4E"/>
            <w:u w:val="single"/>
          </w:rPr>
          <w:t xml:space="preserve">the Insurance Contracts Act 1984 (Cth) condition</w:t>
        </w:r>
      </w:hyperlink>
      <w:r>
        <w:rPr>
          <w:b w:val="0"/>
          <w:i w:val="0"/>
        </w:rPr>
        <w:t>.</w:t>
      </w:r>
    </w:p>
    <w:p>
      <w:bookmarkStart w:id="54" w:name="c_do_ext_investigation_costs"/>
      <w:r>
        <w:rPr>
          <w:rFonts w:ascii="Georgia" w:hAnsi="Georgia" w:eastAsia="Georgia"/>
          <w:b/>
          <w:i w:val="0"/>
          <w:color w:val="2E5C4E"/>
          <w:sz w:val="25"/>
        </w:rPr>
        <w:t>Investigation Costs</w:t>
      </w:r>
      <w:bookmarkEnd w:id="54"/>
    </w:p>
    <w:p>
      <w:r>
        <w:rPr>
          <w:b w:val="0"/>
          <w:i w:val="0"/>
        </w:rPr>
        <w:t xml:space="preserve">We will pay defence costs incurred by an insured in responding to an investigation, even before a claim has been made. This includes an investigation that is a Royal Commission, Parliamentary Committee inquiry, or equivalent public inquiry within limb (g) of </w:t>
      </w:r>
      <w:hyperlink w:anchor="c_do_def_investigation">
        <w:r>
          <w:rPr>
            <w:color w:val="2E5C4E"/>
            <w:u w:val="single"/>
          </w:rPr>
          <w:t xml:space="preserve">the definition of Investigation</w:t>
        </w:r>
      </w:hyperlink>
      <w:r>
        <w:rPr>
          <w:b w:val="0"/>
          <w:i w:val="0"/>
        </w:rPr>
        <w:t xml:space="preserve"> — for every insured, not only where </w:t>
      </w:r>
      <w:hyperlink w:anchor="c_do_end_e03">
        <w:r>
          <w:rPr>
            <w:color w:val="2E5C4E"/>
            <w:u w:val="single"/>
          </w:rPr>
          <w:t xml:space="preserve">the E03 Financial Institutions endorsement</w:t>
        </w:r>
      </w:hyperlink>
      <w:r>
        <w:rPr>
          <w:b w:val="0"/>
          <w:i w:val="0"/>
        </w:rPr>
        <w:t xml:space="preserve"> is operative.</w:t>
      </w:r>
    </w:p>
    <w:p>
      <w:r>
        <w:rPr>
          <w:b w:val="0"/>
          <w:i w:val="0"/>
        </w:rPr>
        <w:t>For the company (Side C), investigation costs are covered only where the investigation relates to matters that could give rise to a securities claim.</w:t>
      </w:r>
    </w:p>
    <w:p>
      <w:bookmarkStart w:id="55" w:name="c_do_ext_pre_investigation_advisory_cost"/>
      <w:r>
        <w:rPr>
          <w:rFonts w:ascii="Georgia" w:hAnsi="Georgia" w:eastAsia="Georgia"/>
          <w:b/>
          <w:i w:val="0"/>
          <w:color w:val="2E5C4E"/>
          <w:sz w:val="25"/>
        </w:rPr>
        <w:t>Pre-Investigation Advisory Costs</w:t>
      </w:r>
      <w:bookmarkEnd w:id="55"/>
    </w:p>
    <w:p>
      <w:r>
        <w:rPr>
          <w:b w:val="0"/>
          <w:i w:val="0"/>
        </w:rPr>
        <w:t>If an insured person receives a written request or notice to attend an interview, examination, or hearing by a regulator — and the request does not yet constitute a formal investigation — we will pay the insured person's reasonable legal costs in obtaining advice and preparing a response.</w:t>
      </w:r>
    </w:p>
    <w:p>
      <w:bookmarkStart w:id="56" w:name="c_do_ext_class_certification_study_expen"/>
      <w:r>
        <w:rPr>
          <w:rFonts w:ascii="Georgia" w:hAnsi="Georgia" w:eastAsia="Georgia"/>
          <w:b/>
          <w:i w:val="0"/>
          <w:color w:val="2E5C4E"/>
          <w:sz w:val="25"/>
        </w:rPr>
        <w:t>Class Certification Study Expenses and E-Discovery Costs</w:t>
      </w:r>
      <w:bookmarkEnd w:id="56"/>
    </w:p>
    <w:p>
      <w:r>
        <w:rPr>
          <w:b w:val="0"/>
          <w:i w:val="0"/>
        </w:rPr>
        <w:t>In any securities claim or representative proceeding, we will pay class certification study expenses and e-discovery costs as part of defence costs, without a separate sub-limit.</w:t>
      </w:r>
    </w:p>
    <w:p>
      <w:bookmarkStart w:id="57" w:name="c_do_ext_cooperation_with_regulators_leg"/>
      <w:r>
        <w:rPr>
          <w:rFonts w:ascii="Georgia" w:hAnsi="Georgia" w:eastAsia="Georgia"/>
          <w:b/>
          <w:i w:val="0"/>
          <w:color w:val="2E5C4E"/>
          <w:sz w:val="25"/>
        </w:rPr>
        <w:t>Cooperation With Regulators — Legal Representation</w:t>
      </w:r>
      <w:bookmarkEnd w:id="57"/>
    </w:p>
    <w:p>
      <w:r>
        <w:rPr>
          <w:b w:val="0"/>
          <w:i w:val="0"/>
        </w:rPr>
        <w:t>If a regulator requires an insured person to attend an interview, produce documents, or give evidence, we will pay the costs of independent legal representation for the insured person at that interview or proceeding — even if the insured person is attending as a witness rather than a target.</w:t>
      </w:r>
    </w:p>
    <w:p>
      <w:bookmarkStart w:id="58" w:name="c_do_section_personal_protection"/>
      <w:r>
        <w:rPr>
          <w:rFonts w:ascii="Georgia" w:hAnsi="Georgia" w:eastAsia="Georgia"/>
          <w:b/>
          <w:i w:val="0"/>
          <w:color w:val="1C1915"/>
          <w:sz w:val="32"/>
        </w:rPr>
        <w:t>Personal Protection</w:t>
      </w:r>
      <w:bookmarkEnd w:id="58"/>
    </w:p>
    <w:p>
      <w:bookmarkStart w:id="59" w:name="c_do_ext_retired_directors_and_officers"/>
      <w:r>
        <w:rPr>
          <w:rFonts w:ascii="Georgia" w:hAnsi="Georgia" w:eastAsia="Georgia"/>
          <w:b/>
          <w:i w:val="0"/>
          <w:color w:val="2E5C4E"/>
          <w:sz w:val="25"/>
        </w:rPr>
        <w:t>Retired Directors and Officers</w:t>
      </w:r>
      <w:bookmarkEnd w:id="59"/>
    </w:p>
    <w:p>
      <w:r>
        <w:rPr>
          <w:b w:val="0"/>
          <w:i w:val="0"/>
        </w:rPr>
        <w:t>If an insured person ceases to hold office during or before the policy period (for any reason other than disqualification by final court order), this policy continues to cover claims first made against them for 84 months after the end of the policy period, at no additional premium.</w:t>
      </w:r>
    </w:p>
    <w:p>
      <w:r>
        <w:rPr>
          <w:b w:val="0"/>
          <w:i w:val="0"/>
        </w:rPr>
        <w:t xml:space="preserve">Reconciliation with </w:t>
      </w:r>
      <w:hyperlink w:anchor="c_do_cond_discovery_period">
        <w:r>
          <w:rPr>
            <w:color w:val="2E5C4E"/>
            <w:u w:val="single"/>
          </w:rPr>
          <w:t xml:space="preserve">the Discovery Period condition</w:t>
        </w:r>
      </w:hyperlink>
      <w:r>
        <w:rPr>
          <w:b w:val="0"/>
          <w:i w:val="0"/>
        </w:rPr>
        <w:t xml:space="preserve"> and </w:t>
      </w:r>
      <w:hyperlink w:anchor="c_do_end_e06">
        <w:r>
          <w:rPr>
            <w:color w:val="2E5C4E"/>
            <w:u w:val="single"/>
          </w:rPr>
          <w:t xml:space="preserve">the E06 Extended Discovery Period endorsement</w:t>
        </w:r>
      </w:hyperlink>
      <w:r>
        <w:rPr>
          <w:b w:val="0"/>
          <w:i w:val="0"/>
        </w:rPr>
        <w:t xml:space="preserve">: if this policy is not renewed, or is cancelled, before that person's 84-month period under this clause has ended, the longer of (a) the remainder of that person's 84-month period under this clause, and (b) any discovery period applicable to the policy generally under </w:t>
      </w:r>
      <w:hyperlink w:anchor="c_do_cond_discovery_period">
        <w:r>
          <w:rPr>
            <w:color w:val="2E5C4E"/>
            <w:u w:val="single"/>
          </w:rPr>
          <w:t xml:space="preserve">the Discovery Period condition</w:t>
        </w:r>
      </w:hyperlink>
      <w:r>
        <w:rPr>
          <w:b w:val="0"/>
          <w:i w:val="0"/>
        </w:rPr>
        <w:t xml:space="preserve"> or a purchased extension under </w:t>
      </w:r>
      <w:hyperlink w:anchor="c_do_end_e06">
        <w:r>
          <w:rPr>
            <w:color w:val="2E5C4E"/>
            <w:u w:val="single"/>
          </w:rPr>
          <w:t xml:space="preserve">the E06 Extended Discovery Period endorsement</w:t>
        </w:r>
      </w:hyperlink>
      <w:r>
        <w:rPr>
          <w:b w:val="0"/>
          <w:i w:val="0"/>
        </w:rPr>
        <w:t>, applies to that person. The shorter period does not curtail the longer one.</w:t>
      </w:r>
    </w:p>
    <w:p>
      <w:bookmarkStart w:id="60" w:name="c_do_ext_new_directors_and_officers"/>
      <w:r>
        <w:rPr>
          <w:rFonts w:ascii="Georgia" w:hAnsi="Georgia" w:eastAsia="Georgia"/>
          <w:b/>
          <w:i w:val="0"/>
          <w:color w:val="2E5C4E"/>
          <w:sz w:val="25"/>
        </w:rPr>
        <w:t>New Directors and Officers</w:t>
      </w:r>
      <w:bookmarkEnd w:id="60"/>
    </w:p>
    <w:p>
      <w:r>
        <w:rPr>
          <w:b w:val="0"/>
          <w:i w:val="0"/>
        </w:rPr>
        <w:t>Any person who becomes an insured person during the policy period is automatically covered from the date they take office.</w:t>
      </w:r>
    </w:p>
    <w:p>
      <w:bookmarkStart w:id="61" w:name="c_do_ext_spouse_estate_and_jointly_held_"/>
      <w:r>
        <w:rPr>
          <w:rFonts w:ascii="Georgia" w:hAnsi="Georgia" w:eastAsia="Georgia"/>
          <w:b/>
          <w:i w:val="0"/>
          <w:color w:val="2E5C4E"/>
          <w:sz w:val="25"/>
        </w:rPr>
        <w:t>Spouse, Estate, and Jointly Held Assets</w:t>
      </w:r>
      <w:bookmarkEnd w:id="61"/>
    </w:p>
    <w:p>
      <w:r>
        <w:rPr>
          <w:b w:val="0"/>
          <w:i w:val="0"/>
        </w:rPr>
        <w:t>We will cover the lawful spouse, domestic partner, estate, heir, or legal representative of an insured person for claims arising from the insured person's wrongful acts.</w:t>
      </w:r>
    </w:p>
    <w:p>
      <w:r>
        <w:rPr>
          <w:b w:val="0"/>
          <w:i w:val="0"/>
        </w:rPr>
        <w:t>We will also cover the personal assets of a spouse or domestic partner that are jointly held with the insured person — including jointly owned real property and joint bank accounts — to the extent those assets are at risk in connection with a claim against the insured person.</w:t>
      </w:r>
    </w:p>
    <w:p>
      <w:bookmarkStart w:id="62" w:name="c_do_ext_bail_and_civil_bond"/>
      <w:r>
        <w:rPr>
          <w:rFonts w:ascii="Georgia" w:hAnsi="Georgia" w:eastAsia="Georgia"/>
          <w:b/>
          <w:i w:val="0"/>
          <w:color w:val="2E5C4E"/>
          <w:sz w:val="25"/>
        </w:rPr>
        <w:t>Bail and Civil Bond</w:t>
      </w:r>
      <w:bookmarkEnd w:id="62"/>
    </w:p>
    <w:p>
      <w:r>
        <w:rPr>
          <w:b w:val="0"/>
          <w:i w:val="0"/>
        </w:rPr>
        <w:t>If an insured person is required to post bail or a civil bond in connection with a covered claim, we will advance the cost.</w:t>
      </w:r>
    </w:p>
    <w:p>
      <w:bookmarkStart w:id="63" w:name="c_do_ext_preservation_of_assets_and_livi"/>
      <w:r>
        <w:rPr>
          <w:rFonts w:ascii="Georgia" w:hAnsi="Georgia" w:eastAsia="Georgia"/>
          <w:b/>
          <w:i w:val="0"/>
          <w:color w:val="2E5C4E"/>
          <w:sz w:val="25"/>
        </w:rPr>
        <w:t>Preservation of Assets and Living Expenses</w:t>
      </w:r>
      <w:bookmarkEnd w:id="63"/>
    </w:p>
    <w:p>
      <w:r>
        <w:rPr>
          <w:b w:val="0"/>
          <w:i w:val="0"/>
        </w:rPr>
        <w:t>If a court order freezes or restrains the personal assets of an insured person in connection with a covered claim, we will pay: (a) their legal costs in seeking to vary or discharge the order; and (b) reasonable living expenses for the insured person and their immediate family during the period of restraint.</w:t>
      </w:r>
    </w:p>
    <w:p>
      <w:bookmarkStart w:id="64" w:name="c_do_ext_extradition_defence"/>
      <w:r>
        <w:rPr>
          <w:rFonts w:ascii="Georgia" w:hAnsi="Georgia" w:eastAsia="Georgia"/>
          <w:b/>
          <w:i w:val="0"/>
          <w:color w:val="2E5C4E"/>
          <w:sz w:val="25"/>
        </w:rPr>
        <w:t>Extradition Defence</w:t>
      </w:r>
      <w:bookmarkEnd w:id="64"/>
    </w:p>
    <w:p>
      <w:r>
        <w:rPr>
          <w:b w:val="0"/>
          <w:i w:val="0"/>
        </w:rPr>
        <w:t>We will pay defence costs for an insured person resisting extradition in connection with a wrongful act.</w:t>
      </w:r>
    </w:p>
    <w:p>
      <w:bookmarkStart w:id="65" w:name="c_do_ext_loss_of_earnings_attending_proc"/>
      <w:r>
        <w:rPr>
          <w:rFonts w:ascii="Georgia" w:hAnsi="Georgia" w:eastAsia="Georgia"/>
          <w:b/>
          <w:i w:val="0"/>
          <w:color w:val="2E5C4E"/>
          <w:sz w:val="25"/>
        </w:rPr>
        <w:t>Loss of Earnings — Attending Proceedings</w:t>
      </w:r>
      <w:bookmarkEnd w:id="65"/>
    </w:p>
    <w:p>
      <w:r>
        <w:rPr>
          <w:b w:val="0"/>
          <w:i w:val="0"/>
        </w:rPr>
        <w:t>$1,000 per day or part-day for an insured person attending court, a tribunal, or a regulatory hearing as a witness or defendant.</w:t>
      </w:r>
    </w:p>
    <w:p>
      <w:bookmarkStart w:id="66" w:name="c_do_ext_tax_advisory_costs"/>
      <w:r>
        <w:rPr>
          <w:rFonts w:ascii="Georgia" w:hAnsi="Georgia" w:eastAsia="Georgia"/>
          <w:b/>
          <w:i w:val="0"/>
          <w:color w:val="2E5C4E"/>
          <w:sz w:val="25"/>
        </w:rPr>
        <w:t>Tax Advisory Costs</w:t>
      </w:r>
      <w:bookmarkEnd w:id="66"/>
    </w:p>
    <w:p>
      <w:r>
        <w:rPr>
          <w:b w:val="0"/>
          <w:i w:val="0"/>
        </w:rPr>
        <w:t>If an insured person incurs personal tax liability as a direct result of a payment under this policy, we will pay the reasonable costs of tax advice.</w:t>
      </w:r>
    </w:p>
    <w:p>
      <w:bookmarkStart w:id="67" w:name="c_do_section_corporate_events"/>
      <w:r>
        <w:rPr>
          <w:rFonts w:ascii="Georgia" w:hAnsi="Georgia" w:eastAsia="Georgia"/>
          <w:b/>
          <w:i w:val="0"/>
          <w:color w:val="1C1915"/>
          <w:sz w:val="32"/>
        </w:rPr>
        <w:t>Corporate Events</w:t>
      </w:r>
      <w:bookmarkEnd w:id="67"/>
    </w:p>
    <w:p>
      <w:bookmarkStart w:id="68" w:name="c_do_ext_newly_acquired_subsidiaries"/>
      <w:r>
        <w:rPr>
          <w:rFonts w:ascii="Georgia" w:hAnsi="Georgia" w:eastAsia="Georgia"/>
          <w:b/>
          <w:i w:val="0"/>
          <w:color w:val="2E5C4E"/>
          <w:sz w:val="25"/>
        </w:rPr>
        <w:t>Newly Acquired Subsidiaries</w:t>
      </w:r>
      <w:bookmarkEnd w:id="68"/>
    </w:p>
    <w:p>
      <w:r>
        <w:rPr>
          <w:b w:val="0"/>
          <w:i w:val="0"/>
        </w:rPr>
        <w:t>Automatic cover for 90 days from acquisition — provided total assets do not exceed 25% of the company's Consolidated assets and the entity is not a Financial institution or US/Canada-domiciled entity (unless the relevant endorsement is operative). Notify us within 90 days.</w:t>
      </w:r>
    </w:p>
    <w:p>
      <w:r>
        <w:rPr>
          <w:b w:val="0"/>
          <w:i w:val="0"/>
        </w:rPr>
        <w:t>If the acquired entity exceeds the 25% threshold, cover is available subject to our prior agreement.</w:t>
      </w:r>
    </w:p>
    <w:p>
      <w:bookmarkStart w:id="69" w:name="c_do_ext_divested_subsidiaries_run_off"/>
      <w:r>
        <w:rPr>
          <w:rFonts w:ascii="Georgia" w:hAnsi="Georgia" w:eastAsia="Georgia"/>
          <w:b/>
          <w:i w:val="0"/>
          <w:color w:val="2E5C4E"/>
          <w:sz w:val="25"/>
        </w:rPr>
        <w:t>Divested Subsidiaries — Run-Off</w:t>
      </w:r>
      <w:bookmarkEnd w:id="69"/>
    </w:p>
    <w:p>
      <w:r>
        <w:rPr>
          <w:b w:val="0"/>
          <w:i w:val="0"/>
        </w:rPr>
        <w:t>If the company divests a subsidiary during the policy period, this policy continues to cover claims arising from pre-divestiture wrongful acts for 72 months.</w:t>
      </w:r>
    </w:p>
    <w:p>
      <w:bookmarkStart w:id="70" w:name="c_do_ext_change_of_control"/>
      <w:r>
        <w:rPr>
          <w:rFonts w:ascii="Georgia" w:hAnsi="Georgia" w:eastAsia="Georgia"/>
          <w:b/>
          <w:i w:val="0"/>
          <w:color w:val="2E5C4E"/>
          <w:sz w:val="25"/>
        </w:rPr>
        <w:t>Change of Control</w:t>
      </w:r>
      <w:bookmarkEnd w:id="70"/>
    </w:p>
    <w:p>
      <w:r>
        <w:rPr>
          <w:b w:val="0"/>
          <w:i w:val="0"/>
        </w:rPr>
        <w:t>If any person acquires more than 50% of the company's voting rights during the policy period, this policy continues for the remainder of the policy period — but only for wrongful acts before the change of control. No new cover after the change of control.</w:t>
      </w:r>
    </w:p>
    <w:p>
      <w:r>
        <w:rPr>
          <w:b w:val="0"/>
          <w:i w:val="0"/>
        </w:rPr>
        <w:t>We will not cancel this policy following a change of control.</w:t>
      </w:r>
    </w:p>
    <w:p>
      <w:bookmarkStart w:id="71" w:name="c_do_ext_public_relations"/>
      <w:r>
        <w:rPr>
          <w:rFonts w:ascii="Georgia" w:hAnsi="Georgia" w:eastAsia="Georgia"/>
          <w:b/>
          <w:i w:val="0"/>
          <w:color w:val="2E5C4E"/>
          <w:sz w:val="25"/>
        </w:rPr>
        <w:t>Public Relations</w:t>
      </w:r>
      <w:bookmarkEnd w:id="71"/>
    </w:p>
    <w:p>
      <w:r>
        <w:rPr>
          <w:b w:val="0"/>
          <w:i w:val="0"/>
        </w:rPr>
        <w:t>Following a covered claim, we will pay public relations costs to protect or restore the personal reputation of an insured person or the corporate reputation of the company in connection with a securities claim.</w:t>
      </w:r>
    </w:p>
    <w:p>
      <w:bookmarkStart w:id="72" w:name="c_do_ext_prospectus_and_fundraising"/>
      <w:r>
        <w:rPr>
          <w:rFonts w:ascii="Georgia" w:hAnsi="Georgia" w:eastAsia="Georgia"/>
          <w:b/>
          <w:i w:val="0"/>
          <w:color w:val="2E5C4E"/>
          <w:sz w:val="25"/>
        </w:rPr>
        <w:t>Prospectus and Fundraising</w:t>
      </w:r>
      <w:bookmarkEnd w:id="72"/>
    </w:p>
    <w:p>
      <w:r>
        <w:rPr>
          <w:b w:val="0"/>
          <w:i w:val="0"/>
        </w:rPr>
        <w:t>We will cover claims arising from any prospectus, product disclosure statement, information memorandum, cleansing notice, or investor presentation issued by the company during the policy period — including claims under Chapter 6D of the Corporations Act 2001.</w:t>
      </w:r>
    </w:p>
    <w:p>
      <w:r>
        <w:rPr>
          <w:b w:val="0"/>
          <w:i w:val="0"/>
        </w:rPr>
        <w:t>Subject to the full limit of liability unless the schedule provides a separate prospectus sub-limit.</w:t>
      </w:r>
    </w:p>
    <w:p>
      <w:bookmarkStart w:id="73" w:name="c_do_ext_reinstatement_after_recovery"/>
      <w:r>
        <w:rPr>
          <w:rFonts w:ascii="Georgia" w:hAnsi="Georgia" w:eastAsia="Georgia"/>
          <w:b/>
          <w:i w:val="0"/>
          <w:color w:val="2E5C4E"/>
          <w:sz w:val="25"/>
        </w:rPr>
        <w:t>Reinstatement After Recovery</w:t>
      </w:r>
      <w:bookmarkEnd w:id="73"/>
    </w:p>
    <w:p>
      <w:r>
        <w:rPr>
          <w:b w:val="0"/>
          <w:i w:val="0"/>
        </w:rPr>
        <w:t>If we recover amounts from a third party, we will reinstate the limit of liability by the recovered amount (less costs), up to the original limit.</w:t>
      </w:r>
    </w:p>
    <w:p>
      <w:bookmarkStart w:id="74" w:name="c_do_section_exclusions"/>
      <w:r>
        <w:rPr>
          <w:rFonts w:ascii="Georgia" w:hAnsi="Georgia" w:eastAsia="Georgia"/>
          <w:b/>
          <w:i w:val="0"/>
          <w:color w:val="1C1915"/>
          <w:sz w:val="32"/>
        </w:rPr>
        <w:t>What Is Not Covered</w:t>
      </w:r>
      <w:bookmarkEnd w:id="74"/>
    </w:p>
    <w:p>
      <w:bookmarkStart w:id="75" w:name="c_do_excl_dishonesty_and_fraud"/>
      <w:r>
        <w:rPr>
          <w:rFonts w:ascii="Georgia" w:hAnsi="Georgia" w:eastAsia="Georgia"/>
          <w:b/>
          <w:i w:val="0"/>
          <w:color w:val="2E5C4E"/>
          <w:sz w:val="25"/>
        </w:rPr>
        <w:t>Dishonesty and Fraud</w:t>
      </w:r>
      <w:bookmarkEnd w:id="75"/>
    </w:p>
    <w:p>
      <w:r>
        <w:rPr>
          <w:b w:val="0"/>
          <w:i w:val="0"/>
        </w:rPr>
        <w:t xml:space="preserve">Any claim arising from deliberately dishonest, fraudulent, or criminal conduct — but only after a Final adjudication (including all appeals) establishes that the specific insured personally committed the conduct. Until Final adjudication, we advance defence costs, on the terms in </w:t>
      </w:r>
      <w:hyperlink w:anchor="c_do_ext_advancement_of_defence_costs">
        <w:r>
          <w:rPr>
            <w:color w:val="2E5C4E"/>
            <w:u w:val="single"/>
          </w:rPr>
          <w:t xml:space="preserve">the Advancement of Defence Costs extension</w:t>
        </w:r>
      </w:hyperlink>
      <w:r>
        <w:rPr>
          <w:b w:val="0"/>
          <w:i w:val="0"/>
        </w:rPr>
        <w:t>. The presumption of innocence applies.</w:t>
      </w:r>
    </w:p>
    <w:p>
      <w:r>
        <w:rPr>
          <w:b w:val="0"/>
          <w:i w:val="0"/>
        </w:rPr>
        <w:t>Severability: Applied individually. One person's dishonesty does not affect another's cover.</w:t>
      </w:r>
    </w:p>
    <w:p>
      <w:bookmarkStart w:id="76" w:name="c_do_excl_personal_profit_and_illegal_re"/>
      <w:r>
        <w:rPr>
          <w:rFonts w:ascii="Georgia" w:hAnsi="Georgia" w:eastAsia="Georgia"/>
          <w:b/>
          <w:i w:val="0"/>
          <w:color w:val="2E5C4E"/>
          <w:sz w:val="25"/>
        </w:rPr>
        <w:t>Personal Profit and Illegal Remuneration</w:t>
      </w:r>
      <w:bookmarkEnd w:id="76"/>
    </w:p>
    <w:p>
      <w:r>
        <w:rPr>
          <w:b w:val="0"/>
          <w:i w:val="0"/>
        </w:rPr>
        <w:t>Personal profit or advantage to which the insured person was not legally entitled — but only after Final adjudication so establishes. Includes insider trading or market manipulation profits.</w:t>
      </w:r>
    </w:p>
    <w:p>
      <w:bookmarkStart w:id="77" w:name="c_do_excl_insured_versus_insured"/>
      <w:r>
        <w:rPr>
          <w:rFonts w:ascii="Georgia" w:hAnsi="Georgia" w:eastAsia="Georgia"/>
          <w:b/>
          <w:i w:val="0"/>
          <w:color w:val="2E5C4E"/>
          <w:sz w:val="25"/>
        </w:rPr>
        <w:t>Insured Versus Insured</w:t>
      </w:r>
      <w:bookmarkEnd w:id="77"/>
    </w:p>
    <w:p>
      <w:r>
        <w:rPr>
          <w:b w:val="0"/>
          <w:i w:val="0"/>
        </w:rPr>
        <w:t>Claims by one insured against another — except:</w:t>
      </w:r>
    </w:p>
    <w:p>
      <w:r>
        <w:rPr>
          <w:b w:val="0"/>
          <w:i w:val="0"/>
        </w:rPr>
        <w:t>(a) claims by a liquidator, administrator, receiver, or equivalent officer;</w:t>
      </w:r>
    </w:p>
    <w:p>
      <w:r>
        <w:rPr>
          <w:b w:val="0"/>
          <w:i w:val="0"/>
        </w:rPr>
        <w:t>(b) derivative actions by shareholders;</w:t>
      </w:r>
    </w:p>
    <w:p>
      <w:r>
        <w:rPr>
          <w:b w:val="0"/>
          <w:i w:val="0"/>
        </w:rPr>
        <w:t>(c) claims by a whistleblower, meaning a person who makes a disclosure that the law protects as a whistleblower disclosure;</w:t>
      </w:r>
    </w:p>
    <w:p>
      <w:r>
        <w:rPr>
          <w:b w:val="0"/>
          <w:i w:val="0"/>
        </w:rPr>
        <w:t>(d) a claim funded, in whole or in part, by a litigation funder, or otherwise funded or actively directed by a person other than the claimant (including by the provision of legal representation, funding of legal costs, or control of the conduct or strategy of the proceeding by that person) — other than a Regulator acting in its regulatory capacity;</w:t>
      </w:r>
    </w:p>
    <w:p>
      <w:r>
        <w:rPr>
          <w:b w:val="0"/>
          <w:i w:val="0"/>
        </w:rPr>
        <w:t xml:space="preserve">(e) an Employment claim by an Employee against an insured person (but not against the company — see </w:t>
      </w:r>
      <w:hyperlink w:anchor="c_do_excl_employers_liability">
        <w:r>
          <w:rPr>
            <w:color w:val="2E5C4E"/>
            <w:u w:val="single"/>
          </w:rPr>
          <w:t xml:space="preserve">the Employer's Liability exclusion</w:t>
        </w:r>
      </w:hyperlink>
      <w:r>
        <w:rPr>
          <w:b w:val="0"/>
          <w:i w:val="0"/>
        </w:rPr>
        <w:t>);</w:t>
      </w:r>
    </w:p>
    <w:p>
      <w:r>
        <w:rPr>
          <w:b w:val="0"/>
          <w:i w:val="0"/>
        </w:rPr>
        <w:t>(f) cross-claims or contribution claims arising from a third-party claim; and</w:t>
      </w:r>
    </w:p>
    <w:p>
      <w:r>
        <w:rPr>
          <w:b w:val="0"/>
          <w:i w:val="0"/>
        </w:rPr>
        <w:t>(g) claims by a former insured who no longer holds office.</w:t>
      </w:r>
    </w:p>
    <w:p>
      <w:bookmarkStart w:id="78" w:name="c_do_excl_prior_known_matters"/>
      <w:r>
        <w:rPr>
          <w:rFonts w:ascii="Georgia" w:hAnsi="Georgia" w:eastAsia="Georgia"/>
          <w:b/>
          <w:i w:val="0"/>
          <w:color w:val="2E5C4E"/>
          <w:sz w:val="25"/>
        </w:rPr>
        <w:t>Prior Known Matters</w:t>
      </w:r>
      <w:bookmarkEnd w:id="78"/>
    </w:p>
    <w:p>
      <w:r>
        <w:rPr>
          <w:b w:val="0"/>
          <w:i w:val="0"/>
        </w:rPr>
        <w:t xml:space="preserve">Claims arising from facts, matters, or circumstances that the specific insured person knew about before the Retroactive date and knew, or ought reasonably to have known, might lead to a claim. For a claim under Side C, the knowledge that counts is the knowledge of a member of the control group (see </w:t>
      </w:r>
      <w:hyperlink w:anchor="c_do_def_control_group">
        <w:r>
          <w:rPr>
            <w:color w:val="2E5C4E"/>
            <w:u w:val="single"/>
          </w:rPr>
          <w:t xml:space="preserve">the definition of Control group</w:t>
        </w:r>
      </w:hyperlink>
      <w:r>
        <w:rPr>
          <w:b w:val="0"/>
          <w:i w:val="0"/>
        </w:rPr>
        <w:t xml:space="preserve">). Knowledge assessed individually. Not imputed between insured persons. See </w:t>
      </w:r>
      <w:hyperlink w:anchor="c_do_def_retroactive_date">
        <w:r>
          <w:rPr>
            <w:color w:val="2E5C4E"/>
            <w:u w:val="single"/>
          </w:rPr>
          <w:t xml:space="preserve">the definition of Retroactive date</w:t>
        </w:r>
      </w:hyperlink>
      <w:r>
        <w:rPr>
          <w:b w:val="0"/>
          <w:i w:val="0"/>
        </w:rPr>
        <w:t xml:space="preserve"> for the date that applies where the schedule states “Full Prior Acts”.</w:t>
      </w:r>
    </w:p>
    <w:p>
      <w:bookmarkStart w:id="79" w:name="c_do_excl_prior_and_pending_litigation"/>
      <w:r>
        <w:rPr>
          <w:rFonts w:ascii="Georgia" w:hAnsi="Georgia" w:eastAsia="Georgia"/>
          <w:b/>
          <w:i w:val="0"/>
          <w:color w:val="2E5C4E"/>
          <w:sz w:val="25"/>
        </w:rPr>
        <w:t>Prior and Pending Litigation</w:t>
      </w:r>
      <w:bookmarkEnd w:id="79"/>
    </w:p>
    <w:p>
      <w:r>
        <w:rPr>
          <w:b w:val="0"/>
          <w:i w:val="0"/>
        </w:rPr>
        <w:t xml:space="preserve">Claims arising from proceedings pending on or before the Retroactive date, or from substantially the same facts. See </w:t>
      </w:r>
      <w:hyperlink w:anchor="c_do_def_retroactive_date">
        <w:r>
          <w:rPr>
            <w:color w:val="2E5C4E"/>
            <w:u w:val="single"/>
          </w:rPr>
          <w:t xml:space="preserve">the definition of Retroactive date</w:t>
        </w:r>
      </w:hyperlink>
      <w:r>
        <w:rPr>
          <w:b w:val="0"/>
          <w:i w:val="0"/>
        </w:rPr>
        <w:t xml:space="preserve"> for the date that applies where the schedule states “Full Prior Acts”.</w:t>
      </w:r>
    </w:p>
    <w:p>
      <w:bookmarkStart w:id="80" w:name="c_do_excl_bodily_injury_and_property_dam"/>
      <w:r>
        <w:rPr>
          <w:rFonts w:ascii="Georgia" w:hAnsi="Georgia" w:eastAsia="Georgia"/>
          <w:b/>
          <w:i w:val="0"/>
          <w:color w:val="2E5C4E"/>
          <w:sz w:val="25"/>
        </w:rPr>
        <w:t>Bodily Injury and Property Damage</w:t>
      </w:r>
      <w:bookmarkEnd w:id="80"/>
    </w:p>
    <w:p>
      <w:r>
        <w:rPr>
          <w:b w:val="0"/>
          <w:i w:val="0"/>
        </w:rPr>
        <w:t>Death, bodily injury, or physical damage to tangible property — except: (a) mental injury or emotional distress in a Securities claim or Employment claim; (b) defence costs in WHS proceedings; and (c) defence costs in coronial inquests.</w:t>
      </w:r>
    </w:p>
    <w:p>
      <w:bookmarkStart w:id="81" w:name="c_do_excl_professional_services"/>
      <w:r>
        <w:rPr>
          <w:rFonts w:ascii="Georgia" w:hAnsi="Georgia" w:eastAsia="Georgia"/>
          <w:b/>
          <w:i w:val="0"/>
          <w:color w:val="2E5C4E"/>
          <w:sz w:val="25"/>
        </w:rPr>
        <w:t>Professional Services</w:t>
      </w:r>
      <w:bookmarkEnd w:id="81"/>
    </w:p>
    <w:p>
      <w:r>
        <w:rPr>
          <w:b w:val="0"/>
          <w:i w:val="0"/>
        </w:rPr>
        <w:t>Errors or omissions in professional advice or services to third-party clients. Does not apply to governance, oversight, or supervision of the company's professional services business.</w:t>
      </w:r>
    </w:p>
    <w:p>
      <w:bookmarkStart w:id="82" w:name="c_do_excl_product_liability"/>
      <w:r>
        <w:rPr>
          <w:rFonts w:ascii="Georgia" w:hAnsi="Georgia" w:eastAsia="Georgia"/>
          <w:b/>
          <w:i w:val="0"/>
          <w:color w:val="2E5C4E"/>
          <w:sz w:val="25"/>
        </w:rPr>
        <w:t>Product Liability</w:t>
      </w:r>
      <w:bookmarkEnd w:id="82"/>
    </w:p>
    <w:p>
      <w:r>
        <w:rPr>
          <w:b w:val="0"/>
          <w:i w:val="0"/>
        </w:rPr>
        <w:t>Design, manufacture, supply, sale, or distribution of tangible products.</w:t>
      </w:r>
    </w:p>
    <w:p>
      <w:bookmarkStart w:id="83" w:name="c_do_excl_pollution"/>
      <w:r>
        <w:rPr>
          <w:rFonts w:ascii="Georgia" w:hAnsi="Georgia" w:eastAsia="Georgia"/>
          <w:b/>
          <w:i w:val="0"/>
          <w:color w:val="2E5C4E"/>
          <w:sz w:val="25"/>
        </w:rPr>
        <w:t>Pollution</w:t>
      </w:r>
      <w:bookmarkEnd w:id="83"/>
    </w:p>
    <w:p>
      <w:r>
        <w:rPr>
          <w:b w:val="0"/>
          <w:i w:val="0"/>
        </w:rPr>
        <w:t>Pollution or environmental contamination — except: (a) defence costs in environmental proceedings; and (b) an insured person's personal liability for environmental clean-up, to the extent the claim alleges a failure of board-level oversight of the company's environmental compliance or risk management systems, as distinct from the insured person's own day-to-day operational control of the polluting activity. For example: an allegation that the board failed to implement an adequate environmental management system falls within this carve-back; an allegation that the insured person personally directed or carried out the operational discharge does not.</w:t>
      </w:r>
    </w:p>
    <w:p>
      <w:bookmarkStart w:id="84" w:name="c_do_excl_nuclear"/>
      <w:r>
        <w:rPr>
          <w:rFonts w:ascii="Georgia" w:hAnsi="Georgia" w:eastAsia="Georgia"/>
          <w:b/>
          <w:i w:val="0"/>
          <w:color w:val="2E5C4E"/>
          <w:sz w:val="25"/>
        </w:rPr>
        <w:t>Nuclear</w:t>
      </w:r>
      <w:bookmarkEnd w:id="84"/>
    </w:p>
    <w:p>
      <w:r>
        <w:rPr>
          <w:b w:val="0"/>
          <w:i w:val="0"/>
        </w:rPr>
        <w:t xml:space="preserve">Loss directly caused by radioactivity, or by radioactive, nuclear, or ionising-radiation material of any kind, including nuclear fuel, nuclear waste, and nuclear weapons material. (See </w:t>
      </w:r>
      <w:hyperlink w:anchor="c_do_cond_sanctions">
        <w:r>
          <w:rPr>
            <w:color w:val="2E5C4E"/>
            <w:u w:val="single"/>
          </w:rPr>
          <w:t xml:space="preserve">the Sanctions condition</w:t>
        </w:r>
      </w:hyperlink>
      <w:r>
        <w:rPr>
          <w:b w:val="0"/>
          <w:i w:val="0"/>
        </w:rPr>
        <w:t xml:space="preserve"> for the separate, standalone sanctions payment-limitation clause, which applies to all cover under this policy and is not part of this exclusion.)</w:t>
      </w:r>
    </w:p>
    <w:p>
      <w:bookmarkStart w:id="85" w:name="c_do_excl_us_canada_jurisdiction"/>
      <w:r>
        <w:rPr>
          <w:rFonts w:ascii="Georgia" w:hAnsi="Georgia" w:eastAsia="Georgia"/>
          <w:b/>
          <w:i w:val="0"/>
          <w:color w:val="2E5C4E"/>
          <w:sz w:val="25"/>
        </w:rPr>
        <w:t>US / Canada Jurisdiction</w:t>
      </w:r>
      <w:bookmarkEnd w:id="85"/>
    </w:p>
    <w:p>
      <w:r>
        <w:rPr>
          <w:b w:val="0"/>
          <w:i w:val="0"/>
        </w:rPr>
        <w:t xml:space="preserve">Claims brought or maintained in the US or Canada, or to enforce a US/Canada judgment — unless </w:t>
      </w:r>
      <w:hyperlink w:anchor="c_do_end_e01">
        <w:r>
          <w:rPr>
            <w:color w:val="2E5C4E"/>
            <w:u w:val="single"/>
          </w:rPr>
          <w:t xml:space="preserve">the E01 United States / Canada Jurisdiction Extension endorsement</w:t>
        </w:r>
      </w:hyperlink>
      <w:r>
        <w:rPr>
          <w:b w:val="0"/>
          <w:i w:val="0"/>
        </w:rPr>
        <w:t xml:space="preserve"> is operative.</w:t>
      </w:r>
    </w:p>
    <w:p>
      <w:bookmarkStart w:id="86" w:name="c_do_excl_contractual_liability"/>
      <w:r>
        <w:rPr>
          <w:rFonts w:ascii="Georgia" w:hAnsi="Georgia" w:eastAsia="Georgia"/>
          <w:b/>
          <w:i w:val="0"/>
          <w:color w:val="2E5C4E"/>
          <w:sz w:val="25"/>
        </w:rPr>
        <w:t>Contractual Liability</w:t>
      </w:r>
      <w:bookmarkEnd w:id="86"/>
    </w:p>
    <w:p>
      <w:r>
        <w:rPr>
          <w:b w:val="0"/>
          <w:i w:val="0"/>
        </w:rPr>
        <w:t>Liability assumed under contract that exceeds liability at law — except under a deed of indemnity, access, and insurance for directors or officers.</w:t>
      </w:r>
    </w:p>
    <w:p>
      <w:bookmarkStart w:id="87" w:name="c_do_excl_employers_liability"/>
      <w:r>
        <w:rPr>
          <w:rFonts w:ascii="Georgia" w:hAnsi="Georgia" w:eastAsia="Georgia"/>
          <w:b/>
          <w:i w:val="0"/>
          <w:color w:val="2E5C4E"/>
          <w:sz w:val="25"/>
        </w:rPr>
        <w:t>Employer's Liability</w:t>
      </w:r>
      <w:bookmarkEnd w:id="87"/>
    </w:p>
    <w:p>
      <w:r>
        <w:rPr>
          <w:b w:val="0"/>
          <w:i w:val="0"/>
        </w:rPr>
        <w:t xml:space="preserve">This policy does not cover an Employment claim, except: (a) to the extent cover is preserved for an insured person under paragraph (e) of </w:t>
      </w:r>
      <w:hyperlink w:anchor="c_do_excl_insured_versus_insured">
        <w:r>
          <w:rPr>
            <w:color w:val="2E5C4E"/>
            <w:u w:val="single"/>
          </w:rPr>
          <w:t xml:space="preserve">the Insured Versus Insured exclusion</w:t>
        </w:r>
      </w:hyperlink>
      <w:r>
        <w:rPr>
          <w:b w:val="0"/>
          <w:i w:val="0"/>
        </w:rPr>
        <w:t xml:space="preserve"> or paragraph (a) of </w:t>
      </w:r>
      <w:hyperlink w:anchor="c_do_excl_bodily_injury_and_property_dam">
        <w:r>
          <w:rPr>
            <w:color w:val="2E5C4E"/>
            <w:u w:val="single"/>
          </w:rPr>
          <w:t xml:space="preserve">the Bodily Injury and Property Damage exclusion</w:t>
        </w:r>
      </w:hyperlink>
      <w:r>
        <w:rPr>
          <w:b w:val="0"/>
          <w:i w:val="0"/>
        </w:rPr>
        <w:t xml:space="preserve">; or (b) to the extent </w:t>
      </w:r>
      <w:hyperlink w:anchor="c_do_end_e13">
        <w:r>
          <w:rPr>
            <w:color w:val="2E5C4E"/>
            <w:u w:val="single"/>
          </w:rPr>
          <w:t xml:space="preserve">the E13 Employment Practices Liability (EPL) endorsement</w:t>
        </w:r>
      </w:hyperlink>
      <w:r>
        <w:rPr>
          <w:b w:val="0"/>
          <w:i w:val="0"/>
        </w:rPr>
        <w:t xml:space="preserve"> is shown as operative in the schedule, in which case the Relationship to the Employer's Liability Exclusion paragraph of </w:t>
      </w:r>
      <w:hyperlink w:anchor="c_do_end_e13">
        <w:r>
          <w:rPr>
            <w:color w:val="2E5C4E"/>
            <w:u w:val="single"/>
          </w:rPr>
          <w:t xml:space="preserve">the E13 Employment Practices Liability (EPL) endorsement</w:t>
        </w:r>
      </w:hyperlink>
      <w:r>
        <w:rPr>
          <w:b w:val="0"/>
          <w:i w:val="0"/>
        </w:rPr>
        <w:t xml:space="preserve"> governs the relationship between this exclusion and that endorsement.</w:t>
      </w:r>
    </w:p>
    <w:p>
      <w:r>
        <w:rPr>
          <w:b w:val="0"/>
          <w:i w:val="0"/>
        </w:rPr>
        <w:t xml:space="preserve">This is a management liability / EPL exposure. Broader cover — including cover for the company itself, and cover for third-party discrimination claims — is available only via </w:t>
      </w:r>
      <w:hyperlink w:anchor="c_do_end_e13">
        <w:r>
          <w:rPr>
            <w:color w:val="2E5C4E"/>
            <w:u w:val="single"/>
          </w:rPr>
          <w:t xml:space="preserve">the E13 Employment Practices Liability (EPL) endorsement</w:t>
        </w:r>
      </w:hyperlink>
      <w:r>
        <w:rPr>
          <w:b w:val="0"/>
          <w:i w:val="0"/>
        </w:rPr>
        <w:t>.</w:t>
      </w:r>
    </w:p>
    <w:p>
      <w:bookmarkStart w:id="88" w:name="c_do_excl_major_transaction_ipo"/>
      <w:r>
        <w:rPr>
          <w:rFonts w:ascii="Georgia" w:hAnsi="Georgia" w:eastAsia="Georgia"/>
          <w:b/>
          <w:i w:val="0"/>
          <w:color w:val="2E5C4E"/>
          <w:sz w:val="25"/>
        </w:rPr>
        <w:t>Major Transaction — IPO</w:t>
      </w:r>
      <w:bookmarkEnd w:id="88"/>
    </w:p>
    <w:p>
      <w:r>
        <w:rPr>
          <w:b w:val="0"/>
          <w:i w:val="0"/>
        </w:rPr>
        <w:t xml:space="preserve">Claims arising from the company's initial public offering — unless a separate IPO policy is in place or the IPO occurred before the Retroactive date. Subsequent capital raisings and continuous disclosure obligations post-listing are covered. See </w:t>
      </w:r>
      <w:hyperlink w:anchor="c_do_def_retroactive_date">
        <w:r>
          <w:rPr>
            <w:color w:val="2E5C4E"/>
            <w:u w:val="single"/>
          </w:rPr>
          <w:t xml:space="preserve">the definition of Retroactive date</w:t>
        </w:r>
      </w:hyperlink>
      <w:r>
        <w:rPr>
          <w:b w:val="0"/>
          <w:i w:val="0"/>
        </w:rPr>
        <w:t xml:space="preserve"> for the date that applies where the schedule states “Full Prior Acts”.</w:t>
      </w:r>
    </w:p>
    <w:p>
      <w:bookmarkStart w:id="89" w:name="c_do_section_payment"/>
      <w:r>
        <w:rPr>
          <w:rFonts w:ascii="Georgia" w:hAnsi="Georgia" w:eastAsia="Georgia"/>
          <w:b/>
          <w:i w:val="0"/>
          <w:color w:val="1C1915"/>
          <w:sz w:val="32"/>
        </w:rPr>
        <w:t>How Much We Will Pay</w:t>
      </w:r>
      <w:bookmarkEnd w:id="89"/>
    </w:p>
    <w:p>
      <w:bookmarkStart w:id="90" w:name="c_do_pay_limits_architecture"/>
      <w:r>
        <w:rPr>
          <w:rFonts w:ascii="Georgia" w:hAnsi="Georgia" w:eastAsia="Georgia"/>
          <w:b/>
          <w:i w:val="0"/>
          <w:color w:val="2E5C4E"/>
          <w:sz w:val="25"/>
        </w:rPr>
        <w:t>Limits — Architecture</w:t>
      </w:r>
      <w:bookmarkEnd w:id="90"/>
    </w:p>
    <w:p>
      <w:r>
        <w:rPr>
          <w:b w:val="0"/>
          <w:i w:val="0"/>
        </w:rPr>
        <w:t>(a) Each Side has its own per-claim and aggregate limit as shown in Items 3(a)–(f) of the schedule.</w:t>
      </w:r>
    </w:p>
    <w:p>
      <w:r>
        <w:rPr>
          <w:b w:val="0"/>
          <w:i w:val="0"/>
        </w:rPr>
        <w:t>(b) The Overall Aggregate (Item 3(g)) is the total most we will pay under this policy, across all Sides combined, in the policy period. It operates as a shared cap: the individual Side aggregates in Items 3(b), (d) and (f) are sub-caps within the Overall Aggregate, not additional to it, and amounts paid or payable under one Side reduce the Overall Aggregate available to the others.</w:t>
      </w:r>
    </w:p>
    <w:p>
      <w:bookmarkStart w:id="91" w:name="c_do_pay_priority_of_payment"/>
      <w:r>
        <w:rPr>
          <w:rFonts w:ascii="Georgia" w:hAnsi="Georgia" w:eastAsia="Georgia"/>
          <w:b/>
          <w:i w:val="0"/>
          <w:color w:val="2E5C4E"/>
          <w:sz w:val="25"/>
        </w:rPr>
        <w:t>Priority of Payment</w:t>
      </w:r>
      <w:bookmarkEnd w:id="91"/>
    </w:p>
    <w:p>
      <w:r>
        <w:rPr>
          <w:b w:val="0"/>
          <w:i w:val="0"/>
        </w:rPr>
        <w:t xml:space="preserve">If the limit of liability is or may be insufficient — including because the shared Overall Aggregate under paragraph (b) of </w:t>
      </w:r>
      <w:hyperlink w:anchor="c_do_pay_limits_architecture">
        <w:r>
          <w:rPr>
            <w:color w:val="2E5C4E"/>
            <w:u w:val="single"/>
          </w:rPr>
          <w:t xml:space="preserve">the Limits — Architecture provision</w:t>
        </w:r>
      </w:hyperlink>
      <w:r>
        <w:rPr>
          <w:b w:val="0"/>
          <w:i w:val="0"/>
        </w:rPr>
        <w:t xml:space="preserve"> is or may be insufficient — we pay in this order:</w:t>
      </w:r>
    </w:p>
    <w:p>
      <w:r>
        <w:rPr>
          <w:b w:val="0"/>
          <w:i w:val="0"/>
        </w:rPr>
        <w:t>First priority: Side A — personal non-indemnifiable loss and defence costs of insured persons.</w:t>
      </w:r>
    </w:p>
    <w:p>
      <w:r>
        <w:rPr>
          <w:b w:val="0"/>
          <w:i w:val="0"/>
        </w:rPr>
        <w:t>Second priority: Side B — reimbursement of the company for indemnifiable loss.</w:t>
      </w:r>
    </w:p>
    <w:p>
      <w:r>
        <w:rPr>
          <w:b w:val="0"/>
          <w:i w:val="0"/>
        </w:rPr>
        <w:t>Third priority: Side C — entity cover loss for securities claims.</w:t>
      </w:r>
    </w:p>
    <w:p>
      <w:r>
        <w:rPr>
          <w:b w:val="0"/>
          <w:i w:val="0"/>
        </w:rPr>
        <w:t xml:space="preserve">Loss paid under an endorsement sub-limit (for example </w:t>
      </w:r>
      <w:hyperlink w:anchor="c_do_end_e12">
        <w:r>
          <w:rPr>
            <w:color w:val="2E5C4E"/>
            <w:u w:val="single"/>
          </w:rPr>
          <w:t xml:space="preserve">the E12 Outside Directorship Liability (ODL) endorsement</w:t>
        </w:r>
      </w:hyperlink>
      <w:r>
        <w:rPr>
          <w:b w:val="0"/>
          <w:i w:val="0"/>
        </w:rPr>
        <w:t xml:space="preserve"> or </w:t>
      </w:r>
      <w:hyperlink w:anchor="c_do_end_e13">
        <w:r>
          <w:rPr>
            <w:color w:val="2E5C4E"/>
            <w:u w:val="single"/>
          </w:rPr>
          <w:t xml:space="preserve">the E13 Employment Practices Liability (EPL) endorsement</w:t>
        </w:r>
      </w:hyperlink>
      <w:r>
        <w:rPr>
          <w:b w:val="0"/>
          <w:i w:val="0"/>
        </w:rPr>
        <w:t>) ranks with the Side under which that loss would otherwise be paid, and is part of the Overall Aggregate, not in addition to it.</w:t>
      </w:r>
    </w:p>
    <w:p>
      <w:r>
        <w:rPr>
          <w:b w:val="0"/>
          <w:i w:val="0"/>
        </w:rPr>
        <w:t>Within a priority, we pay claims in the order in which they are finally agreed or determined, and we pay defence costs as they are incurred. If we pay loss in good faith in that order, we are discharged to the extent of each payment, even if a later claim then cannot be paid in full because the limit has been used up. We will not delay a payment at a higher priority because a claim at a lower priority is, or may be, made.</w:t>
      </w:r>
    </w:p>
    <w:p>
      <w:bookmarkStart w:id="92" w:name="c_do_pay_defence_costs"/>
      <w:r>
        <w:rPr>
          <w:rFonts w:ascii="Georgia" w:hAnsi="Georgia" w:eastAsia="Georgia"/>
          <w:b/>
          <w:i w:val="0"/>
          <w:color w:val="2E5C4E"/>
          <w:sz w:val="25"/>
        </w:rPr>
        <w:t>Defence Costs</w:t>
      </w:r>
      <w:bookmarkEnd w:id="92"/>
    </w:p>
    <w:p>
      <w:r>
        <w:rPr>
          <w:b w:val="0"/>
          <w:i w:val="0"/>
        </w:rPr>
        <w:t>Defence costs are included within the limit of liability unless the schedule states they are in addition.</w:t>
      </w:r>
    </w:p>
    <w:p>
      <w:bookmarkStart w:id="93" w:name="c_do_pay_allocation"/>
      <w:r>
        <w:rPr>
          <w:rFonts w:ascii="Georgia" w:hAnsi="Georgia" w:eastAsia="Georgia"/>
          <w:b/>
          <w:i w:val="0"/>
          <w:color w:val="2E5C4E"/>
          <w:sz w:val="25"/>
        </w:rPr>
        <w:t>Allocation</w:t>
      </w:r>
      <w:bookmarkEnd w:id="93"/>
    </w:p>
    <w:p>
      <w:r>
        <w:rPr>
          <w:b w:val="0"/>
          <w:i w:val="0"/>
        </w:rPr>
        <w:t>If a claim involves covered and uncovered matters or parties, we will agree a fair allocation. The allocation is made by reference to the relative legal and financial exposure of the covered and the uncovered matters and parties. If we cannot agree, a senior counsel agreed by both parties (or appointed by the President of the relevant Law Society) will determine allocation.</w:t>
      </w:r>
    </w:p>
    <w:p>
      <w:r>
        <w:rPr>
          <w:b w:val="0"/>
          <w:i w:val="0"/>
        </w:rPr>
        <w:t>We advance defence costs for the covered portion pending allocation.</w:t>
      </w:r>
    </w:p>
    <w:p>
      <w:bookmarkStart w:id="94" w:name="c_do_pay_other_insurance"/>
      <w:r>
        <w:rPr>
          <w:rFonts w:ascii="Georgia" w:hAnsi="Georgia" w:eastAsia="Georgia"/>
          <w:b/>
          <w:i w:val="0"/>
          <w:color w:val="2E5C4E"/>
          <w:sz w:val="25"/>
        </w:rPr>
        <w:t>Other Insurance</w:t>
      </w:r>
      <w:bookmarkEnd w:id="94"/>
    </w:p>
    <w:p>
      <w:r>
        <w:rPr>
          <w:b w:val="0"/>
          <w:i w:val="0"/>
        </w:rPr>
        <w:t>If a loss covered by this policy is also covered by another insurance policy, we will not refuse or reduce our payment because of that other insurance. We may seek contribution from the other insurer as the law allows. This does not apply where the schedule or an endorsement states that this policy is excess of a specified underlying policy, in which case this policy pays only after the limit of that specified policy is exhausted.</w:t>
      </w:r>
    </w:p>
    <w:p>
      <w:bookmarkStart w:id="95" w:name="c_do_section_obligations"/>
      <w:r>
        <w:rPr>
          <w:rFonts w:ascii="Georgia" w:hAnsi="Georgia" w:eastAsia="Georgia"/>
          <w:b/>
          <w:i w:val="0"/>
          <w:color w:val="1C1915"/>
          <w:sz w:val="32"/>
        </w:rPr>
        <w:t>Your Obligations</w:t>
      </w:r>
      <w:bookmarkEnd w:id="95"/>
    </w:p>
    <w:p>
      <w:bookmarkStart w:id="96" w:name="c_do_obl_notify_claims"/>
      <w:r>
        <w:rPr>
          <w:rFonts w:ascii="Georgia" w:hAnsi="Georgia" w:eastAsia="Georgia"/>
          <w:b/>
          <w:i w:val="0"/>
          <w:color w:val="2E5C4E"/>
          <w:sz w:val="25"/>
        </w:rPr>
        <w:t>Notify Claims</w:t>
      </w:r>
      <w:bookmarkEnd w:id="96"/>
    </w:p>
    <w:p>
      <w:r>
        <w:rPr>
          <w:b w:val="0"/>
          <w:i w:val="0"/>
        </w:rPr>
        <w:t xml:space="preserve">Tell us in writing as soon as reasonably practicable. For securities claims, within 10 business days. (See </w:t>
      </w:r>
      <w:hyperlink w:anchor="c_do_cond_insurance_contracts_act_1984_c">
        <w:r>
          <w:rPr>
            <w:color w:val="2E5C4E"/>
            <w:u w:val="single"/>
          </w:rPr>
          <w:t xml:space="preserve">the Insurance Contracts Act 1984 (Cth) condition</w:t>
        </w:r>
      </w:hyperlink>
      <w:r>
        <w:rPr>
          <w:b w:val="0"/>
          <w:i w:val="0"/>
        </w:rPr>
        <w:t xml:space="preserve"> for the Insurance Contracts Act 1984 (Cth) savings clause that applies to this obligation, including section 54.)</w:t>
      </w:r>
    </w:p>
    <w:p>
      <w:bookmarkStart w:id="97" w:name="c_do_obl_notify_circumstances"/>
      <w:r>
        <w:rPr>
          <w:rFonts w:ascii="Georgia" w:hAnsi="Georgia" w:eastAsia="Georgia"/>
          <w:b/>
          <w:i w:val="0"/>
          <w:color w:val="2E5C4E"/>
          <w:sz w:val="25"/>
        </w:rPr>
        <w:t>Notify Circumstances</w:t>
      </w:r>
      <w:bookmarkEnd w:id="97"/>
    </w:p>
    <w:p>
      <w:r>
        <w:rPr>
          <w:b w:val="0"/>
          <w:i w:val="0"/>
        </w:rPr>
        <w:t xml:space="preserve">Tell us during the policy period of any circumstance that might reasonably give rise to a claim. Later claims arising from notified circumstances are treated as made during this policy period. This clause implements section 40(3) of the Insurance Contracts Act 1984 (Cth) — see also </w:t>
      </w:r>
      <w:hyperlink w:anchor="c_do_cond_insurance_contracts_act_1984_c">
        <w:r>
          <w:rPr>
            <w:color w:val="2E5C4E"/>
            <w:u w:val="single"/>
          </w:rPr>
          <w:t xml:space="preserve">the Insurance Contracts Act 1984 (Cth) condition</w:t>
        </w:r>
      </w:hyperlink>
      <w:r>
        <w:rPr>
          <w:b w:val="0"/>
          <w:i w:val="0"/>
        </w:rPr>
        <w:t>.</w:t>
      </w:r>
    </w:p>
    <w:p>
      <w:r>
        <w:rPr>
          <w:b w:val="0"/>
          <w:i w:val="0"/>
        </w:rPr>
        <w:t>Examples: Media alleging non-disclosure. Investigation or ASX inquiry about disclosure practices. Significant share price drop following announcements. Shareholders engaging litigation funders. Personal notice from a regulator. Internal investigation into misconduct.</w:t>
      </w:r>
    </w:p>
    <w:p>
      <w:bookmarkStart w:id="98" w:name="c_do_obl_do_not_admit_liability"/>
      <w:r>
        <w:rPr>
          <w:rFonts w:ascii="Georgia" w:hAnsi="Georgia" w:eastAsia="Georgia"/>
          <w:b/>
          <w:i w:val="0"/>
          <w:color w:val="2E5C4E"/>
          <w:sz w:val="25"/>
        </w:rPr>
        <w:t>Do Not Admit Liability</w:t>
      </w:r>
      <w:bookmarkEnd w:id="98"/>
    </w:p>
    <w:p>
      <w:r>
        <w:rPr>
          <w:b w:val="0"/>
          <w:i w:val="0"/>
        </w:rPr>
        <w:t xml:space="preserve">No insured should admit liability or settle without our written consent. Consent not unreasonably withheld. (See </w:t>
      </w:r>
      <w:hyperlink w:anchor="c_do_cond_insurance_contracts_act_1984_c">
        <w:r>
          <w:rPr>
            <w:color w:val="2E5C4E"/>
            <w:u w:val="single"/>
          </w:rPr>
          <w:t xml:space="preserve">the Insurance Contracts Act 1984 (Cth) condition</w:t>
        </w:r>
      </w:hyperlink>
      <w:r>
        <w:rPr>
          <w:b w:val="0"/>
          <w:i w:val="0"/>
        </w:rPr>
        <w:t xml:space="preserve"> for the Insurance Contracts Act 1984 (Cth) savings clause that applies to this obligation, including section 54.)</w:t>
      </w:r>
    </w:p>
    <w:p>
      <w:bookmarkStart w:id="99" w:name="c_do_obl_cooperate"/>
      <w:r>
        <w:rPr>
          <w:rFonts w:ascii="Georgia" w:hAnsi="Georgia" w:eastAsia="Georgia"/>
          <w:b/>
          <w:i w:val="0"/>
          <w:color w:val="2E5C4E"/>
          <w:sz w:val="25"/>
        </w:rPr>
        <w:t>Cooperate</w:t>
      </w:r>
      <w:bookmarkEnd w:id="99"/>
    </w:p>
    <w:p>
      <w:r>
        <w:rPr>
          <w:b w:val="0"/>
          <w:i w:val="0"/>
        </w:rPr>
        <w:t xml:space="preserve">Provide all information and assistance we reasonably need. (See </w:t>
      </w:r>
      <w:hyperlink w:anchor="c_do_cond_insurance_contracts_act_1984_c">
        <w:r>
          <w:rPr>
            <w:color w:val="2E5C4E"/>
            <w:u w:val="single"/>
          </w:rPr>
          <w:t xml:space="preserve">the Insurance Contracts Act 1984 (Cth) condition</w:t>
        </w:r>
      </w:hyperlink>
      <w:r>
        <w:rPr>
          <w:b w:val="0"/>
          <w:i w:val="0"/>
        </w:rPr>
        <w:t xml:space="preserve"> for the Insurance Contracts Act 1984 (Cth) savings clause that applies to this obligation, including section 54.)</w:t>
      </w:r>
    </w:p>
    <w:p>
      <w:bookmarkStart w:id="100" w:name="c_do_obl_selection_of_defence_counsel"/>
      <w:r>
        <w:rPr>
          <w:rFonts w:ascii="Georgia" w:hAnsi="Georgia" w:eastAsia="Georgia"/>
          <w:b/>
          <w:i w:val="0"/>
          <w:color w:val="2E5C4E"/>
          <w:sz w:val="25"/>
        </w:rPr>
        <w:t>Selection of Defence Counsel</w:t>
      </w:r>
      <w:bookmarkEnd w:id="100"/>
    </w:p>
    <w:p>
      <w:r>
        <w:rPr>
          <w:b w:val="0"/>
          <w:i w:val="0"/>
        </w:rPr>
        <w:t>Side A and Side B claims: The insured person may select their own defence counsel, subject to our consent (not unreasonably withheld). For securities claims, we may recommend specialist securities litigation counsel but will not impose counsel against the insured person's wishes.</w:t>
      </w:r>
    </w:p>
    <w:p>
      <w:r>
        <w:rPr>
          <w:b w:val="0"/>
          <w:i w:val="0"/>
        </w:rPr>
        <w:t>Side C claims: We have the right to select and direct defence counsel for the company, in consultation with the company's management.</w:t>
      </w:r>
    </w:p>
    <w:p>
      <w:r>
        <w:rPr>
          <w:b w:val="0"/>
          <w:i w:val="0"/>
        </w:rPr>
        <w:t>Where a claim involves both insured persons and the company, and a conflict of interest arises, we will fund separate representation for each conflicted party.</w:t>
      </w:r>
    </w:p>
    <w:p>
      <w:bookmarkStart w:id="101" w:name="c_do_obl_settlement"/>
      <w:r>
        <w:rPr>
          <w:rFonts w:ascii="Georgia" w:hAnsi="Georgia" w:eastAsia="Georgia"/>
          <w:b/>
          <w:i w:val="0"/>
          <w:color w:val="2E5C4E"/>
          <w:sz w:val="25"/>
        </w:rPr>
        <w:t>Settlement</w:t>
      </w:r>
      <w:bookmarkEnd w:id="101"/>
    </w:p>
    <w:p>
      <w:r>
        <w:rPr>
          <w:b w:val="0"/>
          <w:i w:val="0"/>
        </w:rPr>
        <w:t>We will not settle any claim without the consent of the relevant insured person if the settlement involves an admission of liability or wrongdoing by that insured person, or imposes non-monetary obligations on them. For monetary-only settlements, we may settle with the insured's consent, not unreasonably withheld.</w:t>
      </w:r>
    </w:p>
    <w:p>
      <w:bookmarkStart w:id="102" w:name="c_do_section_conditions"/>
      <w:r>
        <w:rPr>
          <w:rFonts w:ascii="Georgia" w:hAnsi="Georgia" w:eastAsia="Georgia"/>
          <w:b/>
          <w:i w:val="0"/>
          <w:color w:val="1C1915"/>
          <w:sz w:val="32"/>
        </w:rPr>
        <w:t>General Conditions</w:t>
      </w:r>
      <w:bookmarkEnd w:id="102"/>
    </w:p>
    <w:p>
      <w:bookmarkStart w:id="103" w:name="c_do_cond_severability_and_non_imputatio"/>
      <w:r>
        <w:rPr>
          <w:rFonts w:ascii="Georgia" w:hAnsi="Georgia" w:eastAsia="Georgia"/>
          <w:b/>
          <w:i w:val="0"/>
          <w:color w:val="2E5C4E"/>
          <w:sz w:val="25"/>
        </w:rPr>
        <w:t>Severability and Non-Imputation</w:t>
      </w:r>
      <w:bookmarkEnd w:id="103"/>
    </w:p>
    <w:p>
      <w:r>
        <w:rPr>
          <w:b w:val="0"/>
          <w:i w:val="0"/>
        </w:rPr>
        <w:t xml:space="preserve">Each insured person is treated as if they have their own separate policy. Conduct and knowledge are not attributed between insured persons. This applies to every exclusion, condition and obligation in this policy that turns on what an insured person knew, did or failed to do, including </w:t>
      </w:r>
      <w:hyperlink w:anchor="c_do_excl_dishonesty_and_fraud">
        <w:r>
          <w:rPr>
            <w:color w:val="2E5C4E"/>
            <w:u w:val="single"/>
          </w:rPr>
          <w:t xml:space="preserve">the Dishonesty and Fraud exclusion</w:t>
        </w:r>
      </w:hyperlink>
      <w:r>
        <w:rPr>
          <w:b w:val="0"/>
          <w:i w:val="0"/>
        </w:rPr>
        <w:t xml:space="preserve">, </w:t>
      </w:r>
      <w:hyperlink w:anchor="c_do_excl_personal_profit_and_illegal_re">
        <w:r>
          <w:rPr>
            <w:color w:val="2E5C4E"/>
            <w:u w:val="single"/>
          </w:rPr>
          <w:t xml:space="preserve">the Personal Profit and Illegal Remuneration exclusion</w:t>
        </w:r>
      </w:hyperlink>
      <w:r>
        <w:rPr>
          <w:b w:val="0"/>
          <w:i w:val="0"/>
        </w:rPr>
        <w:t xml:space="preserve">, </w:t>
      </w:r>
      <w:hyperlink w:anchor="c_do_excl_insured_versus_insured">
        <w:r>
          <w:rPr>
            <w:color w:val="2E5C4E"/>
            <w:u w:val="single"/>
          </w:rPr>
          <w:t xml:space="preserve">the Insured Versus Insured exclusion</w:t>
        </w:r>
      </w:hyperlink>
      <w:r>
        <w:rPr>
          <w:b w:val="0"/>
          <w:i w:val="0"/>
        </w:rPr>
        <w:t xml:space="preserve">, </w:t>
      </w:r>
      <w:hyperlink w:anchor="c_do_excl_prior_known_matters">
        <w:r>
          <w:rPr>
            <w:color w:val="2E5C4E"/>
            <w:u w:val="single"/>
          </w:rPr>
          <w:t xml:space="preserve">the Prior Known Matters exclusion</w:t>
        </w:r>
      </w:hyperlink>
      <w:r>
        <w:rPr>
          <w:b w:val="0"/>
          <w:i w:val="0"/>
        </w:rPr>
        <w:t xml:space="preserve"> and </w:t>
      </w:r>
      <w:hyperlink w:anchor="c_do_cond_duty_of_disclosure">
        <w:r>
          <w:rPr>
            <w:color w:val="2E5C4E"/>
            <w:u w:val="single"/>
          </w:rPr>
          <w:t xml:space="preserve">the Duty of Disclosure condition</w:t>
        </w:r>
      </w:hyperlink>
      <w:r>
        <w:rPr>
          <w:b w:val="0"/>
          <w:i w:val="0"/>
        </w:rPr>
        <w:t>.</w:t>
      </w:r>
    </w:p>
    <w:p>
      <w:r>
        <w:rPr>
          <w:b w:val="0"/>
          <w:i w:val="0"/>
        </w:rPr>
        <w:t>Side B pays the company for an insured person's loss. Whether an exclusion applies to that loss is decided by the conduct and knowledge of that insured person only, and not by the conduct or knowledge of the company or of any other insured person.</w:t>
      </w:r>
    </w:p>
    <w:p>
      <w:r>
        <w:rPr>
          <w:b w:val="0"/>
          <w:i w:val="0"/>
        </w:rPr>
        <w:t xml:space="preserve">For Side C, and for the company's duty of disclosure, what the company knew means what was known to a member of the control group (see </w:t>
      </w:r>
      <w:hyperlink w:anchor="c_do_def_control_group">
        <w:r>
          <w:rPr>
            <w:color w:val="2E5C4E"/>
            <w:u w:val="single"/>
          </w:rPr>
          <w:t xml:space="preserve">the definition of Control group</w:t>
        </w:r>
      </w:hyperlink>
      <w:r>
        <w:rPr>
          <w:b w:val="0"/>
          <w:i w:val="0"/>
        </w:rPr>
        <w:t>). The knowledge or conduct of a member of the control group is not attributed to any other insured person.</w:t>
      </w:r>
    </w:p>
    <w:p>
      <w:bookmarkStart w:id="104" w:name="c_do_cond_non_avoidance_side_a"/>
      <w:r>
        <w:rPr>
          <w:rFonts w:ascii="Georgia" w:hAnsi="Georgia" w:eastAsia="Georgia"/>
          <w:b/>
          <w:i w:val="0"/>
          <w:color w:val="2E5C4E"/>
          <w:sz w:val="25"/>
        </w:rPr>
        <w:t>Non-Avoidance (Side A)</w:t>
      </w:r>
      <w:bookmarkEnd w:id="104"/>
    </w:p>
    <w:p>
      <w:r>
        <w:rPr>
          <w:b w:val="0"/>
          <w:i w:val="0"/>
        </w:rPr>
        <w:t>We will not exercise any right to avoid this policy in relation to Side A cover, for any reason (including non-disclosure or misrepresentation), except where the specific insured person seeking cover personally committed fraudulent non-disclosure or fraudulent misrepresentation, within the meaning of sections 26 and 28 of the Insurance Contracts Act 1984 (Cth).</w:t>
      </w:r>
    </w:p>
    <w:p>
      <w:r>
        <w:rPr>
          <w:b w:val="0"/>
          <w:i w:val="0"/>
        </w:rPr>
        <w:t>We also waive, in relation to Side A cover, any right we may otherwise have under section 28(3) of that Act to reduce our liability on account of an innocent, non-fraudulent non-disclosure or misrepresentation — whether that of the company, the relevant insured person, or another insured person.</w:t>
      </w:r>
    </w:p>
    <w:p>
      <w:r>
        <w:rPr>
          <w:b w:val="0"/>
          <w:i w:val="0"/>
        </w:rPr>
        <w:t>An innocent director cannot lose Side A cover, and cannot have it reduced, because of someone else's non-disclosure or misrepresentation, or their own innocent non-disclosure or misrepresentation.</w:t>
      </w:r>
    </w:p>
    <w:p>
      <w:bookmarkStart w:id="105" w:name="c_do_cond_continuous_cover"/>
      <w:r>
        <w:rPr>
          <w:rFonts w:ascii="Georgia" w:hAnsi="Georgia" w:eastAsia="Georgia"/>
          <w:b/>
          <w:i w:val="0"/>
          <w:color w:val="2E5C4E"/>
          <w:sz w:val="25"/>
        </w:rPr>
        <w:t>Continuous Cover</w:t>
      </w:r>
      <w:bookmarkEnd w:id="105"/>
    </w:p>
    <w:p>
      <w:r>
        <w:rPr>
          <w:b w:val="0"/>
          <w:i w:val="0"/>
        </w:rPr>
        <w:t>If a claim arises from a wrongful act that should have been notified under a previous D&amp;O policy and was not known at the time, and continuous cover has been maintained since the Continuity date shown in Item 6 of the schedule, we will cover the claim under this policy's terms and limits — provided that our liability for that claim does not exceed the lower of this policy's limit of liability and the limit of liability that was available under the previous D&amp;O policy, and is subject to any term of either policy that is less favourable to the insured.</w:t>
      </w:r>
    </w:p>
    <w:p>
      <w:bookmarkStart w:id="106" w:name="c_do_cond_discovery_period"/>
      <w:r>
        <w:rPr>
          <w:rFonts w:ascii="Georgia" w:hAnsi="Georgia" w:eastAsia="Georgia"/>
          <w:b/>
          <w:i w:val="0"/>
          <w:color w:val="2E5C4E"/>
          <w:sz w:val="25"/>
        </w:rPr>
        <w:t>Discovery Period</w:t>
      </w:r>
      <w:bookmarkEnd w:id="106"/>
    </w:p>
    <w:p>
      <w:r>
        <w:rPr>
          <w:b w:val="0"/>
          <w:i w:val="0"/>
        </w:rPr>
        <w:t>If this policy is not renewed, or is cancelled, other than by us for non-payment of premium, there is an automatic discovery period of 90 days after the end of the policy period. During it, each insured may notify claims first made in that period for wrongful acts committed before the end of the policy period.</w:t>
      </w:r>
    </w:p>
    <w:p>
      <w:r>
        <w:rPr>
          <w:b w:val="0"/>
          <w:i w:val="0"/>
        </w:rPr>
        <w:t xml:space="preserve">A longer discovery period of 12, 24, 36, 72 or 84 months, or for life, is available under </w:t>
      </w:r>
      <w:hyperlink w:anchor="c_do_end_e06">
        <w:r>
          <w:rPr>
            <w:color w:val="2E5C4E"/>
            <w:u w:val="single"/>
          </w:rPr>
          <w:t xml:space="preserve">the E06 Extended Discovery Period endorsement</w:t>
        </w:r>
      </w:hyperlink>
      <w:r>
        <w:rPr>
          <w:b w:val="0"/>
          <w:i w:val="0"/>
        </w:rPr>
        <w:t xml:space="preserve"> for the additional premium shown in the schedule. It must be requested within 30 days after the policy ends or is cancelled.</w:t>
      </w:r>
    </w:p>
    <w:p>
      <w:bookmarkStart w:id="107" w:name="c_do_cond_cancellation"/>
      <w:r>
        <w:rPr>
          <w:rFonts w:ascii="Georgia" w:hAnsi="Georgia" w:eastAsia="Georgia"/>
          <w:b/>
          <w:i w:val="0"/>
          <w:color w:val="2E5C4E"/>
          <w:sz w:val="25"/>
        </w:rPr>
        <w:t>Cancellation</w:t>
      </w:r>
      <w:bookmarkEnd w:id="107"/>
    </w:p>
    <w:p>
      <w:r>
        <w:rPr>
          <w:b w:val="0"/>
          <w:i w:val="0"/>
        </w:rPr>
        <w:t>The company may cancel this policy at any time by telling us. We refund the premium for the unexpired period of insurance on a pro-rata basis, less any non-refundable government charges.</w:t>
      </w:r>
    </w:p>
    <w:p>
      <w:r>
        <w:rPr>
          <w:b w:val="0"/>
          <w:i w:val="0"/>
        </w:rPr>
        <w:t>We may cancel this policy only as the Insurance Contracts Act 1984 (Cth) allows, by giving the company written notice as that Act requires, and in any event at least 30 days' written notice. Where we are entitled to cancel, we will also give each insured person written notice individually. We refund the premium for the unexpired period on a pro-rata basis.</w:t>
      </w:r>
    </w:p>
    <w:p>
      <w:r>
        <w:rPr>
          <w:b w:val="0"/>
          <w:i w:val="0"/>
        </w:rPr>
        <w:t>Cover already provided for notified claims and notified circumstances is unaffected by cancellation.</w:t>
      </w:r>
    </w:p>
    <w:p>
      <w:bookmarkStart w:id="108" w:name="c_do_cond_corporations_act_199a_199b"/>
      <w:r>
        <w:rPr>
          <w:rFonts w:ascii="Georgia" w:hAnsi="Georgia" w:eastAsia="Georgia"/>
          <w:b/>
          <w:i w:val="0"/>
          <w:color w:val="2E5C4E"/>
          <w:sz w:val="25"/>
        </w:rPr>
        <w:t>Corporations Act 2001 (Cth), sections 199A and 199B</w:t>
      </w:r>
      <w:bookmarkEnd w:id="108"/>
    </w:p>
    <w:p>
      <w:r>
        <w:rPr>
          <w:b w:val="0"/>
          <w:i w:val="0"/>
        </w:rPr>
        <w:t>Section 199A of the Corporations Act 2001 (Cth) limits the liabilities and legal costs for which a company may indemnify its officers. Section 199B prevents a company from paying a premium for insurance that covers an officer against a liability, other than one for legal costs, arising out of conduct involving a wilful breach of duty in relation to the company, or a contravention of section 182 or 183 of that Act.</w:t>
      </w:r>
    </w:p>
    <w:p>
      <w:r>
        <w:rPr>
          <w:b w:val="0"/>
          <w:i w:val="0"/>
        </w:rPr>
        <w:t>To the extent the company pays the premium, this policy does not cover an insured person for a liability, other than legal costs, that section 199B prevents the company from insuring. This does not reduce cover for any other liability, or for legal costs.</w:t>
      </w:r>
    </w:p>
    <w:p>
      <w:r>
        <w:rPr>
          <w:b w:val="0"/>
          <w:i w:val="0"/>
        </w:rPr>
        <w:t xml:space="preserve">Where defence costs are advanced in civil-penalty or criminal proceedings, we advance them and the insured person repays them if a Final adjudication, or a court's finding, establishes conduct that this policy or the law does not allow to be covered. See </w:t>
      </w:r>
      <w:hyperlink w:anchor="c_do_ext_advancement_of_defence_costs">
        <w:r>
          <w:rPr>
            <w:color w:val="2E5C4E"/>
            <w:u w:val="single"/>
          </w:rPr>
          <w:t xml:space="preserve">the Advancement of Defence Costs extension</w:t>
        </w:r>
      </w:hyperlink>
      <w:r>
        <w:rPr>
          <w:b w:val="0"/>
          <w:i w:val="0"/>
        </w:rPr>
        <w:t>.</w:t>
      </w:r>
    </w:p>
    <w:p>
      <w:r>
        <w:rPr>
          <w:b w:val="0"/>
          <w:i w:val="0"/>
        </w:rPr>
        <w:t>[WP REVIEW: confirm this statement of ss 199A and 199B, and whether cover for a liability within s 199B can be provided where the insured person pays the relevant part of the premium.]</w:t>
      </w:r>
    </w:p>
    <w:p>
      <w:bookmarkStart w:id="109" w:name="c_do_cond_duty_of_disclosure"/>
      <w:r>
        <w:rPr>
          <w:rFonts w:ascii="Georgia" w:hAnsi="Georgia" w:eastAsia="Georgia"/>
          <w:b/>
          <w:i w:val="0"/>
          <w:color w:val="2E5C4E"/>
          <w:sz w:val="25"/>
        </w:rPr>
        <w:t>Duty of Disclosure</w:t>
      </w:r>
      <w:bookmarkEnd w:id="109"/>
    </w:p>
    <w:p>
      <w:r>
        <w:rPr>
          <w:b w:val="0"/>
          <w:i w:val="0"/>
        </w:rPr>
        <w:t>The company, as the party proposing this contract, has a duty of disclosure under sections 21, 21A, and 22 of the Insurance Contracts Act 1984 (Cth). This is a commercial (non-consumer) contract of insurance: the duty is to disclose to us, before the contract was entered into, every matter known to the company that is relevant to our decision to accept the risk and on what terms.</w:t>
      </w:r>
    </w:p>
    <w:p>
      <w:r>
        <w:rPr>
          <w:b w:val="0"/>
          <w:i w:val="0"/>
        </w:rPr>
        <w:t xml:space="preserve">As between us and each insured person, disclosure-related consequences are assessed individually — a contractual mechanism consistent with the severability provisions in </w:t>
      </w:r>
      <w:hyperlink w:anchor="c_do_cond_severability_and_non_imputatio">
        <w:r>
          <w:rPr>
            <w:color w:val="2E5C4E"/>
            <w:u w:val="single"/>
          </w:rPr>
          <w:t xml:space="preserve">the Severability and Non-Imputation condition</w:t>
        </w:r>
      </w:hyperlink>
      <w:r>
        <w:rPr>
          <w:b w:val="0"/>
          <w:i w:val="0"/>
        </w:rPr>
        <w:t xml:space="preserve"> — so that the company's non-fraudulent failure to disclose does not itself deprive an innocent insured person of cover under Side A (see </w:t>
      </w:r>
      <w:hyperlink w:anchor="c_do_cond_non_avoidance_side_a">
        <w:r>
          <w:rPr>
            <w:color w:val="2E5C4E"/>
            <w:u w:val="single"/>
          </w:rPr>
          <w:t xml:space="preserve">the Non-Avoidance (Side A) condition</w:t>
        </w:r>
      </w:hyperlink>
      <w:r>
        <w:rPr>
          <w:b w:val="0"/>
          <w:i w:val="0"/>
        </w:rPr>
        <w:t>). This is a contractual mechanism, not an assertion that each insured person separately owes the statutory duty of disclosure under the Act.</w:t>
      </w:r>
    </w:p>
    <w:p>
      <w:r>
        <w:rPr>
          <w:b w:val="0"/>
          <w:i w:val="0"/>
        </w:rPr>
        <w:t xml:space="preserve">For this purpose, a matter is known to the company if it is known to a member of the control group (see </w:t>
      </w:r>
      <w:hyperlink w:anchor="c_do_def_control_group">
        <w:r>
          <w:rPr>
            <w:color w:val="2E5C4E"/>
            <w:u w:val="single"/>
          </w:rPr>
          <w:t xml:space="preserve">the definition of Control group</w:t>
        </w:r>
      </w:hyperlink>
      <w:r>
        <w:rPr>
          <w:b w:val="0"/>
          <w:i w:val="0"/>
        </w:rPr>
        <w:t>). [WP REVIEW: confirm that keying the company's knowledge to the control group is consistent with the duty of disclosure under section 21 of the Act.]</w:t>
      </w:r>
    </w:p>
    <w:p>
      <w:bookmarkStart w:id="110" w:name="c_do_cond_governing_law"/>
      <w:r>
        <w:rPr>
          <w:rFonts w:ascii="Georgia" w:hAnsi="Georgia" w:eastAsia="Georgia"/>
          <w:b/>
          <w:i w:val="0"/>
          <w:color w:val="2E5C4E"/>
          <w:sz w:val="25"/>
        </w:rPr>
        <w:t>Governing Law</w:t>
      </w:r>
      <w:bookmarkEnd w:id="110"/>
    </w:p>
    <w:p>
      <w:r>
        <w:rPr>
          <w:b w:val="0"/>
          <w:i w:val="0"/>
        </w:rPr>
        <w:t xml:space="preserve">This policy is governed by the laws of the State or Territory of Australia shown in Item 8 of the schedule, fixed as at the start of the policy period. See </w:t>
      </w:r>
      <w:hyperlink w:anchor="c_do_cond_governing_law_and_jurisdiction">
        <w:r>
          <w:rPr>
            <w:color w:val="2E5C4E"/>
            <w:u w:val="single"/>
          </w:rPr>
          <w:t xml:space="preserve">the Governing Law and Jurisdiction condition</w:t>
        </w:r>
      </w:hyperlink>
      <w:r>
        <w:rPr>
          <w:b w:val="0"/>
          <w:i w:val="0"/>
        </w:rPr>
        <w:t xml:space="preserve"> for the companion jurisdiction/submission-to-courts provision.</w:t>
      </w:r>
    </w:p>
    <w:p>
      <w:bookmarkStart w:id="111" w:name="c_do_cond_gst"/>
      <w:r>
        <w:rPr>
          <w:rFonts w:ascii="Georgia" w:hAnsi="Georgia" w:eastAsia="Georgia"/>
          <w:b/>
          <w:i w:val="0"/>
          <w:color w:val="2E5C4E"/>
          <w:sz w:val="25"/>
        </w:rPr>
        <w:t>GST</w:t>
      </w:r>
      <w:bookmarkEnd w:id="111"/>
    </w:p>
    <w:p>
      <w:r>
        <w:rPr>
          <w:b w:val="0"/>
          <w:i w:val="0"/>
        </w:rPr>
        <w:t>Payments reduced by input tax credit entitlement, as required by the A New Tax System (Goods and Services Tax) Act 1999 (Cth).</w:t>
      </w:r>
    </w:p>
    <w:p>
      <w:bookmarkStart w:id="112" w:name="c_do_cond_disputes_and_complaints"/>
      <w:r>
        <w:rPr>
          <w:rFonts w:ascii="Georgia" w:hAnsi="Georgia" w:eastAsia="Georgia"/>
          <w:b/>
          <w:i w:val="0"/>
          <w:color w:val="2E5C4E"/>
          <w:sz w:val="25"/>
        </w:rPr>
        <w:t>Disputes and Complaints</w:t>
      </w:r>
      <w:bookmarkEnd w:id="112"/>
    </w:p>
    <w:p>
      <w:r>
        <w:rPr>
          <w:b w:val="0"/>
          <w:i w:val="0"/>
        </w:rPr>
        <w:t>Internal dispute resolution first. Then AFCA (www.afca.org.au / 1800 931 678). AFCA provides a free and independent dispute resolution service. Time limits may apply.</w:t>
      </w:r>
    </w:p>
    <w:p>
      <w:bookmarkStart w:id="113" w:name="c_do_cond_privacy"/>
      <w:r>
        <w:rPr>
          <w:rFonts w:ascii="Georgia" w:hAnsi="Georgia" w:eastAsia="Georgia"/>
          <w:b/>
          <w:i w:val="0"/>
          <w:color w:val="2E5C4E"/>
          <w:sz w:val="25"/>
        </w:rPr>
        <w:t>Privacy</w:t>
      </w:r>
      <w:bookmarkEnd w:id="113"/>
    </w:p>
    <w:p>
      <w:r>
        <w:rPr>
          <w:b w:val="0"/>
          <w:i w:val="0"/>
        </w:rPr>
        <w:t>Per the Privacy Act 1988 (Cth) and Australian Privacy Principles. Our Privacy Policy is available on our website and on request.</w:t>
      </w:r>
    </w:p>
    <w:p>
      <w:bookmarkStart w:id="114" w:name="c_do_section_notices"/>
      <w:r>
        <w:rPr>
          <w:rFonts w:ascii="Georgia" w:hAnsi="Georgia" w:eastAsia="Georgia"/>
          <w:b/>
          <w:i w:val="0"/>
          <w:color w:val="1C1915"/>
          <w:sz w:val="32"/>
        </w:rPr>
        <w:t>Notices, Sanctions and Interpretation</w:t>
      </w:r>
      <w:bookmarkEnd w:id="114"/>
    </w:p>
    <w:p>
      <w:bookmarkStart w:id="115" w:name="c_do_cond_notices"/>
      <w:r>
        <w:rPr>
          <w:rFonts w:ascii="Georgia" w:hAnsi="Georgia" w:eastAsia="Georgia"/>
          <w:b/>
          <w:i w:val="0"/>
          <w:color w:val="2E5C4E"/>
          <w:sz w:val="25"/>
        </w:rPr>
        <w:t>Notices</w:t>
      </w:r>
      <w:bookmarkEnd w:id="115"/>
    </w:p>
    <w:p>
      <w:r>
        <w:rPr>
          <w:b w:val="0"/>
          <w:i w:val="0"/>
        </w:rPr>
        <w:t>Any notice under this policy must be given in writing. Notices to us must be sent to the address, email address, or online portal shown in the schedule, or as otherwise notified by us in writing. Notices to the company or an insured person may be sent to the company's registered office or the address last notified to us.</w:t>
      </w:r>
    </w:p>
    <w:p>
      <w:r>
        <w:rPr>
          <w:b w:val="0"/>
          <w:i w:val="0"/>
        </w:rPr>
        <w:t>A notice sent by post is deemed given 2 business days after posting (5 business days if sent to or from an address outside Australia). A notice sent by email is deemed given when sent, unless the sender receives an automated message that it was not delivered.</w:t>
      </w:r>
    </w:p>
    <w:p>
      <w:bookmarkStart w:id="116" w:name="c_do_cond_insurance_contracts_act_1984_c"/>
      <w:r>
        <w:rPr>
          <w:rFonts w:ascii="Georgia" w:hAnsi="Georgia" w:eastAsia="Georgia"/>
          <w:b/>
          <w:i w:val="0"/>
          <w:color w:val="2E5C4E"/>
          <w:sz w:val="25"/>
        </w:rPr>
        <w:t>Insurance Contracts Act 1984 (Cth)</w:t>
      </w:r>
      <w:bookmarkEnd w:id="116"/>
    </w:p>
    <w:p>
      <w:r>
        <w:rPr>
          <w:b w:val="0"/>
          <w:i w:val="0"/>
        </w:rPr>
        <w:t>Nothing in this policy excludes, restricts or modifies the operation of the Insurance Contracts Act 1984 (Cth). Where this policy is inconsistent with the Act, the Act prevails.</w:t>
      </w:r>
    </w:p>
    <w:p>
      <w:r>
        <w:rPr>
          <w:b w:val="0"/>
          <w:i w:val="0"/>
        </w:rPr>
        <w:t xml:space="preserve">If this policy would otherwise let us refuse to pay a claim, in whole or in part, because of something you did or did not do after this policy was entered into, section 54 of the Act applies. We may not refuse to pay the claim only because of that act or omission. Our liability is reduced by the amount that fairly represents the extent to which our interests were prejudiced. Where the act or omission could reasonably be regarded as capable of causing or contributing to the loss, we may refuse to pay only the part of the claim that the act or omission caused or contributed to. We may not refuse any part that you prove the act or omission did not cause. This applies to every condition, exclusion, limit and obligation in this policy, not only to the claims conditions. This includes </w:t>
      </w:r>
      <w:hyperlink w:anchor="c_do_obl_notify_claims">
        <w:r>
          <w:rPr>
            <w:color w:val="2E5C4E"/>
            <w:u w:val="single"/>
          </w:rPr>
          <w:t xml:space="preserve">the Notify Claims obligation</w:t>
        </w:r>
      </w:hyperlink>
      <w:r>
        <w:rPr>
          <w:b w:val="0"/>
          <w:i w:val="0"/>
        </w:rPr>
        <w:t xml:space="preserve">, </w:t>
      </w:r>
      <w:hyperlink w:anchor="c_do_obl_do_not_admit_liability">
        <w:r>
          <w:rPr>
            <w:color w:val="2E5C4E"/>
            <w:u w:val="single"/>
          </w:rPr>
          <w:t xml:space="preserve">the Do Not Admit Liability obligation</w:t>
        </w:r>
      </w:hyperlink>
      <w:r>
        <w:rPr>
          <w:b w:val="0"/>
          <w:i w:val="0"/>
        </w:rPr>
        <w:t xml:space="preserve"> and </w:t>
      </w:r>
      <w:hyperlink w:anchor="c_do_obl_cooperate">
        <w:r>
          <w:rPr>
            <w:color w:val="2E5C4E"/>
            <w:u w:val="single"/>
          </w:rPr>
          <w:t xml:space="preserve">the Cooperate obligation</w:t>
        </w:r>
      </w:hyperlink>
      <w:r>
        <w:rPr>
          <w:b w:val="0"/>
          <w:i w:val="0"/>
        </w:rPr>
        <w:t>.</w:t>
      </w:r>
    </w:p>
    <w:p>
      <w:r>
        <w:rPr>
          <w:b w:val="0"/>
          <w:i w:val="0"/>
        </w:rPr>
        <w:t xml:space="preserve">Under section 40(3) of the Act, see </w:t>
      </w:r>
      <w:hyperlink w:anchor="c_do_obl_notify_circumstances">
        <w:r>
          <w:rPr>
            <w:color w:val="2E5C4E"/>
            <w:u w:val="single"/>
          </w:rPr>
          <w:t xml:space="preserve">the Notify Circumstances obligation</w:t>
        </w:r>
      </w:hyperlink>
      <w:r>
        <w:rPr>
          <w:b w:val="0"/>
          <w:i w:val="0"/>
        </w:rPr>
        <w:t>. Late notification of a claim arising from a properly notified circumstance is not, of itself, a ground to refuse the claim.</w:t>
      </w:r>
    </w:p>
    <w:p>
      <w:r>
        <w:rPr>
          <w:b w:val="0"/>
          <w:i w:val="0"/>
        </w:rPr>
        <w:t>This clause does not limit any other right the insured has under the Act.</w:t>
      </w:r>
    </w:p>
    <w:p>
      <w:bookmarkStart w:id="117" w:name="c_do_cond_sanctions"/>
      <w:r>
        <w:rPr>
          <w:rFonts w:ascii="Georgia" w:hAnsi="Georgia" w:eastAsia="Georgia"/>
          <w:b/>
          <w:i w:val="0"/>
          <w:color w:val="2E5C4E"/>
          <w:sz w:val="25"/>
        </w:rPr>
        <w:t>Sanctions</w:t>
      </w:r>
      <w:bookmarkEnd w:id="117"/>
    </w:p>
    <w:p>
      <w:r>
        <w:rPr>
          <w:b w:val="0"/>
          <w:i w:val="0"/>
        </w:rPr>
        <w:t>We do not provide cover, pay any claim or provide any benefit under this policy to the extent that doing so would expose us to any sanction, prohibition or restriction under:</w:t>
      </w:r>
    </w:p>
    <w:p>
      <w:pPr>
        <w:pStyle w:val="ListBullet"/>
      </w:pPr>
      <w:r>
        <w:rPr>
          <w:b w:val="0"/>
          <w:i w:val="0"/>
        </w:rPr>
        <w:t>the Autonomous Sanctions Act 2011 (Cth), the Charter of the United Nations Act 1945 (Cth), or regulations made under either Act; or</w:t>
      </w:r>
    </w:p>
    <w:p>
      <w:pPr>
        <w:pStyle w:val="ListBullet"/>
      </w:pPr>
      <w:r>
        <w:rPr>
          <w:b w:val="0"/>
          <w:i w:val="0"/>
        </w:rPr>
        <w:t>the trade or economic sanctions laws of the United Kingdom, the United States of America or the European Union, to the extent they apply to us.</w:t>
      </w:r>
    </w:p>
    <w:p>
      <w:r>
        <w:rPr>
          <w:b w:val="0"/>
          <w:i w:val="0"/>
        </w:rPr>
        <w:t>[WP REVIEW: confirm that naming the UK, US and EU regimes is appropriate for Australian capacity; this is a deliberate library-wide scope choice.]</w:t>
      </w:r>
    </w:p>
    <w:p>
      <w:bookmarkStart w:id="118" w:name="c_do_cond_governing_law_and_jurisdiction"/>
      <w:r>
        <w:rPr>
          <w:rFonts w:ascii="Georgia" w:hAnsi="Georgia" w:eastAsia="Georgia"/>
          <w:b/>
          <w:i w:val="0"/>
          <w:color w:val="2E5C4E"/>
          <w:sz w:val="25"/>
        </w:rPr>
        <w:t>Governing Law and Jurisdiction</w:t>
      </w:r>
      <w:bookmarkEnd w:id="118"/>
    </w:p>
    <w:p>
      <w:r>
        <w:rPr>
          <w:b w:val="0"/>
          <w:i w:val="0"/>
        </w:rPr>
        <w:t xml:space="preserve">(a) Governing law: this policy is governed by the laws of the State or Territory of Australia shown in Item 8 of the schedule, fixed as at the start of the policy period and unaffected by any later change in the company's registered office, place of business, or place of incorporation of any Subsidiary. (See also </w:t>
      </w:r>
      <w:hyperlink w:anchor="c_do_cond_governing_law">
        <w:r>
          <w:rPr>
            <w:color w:val="2E5C4E"/>
            <w:u w:val="single"/>
          </w:rPr>
          <w:t xml:space="preserve">the Governing Law condition</w:t>
        </w:r>
      </w:hyperlink>
      <w:r>
        <w:rPr>
          <w:b w:val="0"/>
          <w:i w:val="0"/>
        </w:rPr>
        <w:t>.)</w:t>
      </w:r>
    </w:p>
    <w:p>
      <w:r>
        <w:rPr>
          <w:b w:val="0"/>
          <w:i w:val="0"/>
        </w:rPr>
        <w:t>(b) Jurisdiction: the parties submit to the non-exclusive jurisdiction of the courts of that State or Territory, and of the courts competent to hear appeals from them.</w:t>
      </w:r>
    </w:p>
    <w:p>
      <w:bookmarkStart w:id="119" w:name="c_do_cond_interpretation"/>
      <w:r>
        <w:rPr>
          <w:rFonts w:ascii="Georgia" w:hAnsi="Georgia" w:eastAsia="Georgia"/>
          <w:b/>
          <w:i w:val="0"/>
          <w:color w:val="2E5C4E"/>
          <w:sz w:val="25"/>
        </w:rPr>
        <w:t>Interpretation</w:t>
      </w:r>
      <w:bookmarkEnd w:id="119"/>
    </w:p>
    <w:p>
      <w:r>
        <w:rPr>
          <w:b w:val="0"/>
          <w:i w:val="0"/>
        </w:rPr>
        <w:t>(a) Headings are for convenience only and do not affect interpretation.</w:t>
      </w:r>
    </w:p>
    <w:p>
      <w:r>
        <w:rPr>
          <w:b w:val="0"/>
          <w:i w:val="0"/>
        </w:rPr>
        <w:t>(b) A reference to a statute includes regulations and instruments made under it, and amendments, re-enactments, or replacements of it.</w:t>
      </w:r>
    </w:p>
    <w:p>
      <w:r>
        <w:rPr>
          <w:b w:val="0"/>
          <w:i w:val="0"/>
        </w:rPr>
        <w:t>(c) “Including” and similar expressions are not words of limitation.</w:t>
      </w:r>
    </w:p>
    <w:p>
      <w:r>
        <w:rPr>
          <w:b w:val="0"/>
          <w:i w:val="0"/>
        </w:rPr>
        <w:t>(d) A reference to a person includes a natural person, a body corporate, and an unincorporated body.</w:t>
      </w:r>
    </w:p>
    <w:p>
      <w:r>
        <w:rPr>
          <w:b w:val="0"/>
          <w:i w:val="0"/>
        </w:rPr>
        <w:t>(e) Words in the singular include the plural, and vice versa.</w:t>
      </w:r>
    </w:p>
    <w:p>
      <w:bookmarkStart w:id="120" w:name="c_do_endorsement_library"/>
      <w:r>
        <w:rPr>
          <w:rFonts w:ascii="Georgia" w:hAnsi="Georgia" w:eastAsia="Georgia"/>
          <w:b/>
          <w:i w:val="0"/>
          <w:color w:val="1C1915"/>
          <w:sz w:val="32"/>
        </w:rPr>
        <w:t>Endorsement Library</w:t>
      </w:r>
      <w:bookmarkEnd w:id="120"/>
    </w:p>
    <w:p>
      <w:r>
        <w:rPr>
          <w:b w:val="0"/>
          <w:i w:val="0"/>
        </w:rPr>
        <w:t>An endorsement applies only if its code is shown in the schedule. Each endorsement changes this policy only as it states, and is read together with the variables (sub-limits, excesses, periods, named entities and parties) shown for it in the schedule. Where an endorsement and the rest of this policy conflict, the endorsement applies to the extent of the conflict. If a variable an endorsement needs is not shown in the schedule, the endorsement does not apply until we show the variable in the schedule. These endorsements are for use with version 1.4.x of this wording.</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United States / Canada Jurisdiction Extension</w:t>
            </w:r>
          </w:p>
        </w:tc>
        <w:tc>
          <w:tcPr>
            <w:tcW w:type="dxa" w:w="3249"/>
          </w:tcPr>
          <w:p>
            <w:r/>
            <w:r>
              <w:rPr>
                <w:b w:val="0"/>
                <w:i w:val="0"/>
              </w:rPr>
              <w:t>Writes back the US / Canada Jurisdiction exclusion, with ERISA excluded and a separate US securities claim retention</w:t>
            </w:r>
          </w:p>
        </w:tc>
      </w:tr>
      <w:tr>
        <w:tc>
          <w:tcPr>
            <w:tcW w:type="dxa" w:w="3249"/>
          </w:tcPr>
          <w:p>
            <w:r/>
            <w:r>
              <w:rPr>
                <w:b w:val="0"/>
                <w:i w:val="0"/>
              </w:rPr>
              <w:t>E02</w:t>
            </w:r>
          </w:p>
        </w:tc>
        <w:tc>
          <w:tcPr>
            <w:tcW w:type="dxa" w:w="3249"/>
          </w:tcPr>
          <w:p>
            <w:r/>
            <w:r>
              <w:rPr>
                <w:b w:val="0"/>
                <w:i w:val="0"/>
              </w:rPr>
              <w:t>Small Capitalisation and Resources Companies</w:t>
            </w:r>
          </w:p>
        </w:tc>
        <w:tc>
          <w:tcPr>
            <w:tcW w:type="dxa" w:w="3249"/>
          </w:tcPr>
          <w:p>
            <w:r/>
            <w:r>
              <w:rPr>
                <w:b w:val="0"/>
                <w:i w:val="0"/>
              </w:rPr>
              <w:t>Adds JORC, capital-raising, voluntary suspension, insolvent trading and native title cover for small-capitalisation and resources companies</w:t>
            </w:r>
          </w:p>
        </w:tc>
      </w:tr>
      <w:tr>
        <w:tc>
          <w:tcPr>
            <w:tcW w:type="dxa" w:w="3249"/>
          </w:tcPr>
          <w:p>
            <w:r/>
            <w:r>
              <w:rPr>
                <w:b w:val="0"/>
                <w:i w:val="0"/>
              </w:rPr>
              <w:t>E03</w:t>
            </w:r>
          </w:p>
        </w:tc>
        <w:tc>
          <w:tcPr>
            <w:tcW w:type="dxa" w:w="3249"/>
          </w:tcPr>
          <w:p>
            <w:r/>
            <w:r>
              <w:rPr>
                <w:b w:val="0"/>
                <w:i w:val="0"/>
              </w:rPr>
              <w:t>Financial Institutions</w:t>
            </w:r>
          </w:p>
        </w:tc>
        <w:tc>
          <w:tcPr>
            <w:tcW w:type="dxa" w:w="3249"/>
          </w:tcPr>
          <w:p>
            <w:r/>
            <w:r>
              <w:rPr>
                <w:b w:val="0"/>
                <w:i w:val="0"/>
              </w:rPr>
              <w:t>Adds FAR, prudential, superannuation trustee, DDO and AML/CTF cover for APRA-regulated financial institutions</w:t>
            </w:r>
          </w:p>
        </w:tc>
      </w:tr>
      <w:tr>
        <w:tc>
          <w:tcPr>
            <w:tcW w:type="dxa" w:w="3249"/>
          </w:tcPr>
          <w:p>
            <w:r/>
            <w:r>
              <w:rPr>
                <w:b w:val="0"/>
                <w:i w:val="0"/>
              </w:rPr>
              <w:t>E04</w:t>
            </w:r>
          </w:p>
        </w:tc>
        <w:tc>
          <w:tcPr>
            <w:tcW w:type="dxa" w:w="3249"/>
          </w:tcPr>
          <w:p>
            <w:r/>
            <w:r>
              <w:rPr>
                <w:b w:val="0"/>
                <w:i w:val="0"/>
              </w:rPr>
              <w:t>Environmental, Social, and Governance (ESG)</w:t>
            </w:r>
          </w:p>
        </w:tc>
        <w:tc>
          <w:tcPr>
            <w:tcW w:type="dxa" w:w="3249"/>
          </w:tcPr>
          <w:p>
            <w:r/>
            <w:r>
              <w:rPr>
                <w:b w:val="0"/>
                <w:i w:val="0"/>
              </w:rPr>
              <w:t>Adds greenwashing, climate disclosure and activist shareholder claims</w:t>
            </w:r>
          </w:p>
        </w:tc>
      </w:tr>
      <w:tr>
        <w:tc>
          <w:tcPr>
            <w:tcW w:type="dxa" w:w="3249"/>
          </w:tcPr>
          <w:p>
            <w:r/>
            <w:r>
              <w:rPr>
                <w:b w:val="0"/>
                <w:i w:val="0"/>
              </w:rPr>
              <w:t>E05</w:t>
            </w:r>
          </w:p>
        </w:tc>
        <w:tc>
          <w:tcPr>
            <w:tcW w:type="dxa" w:w="3249"/>
          </w:tcPr>
          <w:p>
            <w:r/>
            <w:r>
              <w:rPr>
                <w:b w:val="0"/>
                <w:i w:val="0"/>
              </w:rPr>
              <w:t>Prospectus and Capital Raising — Enhanced</w:t>
            </w:r>
          </w:p>
        </w:tc>
        <w:tc>
          <w:tcPr>
            <w:tcW w:type="dxa" w:w="3249"/>
          </w:tcPr>
          <w:p>
            <w:r/>
            <w:r>
              <w:rPr>
                <w:b w:val="0"/>
                <w:i w:val="0"/>
              </w:rPr>
              <w:t>Covers a specified capital raising for 72 months, including roadshows and due diligence defence</w:t>
            </w:r>
          </w:p>
        </w:tc>
      </w:tr>
      <w:tr>
        <w:tc>
          <w:tcPr>
            <w:tcW w:type="dxa" w:w="3249"/>
          </w:tcPr>
          <w:p>
            <w:r/>
            <w:r>
              <w:rPr>
                <w:b w:val="0"/>
                <w:i w:val="0"/>
              </w:rPr>
              <w:t>E06</w:t>
            </w:r>
          </w:p>
        </w:tc>
        <w:tc>
          <w:tcPr>
            <w:tcW w:type="dxa" w:w="3249"/>
          </w:tcPr>
          <w:p>
            <w:r/>
            <w:r>
              <w:rPr>
                <w:b w:val="0"/>
                <w:i w:val="0"/>
              </w:rPr>
              <w:t>Extended Discovery Period</w:t>
            </w:r>
          </w:p>
        </w:tc>
        <w:tc>
          <w:tcPr>
            <w:tcW w:type="dxa" w:w="3249"/>
          </w:tcPr>
          <w:p>
            <w:r/>
            <w:r>
              <w:rPr>
                <w:b w:val="0"/>
                <w:i w:val="0"/>
              </w:rPr>
              <w:t>Extends the discovery period to the period shown in the schedule</w:t>
            </w:r>
          </w:p>
        </w:tc>
      </w:tr>
      <w:tr>
        <w:tc>
          <w:tcPr>
            <w:tcW w:type="dxa" w:w="3249"/>
          </w:tcPr>
          <w:p>
            <w:r/>
            <w:r>
              <w:rPr>
                <w:b w:val="0"/>
                <w:i w:val="0"/>
              </w:rPr>
              <w:t>E07</w:t>
            </w:r>
          </w:p>
        </w:tc>
        <w:tc>
          <w:tcPr>
            <w:tcW w:type="dxa" w:w="3249"/>
          </w:tcPr>
          <w:p>
            <w:r/>
            <w:r>
              <w:rPr>
                <w:b w:val="0"/>
                <w:i w:val="0"/>
              </w:rPr>
              <w:t>Defence Costs in Addition to Limit</w:t>
            </w:r>
          </w:p>
        </w:tc>
        <w:tc>
          <w:tcPr>
            <w:tcW w:type="dxa" w:w="3249"/>
          </w:tcPr>
          <w:p>
            <w:r/>
            <w:r>
              <w:rPr>
                <w:b w:val="0"/>
                <w:i w:val="0"/>
              </w:rPr>
              <w:t>Pays defence costs in addition to the limit of liability</w:t>
            </w:r>
          </w:p>
        </w:tc>
      </w:tr>
      <w:tr>
        <w:tc>
          <w:tcPr>
            <w:tcW w:type="dxa" w:w="3249"/>
          </w:tcPr>
          <w:p>
            <w:r/>
            <w:r>
              <w:rPr>
                <w:b w:val="0"/>
                <w:i w:val="0"/>
              </w:rPr>
              <w:t>E08</w:t>
            </w:r>
          </w:p>
        </w:tc>
        <w:tc>
          <w:tcPr>
            <w:tcW w:type="dxa" w:w="3249"/>
          </w:tcPr>
          <w:p>
            <w:r/>
            <w:r>
              <w:rPr>
                <w:b w:val="0"/>
                <w:i w:val="0"/>
              </w:rPr>
              <w:t>Side A Standalone / Excess DIC</w:t>
            </w:r>
          </w:p>
        </w:tc>
        <w:tc>
          <w:tcPr>
            <w:tcW w:type="dxa" w:w="3249"/>
          </w:tcPr>
          <w:p>
            <w:r/>
            <w:r>
              <w:rPr>
                <w:b w:val="0"/>
                <w:i w:val="0"/>
              </w:rPr>
              <w:t>Converts Side A into a standalone excess and difference-in-conditions layer with drop-down triggers</w:t>
            </w:r>
          </w:p>
        </w:tc>
      </w:tr>
      <w:tr>
        <w:tc>
          <w:tcPr>
            <w:tcW w:type="dxa" w:w="3249"/>
          </w:tcPr>
          <w:p>
            <w:r/>
            <w:r>
              <w:rPr>
                <w:b w:val="0"/>
                <w:i w:val="0"/>
              </w:rPr>
              <w:t>E09</w:t>
            </w:r>
          </w:p>
        </w:tc>
        <w:tc>
          <w:tcPr>
            <w:tcW w:type="dxa" w:w="3249"/>
          </w:tcPr>
          <w:p>
            <w:r/>
            <w:r>
              <w:rPr>
                <w:b w:val="0"/>
                <w:i w:val="0"/>
              </w:rPr>
              <w:t>Excess Layer</w:t>
            </w:r>
          </w:p>
        </w:tc>
        <w:tc>
          <w:tcPr>
            <w:tcW w:type="dxa" w:w="3249"/>
          </w:tcPr>
          <w:p>
            <w:r/>
            <w:r>
              <w:rPr>
                <w:b w:val="0"/>
                <w:i w:val="0"/>
              </w:rPr>
              <w:t>Writes this policy in excess of the primary policy named</w:t>
            </w:r>
          </w:p>
        </w:tc>
      </w:tr>
      <w:tr>
        <w:tc>
          <w:tcPr>
            <w:tcW w:type="dxa" w:w="3249"/>
          </w:tcPr>
          <w:p>
            <w:r/>
            <w:r>
              <w:rPr>
                <w:b w:val="0"/>
                <w:i w:val="0"/>
              </w:rPr>
              <w:t>E10</w:t>
            </w:r>
          </w:p>
        </w:tc>
        <w:tc>
          <w:tcPr>
            <w:tcW w:type="dxa" w:w="3249"/>
          </w:tcPr>
          <w:p>
            <w:r/>
            <w:r>
              <w:rPr>
                <w:b w:val="0"/>
                <w:i w:val="0"/>
              </w:rPr>
              <w:t>Run-Off / Tail Policy</w:t>
            </w:r>
          </w:p>
        </w:tc>
        <w:tc>
          <w:tcPr>
            <w:tcW w:type="dxa" w:w="3249"/>
          </w:tcPr>
          <w:p>
            <w:r/>
            <w:r>
              <w:rPr>
                <w:b w:val="0"/>
                <w:i w:val="0"/>
              </w:rPr>
              <w:t>Converts the policy to a run-off policy after a change of control, merger or delisting</w:t>
            </w:r>
          </w:p>
        </w:tc>
      </w:tr>
      <w:tr>
        <w:tc>
          <w:tcPr>
            <w:tcW w:type="dxa" w:w="3249"/>
          </w:tcPr>
          <w:p>
            <w:r/>
            <w:r>
              <w:rPr>
                <w:b w:val="0"/>
                <w:i w:val="0"/>
              </w:rPr>
              <w:t>E12</w:t>
            </w:r>
          </w:p>
        </w:tc>
        <w:tc>
          <w:tcPr>
            <w:tcW w:type="dxa" w:w="3249"/>
          </w:tcPr>
          <w:p>
            <w:r/>
            <w:r>
              <w:rPr>
                <w:b w:val="0"/>
                <w:i w:val="0"/>
              </w:rPr>
              <w:t>Outside Directorship Liability (ODL)</w:t>
            </w:r>
          </w:p>
        </w:tc>
        <w:tc>
          <w:tcPr>
            <w:tcW w:type="dxa" w:w="3249"/>
          </w:tcPr>
          <w:p>
            <w:r/>
            <w:r>
              <w:rPr>
                <w:b w:val="0"/>
                <w:i w:val="0"/>
              </w:rPr>
              <w:t>Covers insured persons serving on an outside entity's board at the company's request</w:t>
            </w:r>
          </w:p>
        </w:tc>
      </w:tr>
      <w:tr>
        <w:tc>
          <w:tcPr>
            <w:tcW w:type="dxa" w:w="3249"/>
          </w:tcPr>
          <w:p>
            <w:r/>
            <w:r>
              <w:rPr>
                <w:b w:val="0"/>
                <w:i w:val="0"/>
              </w:rPr>
              <w:t>E13</w:t>
            </w:r>
          </w:p>
        </w:tc>
        <w:tc>
          <w:tcPr>
            <w:tcW w:type="dxa" w:w="3249"/>
          </w:tcPr>
          <w:p>
            <w:r/>
            <w:r>
              <w:rPr>
                <w:b w:val="0"/>
                <w:i w:val="0"/>
              </w:rPr>
              <w:t>Employment Practices Liability (EPL)</w:t>
            </w:r>
          </w:p>
        </w:tc>
        <w:tc>
          <w:tcPr>
            <w:tcW w:type="dxa" w:w="3249"/>
          </w:tcPr>
          <w:p>
            <w:r/>
            <w:r>
              <w:rPr>
                <w:b w:val="0"/>
                <w:i w:val="0"/>
              </w:rPr>
              <w:t>Adds employment practices liability for the company and insured persons</w:t>
            </w:r>
          </w:p>
        </w:tc>
      </w:tr>
    </w:tbl>
    <w:p>
      <w:r>
        <w:rPr>
          <w:b w:val="0"/>
          <w:i w:val="0"/>
        </w:rPr>
        <w:t>Endorsements E11 and E14 to E20 are not yet available in this version. A schedule must not show any of them.</w:t>
      </w:r>
    </w:p>
    <w:p>
      <w:bookmarkStart w:id="121" w:name="c_do_end_e01"/>
      <w:r>
        <w:rPr>
          <w:rFonts w:ascii="Georgia" w:hAnsi="Georgia" w:eastAsia="Georgia"/>
          <w:b/>
          <w:i w:val="0"/>
          <w:color w:val="2E5C4E"/>
          <w:sz w:val="25"/>
        </w:rPr>
        <w:t>E01 United States / Canada Jurisdiction Extension</w:t>
      </w:r>
      <w:bookmarkEnd w:id="121"/>
    </w:p>
    <w:p>
      <w:r>
        <w:rPr>
          <w:b w:val="0"/>
          <w:i w:val="0"/>
        </w:rPr>
        <w:t xml:space="preserve">**Amendment to </w:t>
      </w:r>
      <w:hyperlink w:anchor="c_do_excl_us_canada_jurisdiction">
        <w:r>
          <w:rPr>
            <w:color w:val="2E5C4E"/>
            <w:u w:val="single"/>
          </w:rPr>
          <w:t xml:space="preserve">the US / Canada Jurisdiction exclusion</w:t>
        </w:r>
      </w:hyperlink>
      <w:r>
        <w:rPr>
          <w:b/>
          <w:i w:val="0"/>
        </w:rPr>
      </w:r>
    </w:p>
    <w:p>
      <w:hyperlink w:anchor="c_do_excl_us_canada_jurisdiction">
        <w:r>
          <w:rPr>
            <w:color w:val="2E5C4E"/>
            <w:u w:val="single"/>
          </w:rPr>
          <w:t xml:space="preserve">The US / Canada Jurisdiction exclusion</w:t>
        </w:r>
      </w:hyperlink>
      <w:r>
        <w:rPr>
          <w:b w:val="0"/>
          <w:i w:val="0"/>
        </w:rPr>
        <w:t xml:space="preserve"> is deleted and replaced with: “This policy covers claims brought or maintained in courts in the United States of America and Canada, including securities claims alleging violations of US federal or state securities laws (including sections 11, 12, and 15 of the US Securities Act of 1933, section 10(b) of the US Securities Exchange Act of 1934 and Rule 10b-5 thereunder, and any equivalent state ‘blue sky’ laws).”</w:t>
      </w:r>
    </w:p>
    <w:p>
      <w:r>
        <w:rPr>
          <w:b/>
          <w:i w:val="0"/>
        </w:rPr>
        <w:t>Additional Definitions</w:t>
      </w:r>
    </w:p>
    <w:p>
      <w:r>
        <w:rPr>
          <w:b w:val="0"/>
          <w:i w:val="0"/>
        </w:rPr>
        <w:t>US securities claim means a securities claim brought in the United States alleging violations of US federal or state securities laws.</w:t>
      </w:r>
    </w:p>
    <w:p>
      <w:r>
        <w:rPr>
          <w:b/>
          <w:i w:val="0"/>
        </w:rPr>
        <w:t>Additional Exclusion — ERISA</w:t>
      </w:r>
    </w:p>
    <w:p>
      <w:r>
        <w:rPr>
          <w:b w:val="0"/>
          <w:i w:val="0"/>
        </w:rPr>
        <w:t>We do not cover any claim arising from a violation of the Employee Retirement Income Security Act of 1974 (ERISA) or any similar US federal or state statute governing employee benefit plans.</w:t>
      </w:r>
    </w:p>
    <w:p>
      <w:r>
        <w:rPr>
          <w:b/>
          <w:i w:val="0"/>
        </w:rPr>
        <w:t>Additional Retention</w:t>
      </w:r>
    </w:p>
    <w:p>
      <w:r>
        <w:rPr>
          <w:b w:val="0"/>
          <w:i w:val="0"/>
        </w:rPr>
        <w:t>For a US securities claim under Side C, the retention is the amount shown in the schedule for US securities claims (which may be higher than the standard Side C retention).</w:t>
      </w:r>
    </w:p>
    <w:p>
      <w:r>
        <w:rPr>
          <w:b/>
          <w:i w:val="0"/>
        </w:rPr>
        <w:t>Service of Suit</w:t>
      </w:r>
    </w:p>
    <w:p>
      <w:r>
        <w:rPr>
          <w:b w:val="0"/>
          <w:i w:val="0"/>
        </w:rPr>
        <w:t>We agree that any legal proceedings arising under this endorsement may be brought in a court of competent jurisdiction within the United States, and we will accept the decision of that court, including on any appeal.</w:t>
      </w:r>
    </w:p>
    <w:p>
      <w:r>
        <w:rPr>
          <w:b w:val="0"/>
          <w:i w:val="0"/>
        </w:rPr>
        <w:t>Schedule variables: US securities claim retention; USA and Canada sub-limit, if any.</w:t>
      </w:r>
    </w:p>
    <w:p>
      <w:bookmarkStart w:id="122" w:name="c_do_end_e02"/>
      <w:r>
        <w:rPr>
          <w:rFonts w:ascii="Georgia" w:hAnsi="Georgia" w:eastAsia="Georgia"/>
          <w:b/>
          <w:i w:val="0"/>
          <w:color w:val="2E5C4E"/>
          <w:sz w:val="25"/>
        </w:rPr>
        <w:t>E02 Small Capitalisation and Resources Companies</w:t>
      </w:r>
      <w:bookmarkEnd w:id="122"/>
    </w:p>
    <w:p>
      <w:r>
        <w:rPr>
          <w:b w:val="0"/>
          <w:i w:val="0"/>
        </w:rPr>
        <w:t>Designed for ASX-listed companies with a market capitalisation below $500 million, particularly companies in the mining, exploration, oil and gas, and resources sectors.</w:t>
      </w:r>
    </w:p>
    <w:p>
      <w:r>
        <w:rPr>
          <w:b/>
          <w:i w:val="0"/>
        </w:rPr>
        <w:t>Additional Definitions</w:t>
      </w:r>
    </w:p>
    <w:p>
      <w:r>
        <w:rPr>
          <w:b w:val="0"/>
          <w:i w:val="0"/>
        </w:rPr>
        <w:t>Competent person means a person who is a member or fellow of a recognised professional body for mining or geoscience (such as the Australasian Institute of Mining and Metallurgy or the Australian Institute of Geoscientists), or of a professional organisation recognised for the public reporting of mineral resources and ore reserves, and who has experience appropriate to the deposit or mineralisation in question.</w:t>
      </w:r>
    </w:p>
    <w:p>
      <w:r>
        <w:rPr>
          <w:b w:val="0"/>
          <w:i w:val="0"/>
        </w:rPr>
        <w:t>JORC Code means the Australasian Code for Reporting of Exploration Results, Mineral Resources and Ore Reserves, as published by the Joint Ore Reserves Committee, as amended from time to time.</w:t>
      </w:r>
    </w:p>
    <w:p>
      <w:r>
        <w:rPr>
          <w:b w:val="0"/>
          <w:i w:val="0"/>
        </w:rPr>
        <w:t>Resources disclosure claim means a claim that alleges misleading or deceptive conduct, breach of continuous disclosure obligations, or breach of the JORC Code, in connection with public statements about exploration results, mineral resources, ore reserves, exploration targets, production targets, or financial forecasts based on production targets.</w:t>
      </w:r>
    </w:p>
    <w:p>
      <w:r>
        <w:rPr>
          <w:b w:val="0"/>
          <w:i w:val="0"/>
        </w:rPr>
        <w:t>Capital raising claim means a claim arising from a prospectus, placement, share purchase plan, rights issue, entitlement offer, or other capital raising conducted by the company during the policy period.</w:t>
      </w:r>
    </w:p>
    <w:p>
      <w:r>
        <w:rPr>
          <w:b/>
          <w:i w:val="0"/>
        </w:rPr>
        <w:t>Extended Insured Persons</w:t>
      </w:r>
    </w:p>
    <w:p>
      <w:r>
        <w:rPr>
          <w:b w:val="0"/>
          <w:i w:val="0"/>
        </w:rPr>
        <w:t>The definition of insured person is extended to include: (a) any competent person who signs off on or is named in a public report by the company as the competent person for the purposes of the JORC Code, but only for claims arising from that report; and (b) any geologist, metallurgist, or technical consultant engaged by the company who is named in a public report as having reviewed or contributed to resource or reserve estimates, but only for claims arising from that report.</w:t>
      </w:r>
    </w:p>
    <w:p>
      <w:r>
        <w:rPr>
          <w:b/>
          <w:i w:val="0"/>
        </w:rPr>
        <w:t>JORC and Resources Disclosure — Coverage Clarification</w:t>
      </w:r>
    </w:p>
    <w:p>
      <w:r>
        <w:rPr>
          <w:b w:val="0"/>
          <w:i w:val="0"/>
        </w:rPr>
        <w:t>For the avoidance of doubt, this policy covers: (a) claims alleging that the company or an insured person published exploration results, resource estimates, or production targets that were misleading, incomplete, or not in compliance with the JORC Code; (b) claims alleging that announcement headers, summaries, or investor presentations about exploration results were unbalanced or gave an unduly favourable impression; (c) enforcement actions relating to forward-looking statements, scoping studies, or production targets that ASIC determines lacked a reasonable basis; and (d) ASX queries and price queries relating to disclosure of exploration results, and any resulting investigation or enforcement action. Each of the matters described in paragraphs (a) to (d) is a Resources disclosure claim.</w:t>
      </w:r>
    </w:p>
    <w:p>
      <w:r>
        <w:rPr>
          <w:b/>
          <w:i w:val="0"/>
        </w:rPr>
        <w:t>Frequent Capital Raisings</w:t>
      </w:r>
    </w:p>
    <w:p>
      <w:r>
        <w:rPr>
          <w:b w:val="0"/>
          <w:i w:val="0"/>
        </w:rPr>
        <w:t>Many small capitalisation companies conduct multiple capital raisings during a single policy period. We will cover each Capital raising claim arising from a capital raising conducted during the policy period, without requiring a separate prospectus policy for each raising — provided the aggregate proceeds of all raisings during the policy period do not exceed $100,000,000 (or such higher amount as agreed and shown in the schedule).</w:t>
      </w:r>
    </w:p>
    <w:p>
      <w:r>
        <w:rPr>
          <w:b w:val="0"/>
          <w:i w:val="0"/>
        </w:rPr>
        <w:t>If the aggregate proceeds exceed this threshold, we may require a separate prospectus policy for subsequent raisings.</w:t>
      </w:r>
    </w:p>
    <w:p>
      <w:r>
        <w:rPr>
          <w:b/>
          <w:i w:val="0"/>
        </w:rPr>
        <w:t>Voluntary Suspension</w:t>
      </w:r>
    </w:p>
    <w:p>
      <w:r>
        <w:rPr>
          <w:b w:val="0"/>
          <w:i w:val="0"/>
        </w:rPr>
        <w:t>We will cover defence costs incurred by an insured person in connection with an ASX voluntary suspension requested by the company to comply with continuous disclosure obligations, including any subsequent inquiry about the basis for or duration of the suspension.</w:t>
      </w:r>
    </w:p>
    <w:p>
      <w:r>
        <w:rPr>
          <w:b/>
          <w:i w:val="0"/>
        </w:rPr>
        <w:t>Personal Guarantees by Directors</w:t>
      </w:r>
    </w:p>
    <w:p>
      <w:r>
        <w:rPr>
          <w:b w:val="0"/>
          <w:i w:val="0"/>
        </w:rPr>
        <w:t>We will cover claims against an insured person arising from a personal guarantee given by the insured person to secure a financial obligation of the company — but only where: (a) the guarantee was given in the insured person's capacity as a director of the company; (b) the guarantee was disclosed to and approved by the board; and (c) the claim arises from an alleged wrongful act in the management of the company, not from the mere failure to pay the guaranteed obligation.</w:t>
      </w:r>
    </w:p>
    <w:p>
      <w:r>
        <w:rPr>
          <w:b/>
          <w:i w:val="0"/>
        </w:rPr>
        <w:t>Insolvent Trading — Safe Harbour</w:t>
      </w:r>
    </w:p>
    <w:p>
      <w:r>
        <w:rPr>
          <w:b w:val="0"/>
          <w:i w:val="0"/>
        </w:rPr>
        <w:t>This policy covers claims against an insured person for insolvent trading under section 588G of the Corporations Act 2001 (Cth), including defence costs in establishing that the insured person qualifies for the safe harbour defence under section 588GA.</w:t>
      </w:r>
    </w:p>
    <w:p>
      <w:r>
        <w:rPr>
          <w:b w:val="0"/>
          <w:i w:val="0"/>
        </w:rPr>
        <w:t>The costs of engaging a qualified restructuring adviser to develop a course of action reasonably likely to lead to a better outcome than immediate winding up are covered as defence costs, where the advice is obtained in connection with a potential or actual insolvent trading claim.</w:t>
      </w:r>
    </w:p>
    <w:p>
      <w:r>
        <w:rPr>
          <w:b/>
          <w:i w:val="0"/>
        </w:rPr>
        <w:t>Native Title and Heritage</w:t>
      </w:r>
    </w:p>
    <w:p>
      <w:r>
        <w:rPr>
          <w:b w:val="0"/>
          <w:i w:val="0"/>
        </w:rPr>
        <w:t>We will cover defence costs incurred by an insured person in connection with proceedings or regulatory action alleging that the company failed to comply with native title obligations, Aboriginal heritage protection obligations, or cultural heritage management obligations — to the extent the claim alleges a wrongful act by the insured person in their governance capacity.</w:t>
      </w:r>
    </w:p>
    <w:p>
      <w:r>
        <w:rPr>
          <w:b w:val="0"/>
          <w:i w:val="0"/>
        </w:rPr>
        <w:t>This does not cover the company's operational compliance obligations, which are a general liability exposure.</w:t>
      </w:r>
    </w:p>
    <w:p>
      <w:r>
        <w:rPr>
          <w:b w:val="0"/>
          <w:i w:val="0"/>
        </w:rPr>
        <w:t>Schedule variables: Aggregate capital raising proceeds cap, if above A$100,000,000.</w:t>
      </w:r>
    </w:p>
    <w:p>
      <w:bookmarkStart w:id="123" w:name="c_do_end_e03"/>
      <w:r>
        <w:rPr>
          <w:rFonts w:ascii="Georgia" w:hAnsi="Georgia" w:eastAsia="Georgia"/>
          <w:b/>
          <w:i w:val="0"/>
          <w:color w:val="2E5C4E"/>
          <w:sz w:val="25"/>
        </w:rPr>
        <w:t>E03 Financial Institutions</w:t>
      </w:r>
      <w:bookmarkEnd w:id="123"/>
    </w:p>
    <w:p>
      <w:r>
        <w:rPr>
          <w:b w:val="0"/>
          <w:i w:val="0"/>
        </w:rPr>
        <w:t>Designed for ASX-listed financial institutions regulated by APRA, including ADIs, general insurers, life insurers, private health insurers, and RSE licensees.</w:t>
      </w:r>
    </w:p>
    <w:p>
      <w:r>
        <w:rPr>
          <w:b/>
          <w:i w:val="0"/>
        </w:rPr>
        <w:t>Additional Definitions</w:t>
      </w:r>
    </w:p>
    <w:p>
      <w:r>
        <w:rPr>
          <w:b w:val="0"/>
          <w:i w:val="0"/>
        </w:rPr>
        <w:t>Accountable person means a person registered or required to be registered as an accountable person under the Financial Accountability Regime Act 2023 (Cth) (FAR) in respect of the company, including directors and senior executives designated under FAR.</w:t>
      </w:r>
    </w:p>
    <w:p>
      <w:r>
        <w:rPr>
          <w:b w:val="0"/>
          <w:i w:val="0"/>
        </w:rPr>
        <w:t>FAR proceeding means any investigation, examination, enforcement action, direction, or civil penalty proceeding brought against an insured by APRA and/or ASIC under or in connection with the Financial Accountability Regime Act 2023 (Cth).</w:t>
      </w:r>
    </w:p>
    <w:p>
      <w:r>
        <w:rPr>
          <w:b w:val="0"/>
          <w:i w:val="0"/>
        </w:rPr>
        <w:t>Prudential proceeding means any investigation, direction, enforceable undertaking, or other regulatory action by APRA under the Banking Act 1959, Insurance Act 1973, Life Insurance Act 1995, Superannuation Industry (Supervision) Act 1993, or any prudential standard issued by APRA.</w:t>
      </w:r>
    </w:p>
    <w:p>
      <w:r>
        <w:rPr>
          <w:b w:val="0"/>
          <w:i w:val="0"/>
        </w:rPr>
        <w:t>Deferred remuneration means any component of an accountable person's remuneration that has been deferred, held in escrow, or made subject to forfeiture or clawback under FAR, a prudential standard, or the company's remuneration policy.</w:t>
      </w:r>
    </w:p>
    <w:p>
      <w:r>
        <w:rPr>
          <w:b/>
          <w:i w:val="0"/>
        </w:rPr>
        <w:t>Extended Insured Persons</w:t>
      </w:r>
    </w:p>
    <w:p>
      <w:r>
        <w:rPr>
          <w:b w:val="0"/>
          <w:i w:val="0"/>
        </w:rPr>
        <w:t>The definition of insured person is extended to include: (a) any accountable person registered under FAR, including persons performing “key functions” as defined by the FAR Regulator Rules, whether or not they are directors or officers; and (b) any responsible manager, appointed actuary, or auditor of the company — but only for claims arising from their role within the company, and only to the extent the company would otherwise be required to indemnify them.</w:t>
      </w:r>
    </w:p>
    <w:p>
      <w:r>
        <w:rPr>
          <w:b/>
          <w:i w:val="0"/>
        </w:rPr>
        <w:t>FAR Proceedings — Coverage</w:t>
      </w:r>
    </w:p>
    <w:p>
      <w:r>
        <w:rPr>
          <w:b w:val="0"/>
          <w:i w:val="0"/>
        </w:rPr>
        <w:t>We will cover loss arising from a FAR proceeding against an insured, including: (a) defence costs in responding to the proceeding; (b) civil penalties imposed on an insured person under FAR (to the extent insurable at law); (c) costs of complying with a direction by APRA or ASIC to reallocate responsibilities between accountable persons, to the extent those costs constitute defence costs; and (d) costs of responding to a joint APRA/ASIC investigation relating to FAR compliance.</w:t>
      </w:r>
    </w:p>
    <w:p>
      <w:r>
        <w:rPr>
          <w:b w:val="0"/>
          <w:i w:val="0"/>
        </w:rPr>
        <w:t>Insurability note: The insurability of FAR penalties imposed on individuals is subject to ongoing legal analysis in Australia. We will pay penalties that are determined to be insurable and will engage with you and your legal advisors to resolve questions of insurability.</w:t>
      </w:r>
    </w:p>
    <w:p>
      <w:r>
        <w:rPr>
          <w:b/>
          <w:i w:val="0"/>
        </w:rPr>
        <w:t>Deferred Remuneration — Forfeiture</w:t>
      </w:r>
    </w:p>
    <w:p>
      <w:r>
        <w:rPr>
          <w:b w:val="0"/>
          <w:i w:val="0"/>
        </w:rPr>
        <w:t>If an accountable person's deferred remuneration is forfeited, clawed back, or reduced by the company as a direct result of a FAR proceeding or a regulatory direction, we will pay the accountable person the amount of the forfeited remuneration — subject to: (a) the forfeiture results from a covered claim or investigation; (b) the accountable person has not been found by Final adjudication to have engaged in dishonest or fraudulent conduct; and (c) the forfeiture was not required by a court order based on a finding of personal misconduct.</w:t>
      </w:r>
    </w:p>
    <w:p>
      <w:r>
        <w:rPr>
          <w:b/>
          <w:i w:val="0"/>
        </w:rPr>
        <w:t>Prudential Proceedings — Coverage</w:t>
      </w:r>
    </w:p>
    <w:p>
      <w:r>
        <w:rPr>
          <w:b w:val="0"/>
          <w:i w:val="0"/>
        </w:rPr>
        <w:t>We will cover defence costs incurred by an insured in responding to a prudential proceeding, including an APRA investigation or examination, an enforceable undertaking negotiation, a direction by APRA to take action or cease an activity, and a show-cause process relating to a licence condition or authorisation.</w:t>
      </w:r>
    </w:p>
    <w:p>
      <w:r>
        <w:rPr>
          <w:b w:val="0"/>
          <w:i w:val="0"/>
        </w:rPr>
        <w:t>We will not cover the cost of remediation, systems changes, or operational improvements that APRA directs the company to undertake — those are business expenses, not insured losses.</w:t>
      </w:r>
    </w:p>
    <w:p>
      <w:r>
        <w:rPr>
          <w:b/>
          <w:i w:val="0"/>
        </w:rPr>
        <w:t>Superannuation Trustee Liability</w:t>
      </w:r>
    </w:p>
    <w:p>
      <w:r>
        <w:rPr>
          <w:b w:val="0"/>
          <w:i w:val="0"/>
        </w:rPr>
        <w:t>If the company is an RSE licensee (superannuation trustee), we will cover claims against an insured person alleging breach of trustee duties under the Superannuation Industry (Supervision) Act 1993 (Cth), including: (a) breach of the duty to act in the best financial interests of members; (b) breach of the duty to exercise care, skill, and diligence; (c) breach of the sole purpose test; and (d) breach of the prohibition on conflicts of interest.</w:t>
      </w:r>
    </w:p>
    <w:p>
      <w:r>
        <w:rPr>
          <w:b/>
          <w:i w:val="0"/>
        </w:rPr>
        <w:t>Design and Distribution Obligations (DDO)</w:t>
      </w:r>
    </w:p>
    <w:p>
      <w:r>
        <w:rPr>
          <w:b w:val="0"/>
          <w:i w:val="0"/>
        </w:rPr>
        <w:t>We will cover claims and investigation costs arising from alleged breaches of the design and distribution obligations under Part 7.8A of the Corporations Act 2001 (Cth), including investigations alleging that a target market determination was deficient, stop orders or product intervention orders, and claims by consumers or investors alleging loss caused by distribution of a financial product outside its target market.</w:t>
      </w:r>
    </w:p>
    <w:p>
      <w:r>
        <w:rPr>
          <w:b w:val="0"/>
          <w:i w:val="0"/>
        </w:rPr>
        <w:t>We will not cover the cost of withdrawing, redesigning, or replacing a financial product — that is a business expense.</w:t>
      </w:r>
    </w:p>
    <w:p>
      <w:r>
        <w:rPr>
          <w:b/>
          <w:i w:val="0"/>
        </w:rPr>
        <w:t>Anti-Money Laundering and Counter-Terrorism Financing (AML/CTF)</w:t>
      </w:r>
    </w:p>
    <w:p>
      <w:r>
        <w:rPr>
          <w:b w:val="0"/>
          <w:i w:val="0"/>
        </w:rPr>
        <w:t>We will cover defence costs incurred by an insured person in connection with an AUSTRAC investigation or enforcement action under the Anti-Money Laundering and Counter-Terrorism Financing Act 2006 (Cth), alleging a failure of AML/CTF program compliance in the insured person's governance capacity.</w:t>
      </w:r>
    </w:p>
    <w:p>
      <w:r>
        <w:rPr>
          <w:b w:val="0"/>
          <w:i w:val="0"/>
        </w:rPr>
        <w:t>We will not cover fines or penalties imposed on the company for AML/CTF breaches under Side C (these are not securities claims).</w:t>
      </w:r>
    </w:p>
    <w:p>
      <w:r>
        <w:rPr>
          <w:b/>
          <w:i w:val="0"/>
        </w:rPr>
        <w:t>Royal Commission or Parliamentary Inquiry</w:t>
      </w:r>
    </w:p>
    <w:p>
      <w:hyperlink w:anchor="c_do_def_investigation">
        <w:r>
          <w:rPr>
            <w:color w:val="2E5C4E"/>
            <w:u w:val="single"/>
          </w:rPr>
          <w:t xml:space="preserve">The definition of Investigation</w:t>
        </w:r>
      </w:hyperlink>
      <w:r>
        <w:rPr>
          <w:b w:val="0"/>
          <w:i w:val="0"/>
        </w:rPr>
        <w:t xml:space="preserve"> already extends base cover — for every insured, not only financial institutions — to a Royal Commission, Parliamentary Committee inquiry, or equivalent public inquiry (see limb (g) of that definition and </w:t>
      </w:r>
      <w:hyperlink w:anchor="c_do_ext_investigation_costs">
        <w:r>
          <w:rPr>
            <w:color w:val="2E5C4E"/>
            <w:u w:val="single"/>
          </w:rPr>
          <w:t xml:space="preserve">the Investigation Costs extension</w:t>
        </w:r>
      </w:hyperlink>
      <w:r>
        <w:rPr>
          <w:b w:val="0"/>
          <w:i w:val="0"/>
        </w:rPr>
        <w:t>). This clause additionally confirms that, for financial institutions, that base cover extends to preparing for and attending a Royal Commission, Parliamentary Committee inquiry, or other public inquiry relating to the financial services industry, where the insured person is required to give evidence or produce documents.</w:t>
      </w:r>
    </w:p>
    <w:p>
      <w:r>
        <w:rPr>
          <w:b/>
          <w:i w:val="0"/>
        </w:rPr>
        <w:t>Professional Services — Modified Exclusion</w:t>
      </w:r>
    </w:p>
    <w:p>
      <w:r>
        <w:rPr>
          <w:b w:val="0"/>
          <w:i w:val="0"/>
        </w:rPr>
        <w:t xml:space="preserve">For financial institutions, </w:t>
      </w:r>
      <w:hyperlink w:anchor="c_do_excl_professional_services">
        <w:r>
          <w:rPr>
            <w:color w:val="2E5C4E"/>
            <w:u w:val="single"/>
          </w:rPr>
          <w:t xml:space="preserve">the Professional Services exclusion</w:t>
        </w:r>
      </w:hyperlink>
      <w:r>
        <w:rPr>
          <w:b w:val="0"/>
          <w:i w:val="0"/>
        </w:rPr>
        <w:t xml:space="preserve"> is modified as follows: the exclusion does not apply to claims alleging that the company or an insured person failed in their governance, oversight, or supervision of the provision of financial services or financial products by the company or its representatives — including claims alleging systemic failures in compliance, risk management, or conduct standards.</w:t>
      </w:r>
    </w:p>
    <w:p>
      <w:r>
        <w:rPr>
          <w:b w:val="0"/>
          <w:i w:val="0"/>
        </w:rPr>
        <w:t>The exclusion continues to apply to individual advisory or transactional errors by employees (which are covered under PI or professional lines insurance).</w:t>
      </w:r>
    </w:p>
    <w:p>
      <w:r>
        <w:rPr>
          <w:b w:val="0"/>
          <w:i w:val="0"/>
        </w:rPr>
        <w:t>Schedule variables: FAR and prudential proceedings sub-limit; deferred remuneration sub-limit.</w:t>
      </w:r>
    </w:p>
    <w:p>
      <w:bookmarkStart w:id="124" w:name="c_do_end_e04"/>
      <w:r>
        <w:rPr>
          <w:rFonts w:ascii="Georgia" w:hAnsi="Georgia" w:eastAsia="Georgia"/>
          <w:b/>
          <w:i w:val="0"/>
          <w:color w:val="2E5C4E"/>
          <w:sz w:val="25"/>
        </w:rPr>
        <w:t>E04 Environmental, Social, and Governance (ESG)</w:t>
      </w:r>
      <w:bookmarkEnd w:id="124"/>
    </w:p>
    <w:p>
      <w:r>
        <w:rPr>
          <w:b/>
          <w:i w:val="0"/>
        </w:rPr>
        <w:t>Greenwashing Claims</w:t>
      </w:r>
    </w:p>
    <w:p>
      <w:r>
        <w:rPr>
          <w:b w:val="0"/>
          <w:i w:val="0"/>
        </w:rPr>
        <w:t>We will cover claims against an insured alleging misleading or deceptive conduct in connection with environmental, social, or governance disclosures, sustainability reports, or ESG-related representations made by the company — including claims under section 1041H of the Corporations Act 2001 (Cth) or the Australian Consumer Law. This includes enforcement action alleging greenwashing in relation to financial products, investment strategies, or corporate disclosures.</w:t>
      </w:r>
    </w:p>
    <w:p>
      <w:r>
        <w:rPr>
          <w:b/>
          <w:i w:val="0"/>
        </w:rPr>
        <w:t>Climate Disclosure</w:t>
      </w:r>
    </w:p>
    <w:p>
      <w:r>
        <w:rPr>
          <w:b w:val="0"/>
          <w:i w:val="0"/>
        </w:rPr>
        <w:t>We will cover claims arising from the company's climate-related disclosures, including disclosures required under the Australian Sustainability Reporting Standards (ASRS) or equivalent mandatory disclosure requirements, and voluntary disclosures made in accordance with the TCFD framework or its successors.</w:t>
      </w:r>
    </w:p>
    <w:p>
      <w:r>
        <w:rPr>
          <w:b/>
          <w:i w:val="0"/>
        </w:rPr>
        <w:t>Activist Shareholder Claims</w:t>
      </w:r>
    </w:p>
    <w:p>
      <w:r>
        <w:rPr>
          <w:b w:val="0"/>
          <w:i w:val="0"/>
        </w:rPr>
        <w:t>We will cover claims brought by shareholders or shareholder activist groups alleging that the company's directors and officers have failed to adequately address climate-related risks, transition risks, or sustainability-related risks in their governance and strategy.</w:t>
      </w:r>
    </w:p>
    <w:p>
      <w:r>
        <w:rPr>
          <w:b w:val="0"/>
          <w:i w:val="0"/>
        </w:rPr>
        <w:t>Schedule variables: ESG sub-limit, if any.</w:t>
      </w:r>
    </w:p>
    <w:p>
      <w:bookmarkStart w:id="125" w:name="c_do_end_e05"/>
      <w:r>
        <w:rPr>
          <w:rFonts w:ascii="Georgia" w:hAnsi="Georgia" w:eastAsia="Georgia"/>
          <w:b/>
          <w:i w:val="0"/>
          <w:color w:val="2E5C4E"/>
          <w:sz w:val="25"/>
        </w:rPr>
        <w:t>E05 Prospectus and Capital Raising — Enhanced</w:t>
      </w:r>
      <w:bookmarkEnd w:id="125"/>
    </w:p>
    <w:p>
      <w:r>
        <w:rPr>
          <w:b w:val="0"/>
          <w:i w:val="0"/>
        </w:rPr>
        <w:t>It provides enhanced cover for specific capital raisings.</w:t>
      </w:r>
    </w:p>
    <w:p>
      <w:r>
        <w:rPr>
          <w:b/>
          <w:i w:val="0"/>
        </w:rPr>
        <w:t>Specified Capital Raising</w:t>
      </w:r>
    </w:p>
    <w:p>
      <w:r>
        <w:rPr>
          <w:b w:val="0"/>
          <w:i w:val="0"/>
        </w:rPr>
        <w:t>This endorsement applies to the capital raising described in the schedule (including type, maximum proceeds, and prospectus date).</w:t>
      </w:r>
    </w:p>
    <w:p>
      <w:r>
        <w:rPr>
          <w:b/>
          <w:i w:val="0"/>
        </w:rPr>
        <w:t>Extended Coverage Period</w:t>
      </w:r>
    </w:p>
    <w:p>
      <w:r>
        <w:rPr>
          <w:b w:val="0"/>
          <w:i w:val="0"/>
        </w:rPr>
        <w:t>We will cover claims arising from the specified capital raising for a period of 72 months from the date of the prospectus or disclosure document — regardless of whether this policy is renewed or replaced during that period.</w:t>
      </w:r>
    </w:p>
    <w:p>
      <w:r>
        <w:rPr>
          <w:b/>
          <w:i w:val="0"/>
        </w:rPr>
        <w:t>No Time Limitation</w:t>
      </w:r>
    </w:p>
    <w:p>
      <w:r>
        <w:rPr>
          <w:b w:val="0"/>
          <w:i w:val="0"/>
        </w:rPr>
        <w:t>The 72-month coverage period operates independently of the policy period. A claim first made within the 72-month period is covered even if this policy has expired or been replaced — provided the capital raising occurred during this policy period.</w:t>
      </w:r>
    </w:p>
    <w:p>
      <w:r>
        <w:rPr>
          <w:b/>
          <w:i w:val="0"/>
        </w:rPr>
        <w:t>Roadshow and Investor Presentation Cover</w:t>
      </w:r>
    </w:p>
    <w:p>
      <w:r>
        <w:rPr>
          <w:b w:val="0"/>
          <w:i w:val="0"/>
        </w:rPr>
        <w:t>We will cover claims arising from statements made in investor roadshows, analyst presentations, media interviews, and investor briefings conducted in connection with the specified capital raising — including oral statements made by or on behalf of an insured.</w:t>
      </w:r>
    </w:p>
    <w:p>
      <w:r>
        <w:rPr>
          <w:b/>
          <w:i w:val="0"/>
        </w:rPr>
        <w:t>Due Diligence Defence Costs</w:t>
      </w:r>
    </w:p>
    <w:p>
      <w:r>
        <w:rPr>
          <w:b w:val="0"/>
          <w:i w:val="0"/>
        </w:rPr>
        <w:t>We will pay the costs of establishing a due diligence defence under section 731 of the Corporations Act 2001 (Cth) or equivalent.</w:t>
      </w:r>
    </w:p>
    <w:p>
      <w:r>
        <w:rPr>
          <w:b/>
          <w:i w:val="0"/>
        </w:rPr>
        <w:t>Limit, Premium and Other Insurance</w:t>
      </w:r>
    </w:p>
    <w:p>
      <w:r>
        <w:rPr>
          <w:b w:val="0"/>
          <w:i w:val="0"/>
        </w:rPr>
        <w:t>Claims under this endorsement are subject to the limit of liability of the policy period in which the capital raising occurred. They are part of that limit, not in addition to it. If a policy we issue for a later period also responds to the claim, we pay it only once.</w:t>
      </w:r>
    </w:p>
    <w:p>
      <w:r>
        <w:rPr>
          <w:b w:val="0"/>
          <w:i w:val="0"/>
        </w:rPr>
        <w:t xml:space="preserve">The additional premium for this endorsement is shown in the schedule. </w:t>
      </w:r>
      <w:hyperlink w:anchor="c_do_pay_other_insurance">
        <w:r>
          <w:rPr>
            <w:color w:val="2E5C4E"/>
            <w:u w:val="single"/>
          </w:rPr>
          <w:t xml:space="preserve">The Other Insurance provision</w:t>
        </w:r>
      </w:hyperlink>
      <w:r>
        <w:rPr>
          <w:b w:val="0"/>
          <w:i w:val="0"/>
        </w:rPr>
        <w:t xml:space="preserve"> applies to claims under this endorsement.</w:t>
      </w:r>
    </w:p>
    <w:p>
      <w:r>
        <w:rPr>
          <w:b w:val="0"/>
          <w:i w:val="0"/>
        </w:rPr>
        <w:t>Schedule variables: Type, maximum proceeds and date of the specified capital raising; additional premium.</w:t>
      </w:r>
    </w:p>
    <w:p>
      <w:bookmarkStart w:id="126" w:name="c_do_end_e06"/>
      <w:r>
        <w:rPr>
          <w:rFonts w:ascii="Georgia" w:hAnsi="Georgia" w:eastAsia="Georgia"/>
          <w:b/>
          <w:i w:val="0"/>
          <w:color w:val="2E5C4E"/>
          <w:sz w:val="25"/>
        </w:rPr>
        <w:t>E06 Extended Discovery Period</w:t>
      </w:r>
      <w:bookmarkEnd w:id="126"/>
    </w:p>
    <w:p>
      <w:r>
        <w:rPr>
          <w:b w:val="0"/>
          <w:i w:val="0"/>
        </w:rPr>
        <w:t xml:space="preserve">The discovery period under </w:t>
      </w:r>
      <w:hyperlink w:anchor="c_do_cond_discovery_period">
        <w:r>
          <w:rPr>
            <w:color w:val="2E5C4E"/>
            <w:u w:val="single"/>
          </w:rPr>
          <w:t xml:space="preserve">the Discovery Period condition</w:t>
        </w:r>
      </w:hyperlink>
      <w:r>
        <w:rPr>
          <w:b w:val="0"/>
          <w:i w:val="0"/>
        </w:rPr>
        <w:t xml:space="preserve"> is extended to the period shown in the schedule (12, 24, 36, 72 or 84 months, or lifetime) after the end of the policy period.</w:t>
      </w:r>
    </w:p>
    <w:p>
      <w:r>
        <w:rPr>
          <w:b w:val="0"/>
          <w:i w:val="0"/>
        </w:rPr>
        <w:t>During the extended discovery period, claims first made against an insured for wrongful acts that occurred during or before the policy period are covered, subject to all other terms, conditions, exclusions, and limits of this policy.</w:t>
      </w:r>
    </w:p>
    <w:p>
      <w:r>
        <w:rPr>
          <w:b w:val="0"/>
          <w:i w:val="0"/>
        </w:rPr>
        <w:t>The extended discovery period is not cancellable by us once purchased. Additional premium: as shown in the schedule.</w:t>
      </w:r>
    </w:p>
    <w:p>
      <w:r>
        <w:rPr>
          <w:b w:val="0"/>
          <w:i w:val="0"/>
        </w:rPr>
        <w:t>Schedule variables: Extended discovery period (12, 24, 36, 72 or 84 months, or lifetime); additional premium.</w:t>
      </w:r>
    </w:p>
    <w:p>
      <w:bookmarkStart w:id="127" w:name="c_do_end_e07"/>
      <w:r>
        <w:rPr>
          <w:rFonts w:ascii="Georgia" w:hAnsi="Georgia" w:eastAsia="Georgia"/>
          <w:b/>
          <w:i w:val="0"/>
          <w:color w:val="2E5C4E"/>
          <w:sz w:val="25"/>
        </w:rPr>
        <w:t>E07 Defence Costs in Addition to Limit</w:t>
      </w:r>
      <w:bookmarkEnd w:id="127"/>
    </w:p>
    <w:p>
      <w:hyperlink w:anchor="c_do_pay_defence_costs">
        <w:r>
          <w:rPr>
            <w:color w:val="2E5C4E"/>
            <w:u w:val="single"/>
          </w:rPr>
          <w:t xml:space="preserve">The Defence Costs provision</w:t>
        </w:r>
      </w:hyperlink>
      <w:r>
        <w:rPr>
          <w:b w:val="0"/>
          <w:i w:val="0"/>
        </w:rPr>
        <w:t xml:space="preserve"> is deleted and replaced with: “Defence costs are payable in addition to the limit of liability. This means that the cost of defending a claim does not reduce the amount available to pay compensatory damages.”</w:t>
      </w:r>
    </w:p>
    <w:p>
      <w:r>
        <w:rPr>
          <w:b w:val="0"/>
          <w:i w:val="0"/>
        </w:rPr>
        <w:t>Additional sub-limit for defence costs: as shown in the schedule. If the schedule shows no sub-limit, the sub-limit is 25% of the Overall Aggregate shown in Item 3(g) of the schedule.</w:t>
      </w:r>
    </w:p>
    <w:p>
      <w:r>
        <w:rPr>
          <w:b w:val="0"/>
          <w:i w:val="0"/>
        </w:rPr>
        <w:t>Schedule variables: Defence costs sub-limit, if any (25% of the Overall Aggregate applies if none is shown).</w:t>
      </w:r>
    </w:p>
    <w:p>
      <w:bookmarkStart w:id="128" w:name="c_do_end_e08"/>
      <w:r>
        <w:rPr>
          <w:rFonts w:ascii="Georgia" w:hAnsi="Georgia" w:eastAsia="Georgia"/>
          <w:b/>
          <w:i w:val="0"/>
          <w:color w:val="2E5C4E"/>
          <w:sz w:val="25"/>
        </w:rPr>
        <w:t>E08 Side A Standalone / Excess DIC</w:t>
      </w:r>
      <w:bookmarkEnd w:id="128"/>
    </w:p>
    <w:p>
      <w:r>
        <w:rPr>
          <w:b w:val="0"/>
          <w:i w:val="0"/>
        </w:rPr>
        <w:t>It converts Side A into a standalone excess and difference-in-conditions layer, with drop-down triggers.</w:t>
      </w:r>
    </w:p>
    <w:p>
      <w:r>
        <w:rPr>
          <w:b/>
          <w:i w:val="0"/>
        </w:rPr>
        <w:t>Excess Function</w:t>
      </w:r>
    </w:p>
    <w:p>
      <w:r>
        <w:rPr>
          <w:b w:val="0"/>
          <w:i w:val="0"/>
        </w:rPr>
        <w:t xml:space="preserve">Side A of this policy operates as an excess layer above the primary D&amp;O insurance identified in the schedule as the “Primary D&amp;O Policy”. Side A responds when the insured person's non-indemnifiable loss exceeds the limit of the Primary D&amp;O Policy. This policy is excess of that specified policy for the purposes of </w:t>
      </w:r>
      <w:hyperlink w:anchor="c_do_pay_other_insurance">
        <w:r>
          <w:rPr>
            <w:color w:val="2E5C4E"/>
            <w:u w:val="single"/>
          </w:rPr>
          <w:t xml:space="preserve">the Other Insurance provision</w:t>
        </w:r>
      </w:hyperlink>
      <w:r>
        <w:rPr>
          <w:b w:val="0"/>
          <w:i w:val="0"/>
        </w:rPr>
        <w:t>.</w:t>
      </w:r>
    </w:p>
    <w:p>
      <w:r>
        <w:rPr>
          <w:b/>
          <w:i w:val="0"/>
        </w:rPr>
        <w:t>DIC Drop-Down</w:t>
      </w:r>
    </w:p>
    <w:p>
      <w:r>
        <w:rPr>
          <w:b w:val="0"/>
          <w:i w:val="0"/>
        </w:rPr>
        <w:t>Side A will drop down and respond from the ground up (or from the DIC retention shown in the schedule) for non-indemnifiable loss if the Primary D&amp;O Policy fails to respond because of: (a) insolvency of the primary insurer; (b) aggregate exhaustion of the Primary D&amp;O Policy; (c) avoidance of the Primary D&amp;O Policy on grounds of non-disclosure or misrepresentation (but not where the insured person seeking cover personally caused that avoidance); (d) coverage denial based on a breach of condition by the company (not the insured person); (e) an exclusion in the Primary D&amp;O Policy that does not appear in this policy; or (f) cancellation or non-renewal of the Primary D&amp;O Policy (other than by the company for non-payment).</w:t>
      </w:r>
    </w:p>
    <w:p>
      <w:r>
        <w:rPr>
          <w:b w:val="0"/>
          <w:i w:val="0"/>
        </w:rPr>
        <w:t>The DIC retention applies only to loss paid under this drop-down. It does not apply to loss above the limit of the Primary D&amp;O Policy.</w:t>
      </w:r>
    </w:p>
    <w:p>
      <w:r>
        <w:rPr>
          <w:b/>
          <w:i w:val="0"/>
        </w:rPr>
        <w:t>Presumptive Indemnification</w:t>
      </w:r>
    </w:p>
    <w:p>
      <w:r>
        <w:rPr>
          <w:b w:val="0"/>
          <w:i w:val="0"/>
        </w:rPr>
        <w:t>When deciding whether loss is non-indemnifiable loss, we presume that the company will indemnify the insured person to the extent the law permits and the company is financially able. The presumption does not apply if the company is insolvent, or has refused or failed to indemnify. Uncertainty about whether the company will indemnify does not entitle us to withhold or delay advancement of defence costs once this endorsement responds. [WP REVIEW: confirm that this presumption, and its limits, are workable and consistent with the Non-indemnifiable loss definition.]</w:t>
      </w:r>
    </w:p>
    <w:p>
      <w:r>
        <w:rPr>
          <w:b/>
          <w:i w:val="0"/>
        </w:rPr>
        <w:t>Maintenance of the Primary D&amp;O Policy</w:t>
      </w:r>
    </w:p>
    <w:p>
      <w:r>
        <w:rPr>
          <w:b w:val="0"/>
          <w:i w:val="0"/>
        </w:rPr>
        <w:t xml:space="preserve">The company must keep the Primary D&amp;O Policy in force, on the terms and limits shown in the schedule, for the policy period, and tell us promptly if it is cancelled, not renewed, or its limits or terms are reduced. If it is not kept in force, drop-down under paragraphs (a) to (f) above is available only to the extent the Primary D&amp;O Policy would have responded had it been maintained, and only as section 54 of the Insurance Contracts Act 1984 (Cth) allows (see </w:t>
      </w:r>
      <w:hyperlink w:anchor="c_do_cond_insurance_contracts_act_1984_c">
        <w:r>
          <w:rPr>
            <w:color w:val="2E5C4E"/>
            <w:u w:val="single"/>
          </w:rPr>
          <w:t xml:space="preserve">the Insurance Contracts Act 1984 (Cth) condition</w:t>
        </w:r>
      </w:hyperlink>
      <w:r>
        <w:rPr>
          <w:b w:val="0"/>
          <w:i w:val="0"/>
        </w:rPr>
        <w:t>).</w:t>
      </w:r>
    </w:p>
    <w:p>
      <w:r>
        <w:rPr>
          <w:b/>
          <w:i w:val="0"/>
        </w:rPr>
        <w:t>Non-Avoidance</w:t>
      </w:r>
    </w:p>
    <w:p>
      <w:r>
        <w:rPr>
          <w:b w:val="0"/>
          <w:i w:val="0"/>
        </w:rPr>
        <w:t xml:space="preserve">Side A under this endorsement is non-avoidable on the terms of </w:t>
      </w:r>
      <w:hyperlink w:anchor="c_do_cond_non_avoidance_side_a">
        <w:r>
          <w:rPr>
            <w:color w:val="2E5C4E"/>
            <w:u w:val="single"/>
          </w:rPr>
          <w:t xml:space="preserve">the Non-Avoidance (Side A) condition</w:t>
        </w:r>
      </w:hyperlink>
      <w:r>
        <w:rPr>
          <w:b w:val="0"/>
          <w:i w:val="0"/>
        </w:rPr>
        <w:t>.</w:t>
      </w:r>
    </w:p>
    <w:p>
      <w:r>
        <w:rPr>
          <w:b/>
          <w:i w:val="0"/>
        </w:rPr>
        <w:t>Limits</w:t>
      </w:r>
    </w:p>
    <w:p>
      <w:r>
        <w:rPr>
          <w:b w:val="0"/>
          <w:i w:val="0"/>
        </w:rPr>
        <w:t xml:space="preserve">The Side A limit under this endorsement is the Side A limit shown in Items 3(a) and 3(b) of the schedule. It is part of, not in addition to, the Overall Aggregate in Item 3(g). Payments under Side A rank first under </w:t>
      </w:r>
      <w:hyperlink w:anchor="c_do_pay_priority_of_payment">
        <w:r>
          <w:rPr>
            <w:color w:val="2E5C4E"/>
            <w:u w:val="single"/>
          </w:rPr>
          <w:t xml:space="preserve">the Priority of Payment provision</w:t>
        </w:r>
      </w:hyperlink>
      <w:r>
        <w:rPr>
          <w:b w:val="0"/>
          <w:i w:val="0"/>
        </w:rPr>
        <w:t>.</w:t>
      </w:r>
    </w:p>
    <w:p>
      <w:r>
        <w:rPr>
          <w:b w:val="0"/>
          <w:i w:val="0"/>
        </w:rPr>
        <w:t>Schedule variables: Primary D&amp;O policy; DIC retention.</w:t>
      </w:r>
    </w:p>
    <w:p>
      <w:bookmarkStart w:id="129" w:name="c_do_end_e09"/>
      <w:r>
        <w:rPr>
          <w:rFonts w:ascii="Georgia" w:hAnsi="Georgia" w:eastAsia="Georgia"/>
          <w:b/>
          <w:i w:val="0"/>
          <w:color w:val="2E5C4E"/>
          <w:sz w:val="25"/>
        </w:rPr>
        <w:t>E09 Excess Layer</w:t>
      </w:r>
      <w:bookmarkEnd w:id="129"/>
    </w:p>
    <w:p>
      <w:r>
        <w:rPr>
          <w:b w:val="0"/>
          <w:i w:val="0"/>
        </w:rPr>
        <w:t>It converts this entire policy into an excess layer above a specified primary D&amp;O policy.</w:t>
      </w:r>
    </w:p>
    <w:p>
      <w:r>
        <w:rPr>
          <w:b/>
          <w:i w:val="0"/>
        </w:rPr>
        <w:t>Excess Function</w:t>
      </w:r>
    </w:p>
    <w:p>
      <w:r>
        <w:rPr>
          <w:b w:val="0"/>
          <w:i w:val="0"/>
        </w:rPr>
        <w:t>This policy sits excess of the primary D&amp;O policy identified in the schedule and follows its form, subject to the terms of this policy where they differ. Where the two are inconsistent, this policy applies.</w:t>
      </w:r>
    </w:p>
    <w:p>
      <w:r>
        <w:rPr>
          <w:b/>
          <w:i w:val="0"/>
        </w:rPr>
        <w:t>Attachment</w:t>
      </w:r>
    </w:p>
    <w:p>
      <w:r>
        <w:rPr>
          <w:b w:val="0"/>
          <w:i w:val="0"/>
        </w:rPr>
        <w:t xml:space="preserve">This policy responds only after the limit of the primary D&amp;O policy has been exhausted by payment of loss that the primary D&amp;O policy covers. The attachment point is the limit of the primary D&amp;O policy shown in the schedule. This policy is excess of that specified policy for the purposes of </w:t>
      </w:r>
      <w:hyperlink w:anchor="c_do_pay_other_insurance">
        <w:r>
          <w:rPr>
            <w:color w:val="2E5C4E"/>
            <w:u w:val="single"/>
          </w:rPr>
          <w:t xml:space="preserve">the Other Insurance provision</w:t>
        </w:r>
      </w:hyperlink>
      <w:r>
        <w:rPr>
          <w:b w:val="0"/>
          <w:i w:val="0"/>
        </w:rPr>
        <w:t>.</w:t>
      </w:r>
    </w:p>
    <w:p>
      <w:r>
        <w:rPr>
          <w:b/>
          <w:i w:val="0"/>
        </w:rPr>
        <w:t>No Drop-Down</w:t>
      </w:r>
    </w:p>
    <w:p>
      <w:r>
        <w:rPr>
          <w:b w:val="0"/>
          <w:i w:val="0"/>
        </w:rPr>
        <w:t xml:space="preserve">This policy does not drop down. If the primary D&amp;O policy does not pay for any reason, including insolvency of its insurer or its refusal to pay, we respond only above the attachment point. An amount the primary insurer does not pay does not reduce the attachment point. Drop-down cover for Side A is available only under </w:t>
      </w:r>
      <w:hyperlink w:anchor="c_do_end_e08">
        <w:r>
          <w:rPr>
            <w:color w:val="2E5C4E"/>
            <w:u w:val="single"/>
          </w:rPr>
          <w:t xml:space="preserve">the E08 Side A Standalone / Excess DIC endorsement</w:t>
        </w:r>
      </w:hyperlink>
      <w:r>
        <w:rPr>
          <w:b w:val="0"/>
          <w:i w:val="0"/>
        </w:rPr>
        <w:t>.</w:t>
      </w:r>
    </w:p>
    <w:p>
      <w:r>
        <w:rPr>
          <w:b w:val="0"/>
          <w:i w:val="0"/>
        </w:rPr>
        <w:t>Schedule variables: Primary D&amp;O policy and its limit; attachment point.</w:t>
      </w:r>
    </w:p>
    <w:p>
      <w:bookmarkStart w:id="130" w:name="c_do_end_e10"/>
      <w:r>
        <w:rPr>
          <w:rFonts w:ascii="Georgia" w:hAnsi="Georgia" w:eastAsia="Georgia"/>
          <w:b/>
          <w:i w:val="0"/>
          <w:color w:val="2E5C4E"/>
          <w:sz w:val="25"/>
        </w:rPr>
        <w:t>E10 Run-Off / Tail Policy</w:t>
      </w:r>
      <w:bookmarkEnd w:id="130"/>
    </w:p>
    <w:p>
      <w:r>
        <w:rPr>
          <w:b w:val="0"/>
          <w:i w:val="0"/>
        </w:rPr>
        <w:t>It converts this policy to a run-off (tail) policy following a change of control, merger, or cessation of listing.</w:t>
      </w:r>
    </w:p>
    <w:p>
      <w:r>
        <w:rPr>
          <w:b/>
          <w:i w:val="0"/>
        </w:rPr>
        <w:t>Trigger Event</w:t>
      </w:r>
    </w:p>
    <w:p>
      <w:r>
        <w:rPr>
          <w:b w:val="0"/>
          <w:i w:val="0"/>
        </w:rPr>
        <w:t>This endorsement takes effect upon the occurrence of: change of control / merger / scheme of arrangement / delisting / voluntary administration / other (as specified in the schedule).</w:t>
      </w:r>
    </w:p>
    <w:p>
      <w:r>
        <w:rPr>
          <w:b/>
          <w:i w:val="0"/>
        </w:rPr>
        <w:t>Run-Off Reporting Period</w:t>
      </w:r>
    </w:p>
    <w:p>
      <w:r>
        <w:rPr>
          <w:b w:val="0"/>
          <w:i w:val="0"/>
        </w:rPr>
        <w:t>This policy will cover claims first made against any insured during the period shown in the schedule (12, 24, 36, or 72 months) following the trigger event, for wrongful acts that occurred before the trigger event.</w:t>
      </w:r>
    </w:p>
    <w:p>
      <w:r>
        <w:rPr>
          <w:b/>
          <w:i w:val="0"/>
        </w:rPr>
        <w:t>No New Wrongful Acts</w:t>
      </w:r>
    </w:p>
    <w:p>
      <w:r>
        <w:rPr>
          <w:b w:val="0"/>
          <w:i w:val="0"/>
        </w:rPr>
        <w:t>This policy does not cover wrongful acts committed after the trigger event.</w:t>
      </w:r>
    </w:p>
    <w:p>
      <w:r>
        <w:rPr>
          <w:b/>
          <w:i w:val="0"/>
        </w:rPr>
        <w:t>Non-Cancellable</w:t>
      </w:r>
    </w:p>
    <w:p>
      <w:r>
        <w:rPr>
          <w:b w:val="0"/>
          <w:i w:val="0"/>
        </w:rPr>
        <w:t>Once this endorsement is activated and the premium is paid, neither we nor the company may cancel the run-off cover.</w:t>
      </w:r>
    </w:p>
    <w:p>
      <w:r>
        <w:rPr>
          <w:b/>
          <w:i w:val="0"/>
        </w:rPr>
        <w:t>Premium</w:t>
      </w:r>
    </w:p>
    <w:p>
      <w:r>
        <w:rPr>
          <w:b w:val="0"/>
          <w:i w:val="0"/>
        </w:rPr>
        <w:t>The run-off premium is as specified in the schedule — typically 100–300% of the expiring annual premium depending on duration.</w:t>
      </w:r>
    </w:p>
    <w:p>
      <w:r>
        <w:rPr>
          <w:b w:val="0"/>
          <w:i w:val="0"/>
        </w:rPr>
        <w:t>Schedule variables: Trigger event; run-off period (12, 24, 36 or 72 months); run-off premium.</w:t>
      </w:r>
    </w:p>
    <w:p>
      <w:bookmarkStart w:id="131" w:name="c_do_end_e12"/>
      <w:r>
        <w:rPr>
          <w:rFonts w:ascii="Georgia" w:hAnsi="Georgia" w:eastAsia="Georgia"/>
          <w:b/>
          <w:i w:val="0"/>
          <w:color w:val="2E5C4E"/>
          <w:sz w:val="25"/>
        </w:rPr>
        <w:t>E12 Outside Directorship Liability (ODL)</w:t>
      </w:r>
      <w:bookmarkEnd w:id="131"/>
    </w:p>
    <w:p>
      <w:r>
        <w:rPr>
          <w:b/>
          <w:i w:val="0"/>
        </w:rPr>
        <w:t>Additional Definitions</w:t>
      </w:r>
    </w:p>
    <w:p>
      <w:r>
        <w:rPr>
          <w:b w:val="0"/>
          <w:i w:val="0"/>
        </w:rPr>
        <w:t>Outside entity means a corporation, partnership, trust, or not-for-profit organisation (other than the company or a Subsidiary) in which an insured person serves as a director, officer, trustee, or equivalent, at the specific written request of the company.</w:t>
      </w:r>
    </w:p>
    <w:p>
      <w:r>
        <w:rPr>
          <w:b w:val="0"/>
          <w:i w:val="0"/>
        </w:rPr>
        <w:t>Outside position means the office or role held by an insured person in an outside entity, as outside director, officer, trustee, or equivalent.</w:t>
      </w:r>
    </w:p>
    <w:p>
      <w:r>
        <w:rPr>
          <w:b w:val="0"/>
          <w:i w:val="0"/>
        </w:rPr>
        <w:t>Outside entity insurance means any directors' and officers' liability insurance, or equivalent insurance, maintained by or for the benefit of an outside entity that responds to a claim against an insured person in their outside position.</w:t>
      </w:r>
    </w:p>
    <w:p>
      <w:r>
        <w:rPr>
          <w:b/>
          <w:i w:val="0"/>
        </w:rPr>
        <w:t>Insuring Clause</w:t>
      </w:r>
    </w:p>
    <w:p>
      <w:r>
        <w:rPr>
          <w:b w:val="0"/>
          <w:i w:val="0"/>
        </w:rPr>
        <w:t>We will pay non-indemnifiable loss and indemnifiable loss (in each case in accordance with Sides A and B of this policy) that an insured person becomes legally liable for, arising from a wrongful act committed in their outside position, provided: (a) the company requested, in writing, that the insured person hold the outside position; and (b) the claim is first made against the insured person during the policy period.</w:t>
      </w:r>
    </w:p>
    <w:p>
      <w:r>
        <w:rPr>
          <w:b w:val="0"/>
          <w:i w:val="0"/>
        </w:rPr>
        <w:t>Cover under this endorsement is subject to all the terms, conditions, exclusions, and limits of this policy that would otherwise apply to a claim against an insured person, except as varied by this endorsement.</w:t>
      </w:r>
    </w:p>
    <w:p>
      <w:r>
        <w:rPr>
          <w:b/>
          <w:i w:val="0"/>
        </w:rPr>
        <w:t>Sub-limit</w:t>
      </w:r>
    </w:p>
    <w:p>
      <w:r>
        <w:rPr>
          <w:b w:val="0"/>
          <w:i w:val="0"/>
        </w:rPr>
        <w:t>Cover under this endorsement is subject to the sub-limit shown in the schedule for Outside Directorship Liability, which is part of — not in addition to — the Side A and Side B aggregates shown in Item 3 of the schedule.</w:t>
      </w:r>
    </w:p>
    <w:p>
      <w:r>
        <w:rPr>
          <w:b/>
          <w:i w:val="0"/>
        </w:rPr>
        <w:t>Priority and Excess of Outside Entity Insurance — Double-Excess / Other Insurance Interaction</w:t>
      </w:r>
    </w:p>
    <w:p>
      <w:r>
        <w:rPr>
          <w:b w:val="0"/>
          <w:i w:val="0"/>
        </w:rPr>
        <w:t>(a) Cover under this endorsement is excess of, and will not contribute with, any outside entity insurance available to respond to the claim, regardless of whether that outside entity insurance is itself written on a primary or excess basis.</w:t>
      </w:r>
    </w:p>
    <w:p>
      <w:r>
        <w:rPr>
          <w:b w:val="0"/>
          <w:i w:val="0"/>
        </w:rPr>
        <w:t>(b) Where the outside entity maintains its own directors' and officers' liability insurance, that insurance responds first. This endorsement responds only to the extent non-indemnifiable loss or indemnifiable loss (as applicable) exceeds, or is not paid because of exhaustion, cancellation, avoidance, or insolvency of the insurer under, that outside entity insurance.</w:t>
      </w:r>
    </w:p>
    <w:p>
      <w:r>
        <w:rPr>
          <w:b w:val="0"/>
          <w:i w:val="0"/>
        </w:rPr>
        <w:t>(c) Where the company (rather than the outside entity) has arranged or contributed to insurance covering the insured person's outside position — for example, under a general facility separate from this policy — that insurance also responds before this endorsement, on the same basis as (b).</w:t>
      </w:r>
    </w:p>
    <w:p>
      <w:r>
        <w:rPr>
          <w:b w:val="0"/>
          <w:i w:val="0"/>
        </w:rPr>
        <w:t xml:space="preserve">(d) This clause creates a double-excess position: this endorsement sits excess of both (i) the outside entity's own insurance and (ii) any separate facility the company has arranged for outside positions. </w:t>
      </w:r>
      <w:hyperlink w:anchor="c_do_pay_other_insurance">
        <w:r>
          <w:rPr>
            <w:color w:val="2E5C4E"/>
            <w:u w:val="single"/>
          </w:rPr>
          <w:t xml:space="preserve">The Other Insurance provision</w:t>
        </w:r>
      </w:hyperlink>
      <w:r>
        <w:rPr>
          <w:b w:val="0"/>
          <w:i w:val="0"/>
        </w:rPr>
        <w:t xml:space="preserve"> is not affected by this clause and continues to apply to insurance other than outside entity insurance.</w:t>
      </w:r>
    </w:p>
    <w:p>
      <w:r>
        <w:rPr>
          <w:b w:val="0"/>
          <w:i w:val="0"/>
        </w:rPr>
        <w:t xml:space="preserve">(e) Advancement of defence costs under </w:t>
      </w:r>
      <w:hyperlink w:anchor="c_do_ext_advancement_of_defence_costs">
        <w:r>
          <w:rPr>
            <w:color w:val="2E5C4E"/>
            <w:u w:val="single"/>
          </w:rPr>
          <w:t xml:space="preserve">the Advancement of Defence Costs extension</w:t>
        </w:r>
      </w:hyperlink>
      <w:r>
        <w:rPr>
          <w:b w:val="0"/>
          <w:i w:val="0"/>
        </w:rPr>
        <w:t xml:space="preserve"> is not delayed pending exhaustion of rights under outside entity insurance; advancement is made on the terms that already apply to advancement under this policy, subject to the repayment and allocation mechanics in </w:t>
      </w:r>
      <w:hyperlink w:anchor="c_do_ext_advancement_of_defence_costs">
        <w:r>
          <w:rPr>
            <w:color w:val="2E5C4E"/>
            <w:u w:val="single"/>
          </w:rPr>
          <w:t xml:space="preserve">the Advancement of Defence Costs extension</w:t>
        </w:r>
      </w:hyperlink>
      <w:r>
        <w:rPr>
          <w:b w:val="0"/>
          <w:i w:val="0"/>
        </w:rPr>
        <w:t xml:space="preserve"> and </w:t>
      </w:r>
      <w:hyperlink w:anchor="c_do_pay_allocation">
        <w:r>
          <w:rPr>
            <w:color w:val="2E5C4E"/>
            <w:u w:val="single"/>
          </w:rPr>
          <w:t xml:space="preserve">the Allocation provision</w:t>
        </w:r>
      </w:hyperlink>
      <w:r>
        <w:rPr>
          <w:b w:val="0"/>
          <w:i w:val="0"/>
        </w:rPr>
        <w:t>.</w:t>
      </w:r>
    </w:p>
    <w:p>
      <w:r>
        <w:rPr>
          <w:b/>
          <w:i w:val="0"/>
        </w:rPr>
        <w:t>Exclusion — Related For-Profit Entities</w:t>
      </w:r>
    </w:p>
    <w:p>
      <w:r>
        <w:rPr>
          <w:b w:val="0"/>
          <w:i w:val="0"/>
        </w:rPr>
        <w:t>This endorsement does not cover claims arising from an outside position in an outside entity in which the company (together with its Subsidiaries) holds, directly or indirectly, more than 20% of the issued capital or an equivalent economic interest, unless the schedule specifically identifies that outside entity as a covered outside entity.</w:t>
      </w:r>
    </w:p>
    <w:p>
      <w:r>
        <w:rPr>
          <w:b/>
          <w:i w:val="0"/>
        </w:rPr>
        <w:t>No Extension to the Outside Entity</w:t>
      </w:r>
    </w:p>
    <w:p>
      <w:r>
        <w:rPr>
          <w:b w:val="0"/>
          <w:i w:val="0"/>
        </w:rPr>
        <w:t>For the avoidance of doubt, this endorsement does not extend Side C cover to the outside entity, and does not cover a claim by the outside entity against the company.</w:t>
      </w:r>
    </w:p>
    <w:p>
      <w:r>
        <w:rPr>
          <w:b/>
          <w:i w:val="0"/>
        </w:rPr>
        <w:t>Notification</w:t>
      </w:r>
    </w:p>
    <w:p>
      <w:r>
        <w:rPr>
          <w:b w:val="0"/>
          <w:i w:val="0"/>
        </w:rPr>
        <w:t>The company must notify us in writing of each outside position it requests an insured person to hold, within 90 days of the request being made, where the insured person's cover in that position is intended to be covered under this endorsement.</w:t>
      </w:r>
    </w:p>
    <w:p>
      <w:r>
        <w:rPr>
          <w:b w:val="0"/>
          <w:i w:val="0"/>
        </w:rPr>
        <w:t>Schedule variables: Outside Directorship Liability sub-limit; covered outside entities.</w:t>
      </w:r>
    </w:p>
    <w:p>
      <w:bookmarkStart w:id="132" w:name="c_do_end_e13"/>
      <w:r>
        <w:rPr>
          <w:rFonts w:ascii="Georgia" w:hAnsi="Georgia" w:eastAsia="Georgia"/>
          <w:b/>
          <w:i w:val="0"/>
          <w:color w:val="2E5C4E"/>
          <w:sz w:val="25"/>
        </w:rPr>
        <w:t>E13 Employment Practices Liability (EPL)</w:t>
      </w:r>
      <w:bookmarkEnd w:id="132"/>
    </w:p>
    <w:p>
      <w:r>
        <w:rPr>
          <w:b/>
          <w:i w:val="0"/>
        </w:rPr>
        <w:t>Additional Definitions</w:t>
      </w:r>
    </w:p>
    <w:p>
      <w:r>
        <w:rPr>
          <w:b w:val="0"/>
          <w:i w:val="0"/>
        </w:rPr>
        <w:t xml:space="preserve">This endorsement uses </w:t>
      </w:r>
      <w:hyperlink w:anchor="c_do_def_employment_claim">
        <w:r>
          <w:rPr>
            <w:color w:val="2E5C4E"/>
            <w:u w:val="single"/>
          </w:rPr>
          <w:t xml:space="preserve">the definition of Employment claim</w:t>
        </w:r>
      </w:hyperlink>
      <w:r>
        <w:rPr>
          <w:b w:val="0"/>
          <w:i w:val="0"/>
        </w:rPr>
        <w:t>. In addition: Third-party discrimination claim means a claim by a customer, client, supplier, or other third party who is not an Employee, alleging discrimination or harassment by an insured person or an Employee acting on behalf of the company, in connection with the company's business.</w:t>
      </w:r>
    </w:p>
    <w:p>
      <w:r>
        <w:rPr>
          <w:b/>
          <w:i w:val="0"/>
        </w:rPr>
        <w:t>Insuring Clause — Company and Individual Cover</w:t>
      </w:r>
    </w:p>
    <w:p>
      <w:r>
        <w:rPr>
          <w:b w:val="0"/>
          <w:i w:val="0"/>
        </w:rPr>
        <w:t>We will pay: (a) loss that the company becomes legally liable to pay in connection with an Employment claim (extending Side-C-equivalent cover to the company for this purpose only); and (b) non-indemnifiable loss and indemnifiable loss that an insured person becomes legally liable to pay in connection with an Employment claim (under Sides A and B), first made against the company and/or an insured person during the policy period.</w:t>
      </w:r>
    </w:p>
    <w:p>
      <w:r>
        <w:rPr>
          <w:b/>
          <w:i w:val="0"/>
        </w:rPr>
        <w:t>Third-Party Discrimination Claims</w:t>
      </w:r>
    </w:p>
    <w:p>
      <w:r>
        <w:rPr>
          <w:b w:val="0"/>
          <w:i w:val="0"/>
        </w:rPr>
        <w:t>If shown as operative in the schedule, cover under the Insuring Clause paragraph of this endorsement extends to a Third-party discrimination claim, subject to the sub-limit shown in the schedule for third-party discrimination claims.</w:t>
      </w:r>
    </w:p>
    <w:p>
      <w:r>
        <w:rPr>
          <w:b/>
          <w:i w:val="0"/>
        </w:rPr>
        <w:t>Sub-limit and Retention</w:t>
      </w:r>
    </w:p>
    <w:p>
      <w:r>
        <w:rPr>
          <w:b w:val="0"/>
          <w:i w:val="0"/>
        </w:rPr>
        <w:t xml:space="preserve">Cover under this endorsement is subject to: (a) the EPL aggregate sub-limit shown in the schedule (part of, not in addition to, the Overall Aggregate under Item 3(g)); and (b) the EPL retention shown in the schedule, which the company must bear as the first part of each Employment claim, applicable to the company's own loss under paragraph (a) of the Insuring Clause paragraph of this endorsement only — no retention applies to an insured person's non-indemnifiable loss under Side A, consistent with </w:t>
      </w:r>
      <w:hyperlink w:anchor="c_do_cover_no_excess_on_side_a">
        <w:r>
          <w:rPr>
            <w:color w:val="2E5C4E"/>
            <w:u w:val="single"/>
          </w:rPr>
          <w:t xml:space="preserve">the No Excess on Side A clause</w:t>
        </w:r>
      </w:hyperlink>
      <w:r>
        <w:rPr>
          <w:b w:val="0"/>
          <w:i w:val="0"/>
        </w:rPr>
        <w:t>.</w:t>
      </w:r>
    </w:p>
    <w:p>
      <w:r>
        <w:rPr>
          <w:b/>
          <w:i w:val="0"/>
        </w:rPr>
        <w:t>Relationship to the Employer's Liability Exclusion</w:t>
      </w:r>
    </w:p>
    <w:p>
      <w:r>
        <w:rPr>
          <w:b w:val="0"/>
          <w:i w:val="0"/>
        </w:rPr>
        <w:t xml:space="preserve">This endorsement supersedes </w:t>
      </w:r>
      <w:hyperlink w:anchor="c_do_excl_employers_liability">
        <w:r>
          <w:rPr>
            <w:color w:val="2E5C4E"/>
            <w:u w:val="single"/>
          </w:rPr>
          <w:t xml:space="preserve">the Employer's Liability exclusion</w:t>
        </w:r>
      </w:hyperlink>
      <w:r>
        <w:rPr>
          <w:b w:val="0"/>
          <w:i w:val="0"/>
        </w:rPr>
        <w:t xml:space="preserve"> to the extent of the cover this endorsement grants. Where this endorsement is not operative, </w:t>
      </w:r>
      <w:hyperlink w:anchor="c_do_excl_employers_liability">
        <w:r>
          <w:rPr>
            <w:color w:val="2E5C4E"/>
            <w:u w:val="single"/>
          </w:rPr>
          <w:t xml:space="preserve">the Employer's Liability exclusion</w:t>
        </w:r>
      </w:hyperlink>
      <w:r>
        <w:rPr>
          <w:b w:val="0"/>
          <w:i w:val="0"/>
        </w:rPr>
        <w:t xml:space="preserve"> applies, subject to the carve-backs it expressly preserves at paragraph (e) of </w:t>
      </w:r>
      <w:hyperlink w:anchor="c_do_excl_insured_versus_insured">
        <w:r>
          <w:rPr>
            <w:color w:val="2E5C4E"/>
            <w:u w:val="single"/>
          </w:rPr>
          <w:t xml:space="preserve">the Insured Versus Insured exclusion</w:t>
        </w:r>
      </w:hyperlink>
      <w:r>
        <w:rPr>
          <w:b w:val="0"/>
          <w:i w:val="0"/>
        </w:rPr>
        <w:t xml:space="preserve"> and paragraph (a) of </w:t>
      </w:r>
      <w:hyperlink w:anchor="c_do_excl_bodily_injury_and_property_dam">
        <w:r>
          <w:rPr>
            <w:color w:val="2E5C4E"/>
            <w:u w:val="single"/>
          </w:rPr>
          <w:t xml:space="preserve">the Bodily Injury and Property Damage exclusion</w:t>
        </w:r>
      </w:hyperlink>
      <w:r>
        <w:rPr>
          <w:b w:val="0"/>
          <w:i w:val="0"/>
        </w:rPr>
        <w:t>.</w:t>
      </w:r>
    </w:p>
    <w:p>
      <w:r>
        <w:rPr>
          <w:b/>
          <w:i w:val="0"/>
        </w:rPr>
        <w:t>Exclusions Specific to This Endorsement</w:t>
      </w:r>
    </w:p>
    <w:p>
      <w:r>
        <w:rPr>
          <w:b w:val="0"/>
          <w:i w:val="0"/>
        </w:rPr>
        <w:t xml:space="preserve">We will not pay: (a) an amount payable under a statutory redundancy, severance, or long-service-leave entitlement, to the extent payable regardless of any wrongful act; (b) a claim for workers' compensation, or for benefits under a workers' compensation, disability, or unemployment compensation law; (c) a civil penalty imposed under the Fair Work Act 2009 (Cth) or equivalent legislation, to the extent uninsurable at law (consistent with the Loss definition and </w:t>
      </w:r>
      <w:hyperlink w:anchor="c_do_cond_insurance_contracts_act_1984_c">
        <w:r>
          <w:rPr>
            <w:color w:val="2E5C4E"/>
            <w:u w:val="single"/>
          </w:rPr>
          <w:t xml:space="preserve">the Insurance Contracts Act 1984 (Cth) condition</w:t>
        </w:r>
      </w:hyperlink>
      <w:r>
        <w:rPr>
          <w:b w:val="0"/>
          <w:i w:val="0"/>
        </w:rPr>
        <w:t>); and (d) an amount payable as wages, salary, commission, or other compensation earned but unpaid in the ordinary course, other than back pay or front pay awarded as compensatory damages in a covered Employment claim.</w:t>
      </w:r>
    </w:p>
    <w:p>
      <w:r>
        <w:rPr>
          <w:b/>
          <w:i w:val="0"/>
        </w:rPr>
        <w:t>Aggregation</w:t>
      </w:r>
    </w:p>
    <w:p>
      <w:r>
        <w:rPr>
          <w:b w:val="0"/>
          <w:i w:val="0"/>
        </w:rPr>
        <w:t xml:space="preserve">Employment claims by multiple claimants arising from the same, similar, or related policy, practice, or course of conduct are treated as a single Employment claim first made when the earliest was first made, consistent with </w:t>
      </w:r>
      <w:hyperlink w:anchor="c_do_def_claim">
        <w:r>
          <w:rPr>
            <w:color w:val="2E5C4E"/>
            <w:u w:val="single"/>
          </w:rPr>
          <w:t xml:space="preserve">the definition of Claim</w:t>
        </w:r>
      </w:hyperlink>
      <w:r>
        <w:rPr>
          <w:b w:val="0"/>
          <w:i w:val="0"/>
        </w:rPr>
        <w:t>.</w:t>
      </w:r>
    </w:p>
    <w:p>
      <w:r>
        <w:rPr>
          <w:b w:val="0"/>
          <w:i w:val="0"/>
        </w:rPr>
        <w:t>Schedule variables: EPL aggregate sub-limit; EPL retention; third-party discrimination sub-limit.</w:t>
      </w:r>
    </w:p>
    <w:p>
      <w:bookmarkStart w:id="133" w:name="c_do_licence_notice"/>
      <w:r>
        <w:rPr>
          <w:rFonts w:ascii="Georgia" w:hAnsi="Georgia" w:eastAsia="Georgia"/>
          <w:b/>
          <w:i w:val="0"/>
          <w:color w:val="1C1915"/>
          <w:sz w:val="32"/>
        </w:rPr>
        <w:t>Licence and Trademark Notice</w:t>
      </w:r>
      <w:bookmarkEnd w:id="133"/>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and the Corporations Act 2001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Remediation following the Claude pre-review of 2 November 2026.</w:t>
      </w:r>
    </w:p>
    <w:p>
      <w:pPr>
        <w:pStyle w:val="ListBullet"/>
      </w:pPr>
      <w:r>
        <w:rPr>
          <w:b w:val="0"/>
          <w:i w:val="0"/>
        </w:rPr>
        <w:t>Schedule: the schedule now lists Items 1 to 12, with Items 3(a) to 3(g) for the Side A, Side B and Side C limits and the Overall Aggregate. Every reference to an Item in the wording now matches the schedule. Items 9 to 12 are new (insurer, premium, endorsements and the address for notices).</w:t>
      </w:r>
    </w:p>
    <w:p>
      <w:pPr>
        <w:pStyle w:val="ListBullet"/>
      </w:pPr>
      <w:r>
        <w:rPr>
          <w:b w:val="0"/>
          <w:i w:val="0"/>
        </w:rPr>
        <w:t>About This Policy: added the notice required by section 40(1) of the Insurance Contracts Act 1984 (Cth) about the effect of section 40(3).</w:t>
      </w:r>
    </w:p>
    <w:p>
      <w:pPr>
        <w:pStyle w:val="ListBullet"/>
      </w:pPr>
      <w:r>
        <w:rPr>
          <w:b w:val="0"/>
          <w:i w:val="0"/>
        </w:rPr>
        <w:t>Who This Policy Is For: new clause stating that the wording is written for businesses and that a retail client must receive a Product Disclosure Statement and a Target Market Determination.</w:t>
      </w:r>
    </w:p>
    <w:p>
      <w:pPr>
        <w:pStyle w:val="ListBullet"/>
      </w:pPr>
      <w:r>
        <w:rPr>
          <w:b w:val="0"/>
          <w:i w:val="0"/>
        </w:rPr>
        <w:t>Corporations Act 2001 (Cth), sections 199A and 199B: new clause. It states what sections 199A and 199B do, removes cover for a liability the company may not pay the premium to insure, and sets out advance-and-repay for defence costs in civil-penalty and criminal proceedings. It carries a legal review tag.</w:t>
      </w:r>
    </w:p>
    <w:p>
      <w:pPr>
        <w:pStyle w:val="ListBullet"/>
      </w:pPr>
      <w:r>
        <w:rPr>
          <w:b w:val="0"/>
          <w:i w:val="0"/>
        </w:rPr>
        <w:t>Loss: names the work health and safety penalty bans in New South Wales, Victoria and Queensland, and excludes criminal fines. Fines and penalties are covered only to the extent the law allows them to be insured.</w:t>
      </w:r>
    </w:p>
    <w:p>
      <w:pPr>
        <w:pStyle w:val="ListBullet"/>
      </w:pPr>
      <w:r>
        <w:rPr>
          <w:b w:val="0"/>
          <w:i w:val="0"/>
        </w:rPr>
        <w:t>Non-indemnifiable loss, and When Non-Indemnifiable Loss Arises: section 199A is now described by reference to the new clause rather than in a separate summary.</w:t>
      </w:r>
    </w:p>
    <w:p>
      <w:pPr>
        <w:pStyle w:val="ListBullet"/>
      </w:pPr>
      <w:r>
        <w:rPr>
          <w:b w:val="0"/>
          <w:i w:val="0"/>
        </w:rPr>
        <w:t>Control group: new definition. The company's knowledge is now the knowledge of a member of the control group.</w:t>
      </w:r>
    </w:p>
    <w:p>
      <w:pPr>
        <w:pStyle w:val="ListBullet"/>
      </w:pPr>
      <w:r>
        <w:rPr>
          <w:b w:val="0"/>
          <w:i w:val="0"/>
        </w:rPr>
        <w:t>Severability and Non-Imputation: now covers Side B and Side C as well as Side A, applies to every test of knowledge or conduct, and replaces "persons responsible for the company's insurance arrangements" with the control group.</w:t>
      </w:r>
    </w:p>
    <w:p>
      <w:pPr>
        <w:pStyle w:val="ListBullet"/>
      </w:pPr>
      <w:r>
        <w:rPr>
          <w:b w:val="0"/>
          <w:i w:val="0"/>
        </w:rPr>
        <w:t>Prior Known Matters: for Side C the knowledge that counts is the control group's.</w:t>
      </w:r>
    </w:p>
    <w:p>
      <w:pPr>
        <w:pStyle w:val="ListBullet"/>
      </w:pPr>
      <w:r>
        <w:rPr>
          <w:b w:val="0"/>
          <w:i w:val="0"/>
        </w:rPr>
        <w:t>Insured Versus Insured: "whistleblower" is now defined.</w:t>
      </w:r>
    </w:p>
    <w:p>
      <w:pPr>
        <w:pStyle w:val="ListBullet"/>
      </w:pPr>
      <w:r>
        <w:rPr>
          <w:b w:val="0"/>
          <w:i w:val="0"/>
        </w:rPr>
        <w:t>Duty of Disclosure: company knowledge is keyed to the control group.</w:t>
      </w:r>
    </w:p>
    <w:p>
      <w:pPr>
        <w:pStyle w:val="ListBullet"/>
      </w:pPr>
      <w:r>
        <w:rPr>
          <w:b w:val="0"/>
          <w:i w:val="0"/>
        </w:rPr>
        <w:t>Retroactive date: where the schedule says "Full Prior Acts", the Prior Known Matters, Prior and Pending Litigation and Major Transaction exclusions now run from the continuity date or, if none, the start of the policy period. A blank retroactive date now defaults to the continuity date or the start of the policy period. Added a rule that fixes the date for related wrongful acts that span it. Default set for underwriter confirmation.</w:t>
      </w:r>
    </w:p>
    <w:p>
      <w:pPr>
        <w:pStyle w:val="ListBullet"/>
      </w:pPr>
      <w:r>
        <w:rPr>
          <w:b w:val="0"/>
          <w:i w:val="0"/>
        </w:rPr>
        <w:t>Prior Known Matters, Prior and Pending Litigation, and Major Transaction — IPO: each points to the Retroactive date definition for the date that applies.</w:t>
      </w:r>
    </w:p>
    <w:p>
      <w:pPr>
        <w:pStyle w:val="ListBullet"/>
      </w:pPr>
      <w:r>
        <w:rPr>
          <w:b w:val="0"/>
          <w:i w:val="0"/>
        </w:rPr>
        <w:t>Priority of Payment: removed the undefined priority for non-executive and independent directors. Payments are now made in the order claims are finally agreed, with defence costs as incurred. Added discharge for good-faith payments, and a rule that endorsement sub-limits rank with the Side they sit under and sit inside the Overall Aggregate. Default set for underwriter confirmation.</w:t>
      </w:r>
    </w:p>
    <w:p>
      <w:pPr>
        <w:pStyle w:val="ListBullet"/>
      </w:pPr>
      <w:r>
        <w:rPr>
          <w:b w:val="0"/>
          <w:i w:val="0"/>
        </w:rPr>
        <w:t>Allocation: added the test of relative legal and financial exposure.</w:t>
      </w:r>
    </w:p>
    <w:p>
      <w:pPr>
        <w:pStyle w:val="ListBullet"/>
      </w:pPr>
      <w:r>
        <w:rPr>
          <w:b w:val="0"/>
          <w:i w:val="0"/>
        </w:rPr>
        <w:t>Advancement of Defence Costs: repayment now also applies where the company later indemnifies the insured person, and the text uses Final adjudication throughout in place of "final determination".</w:t>
      </w:r>
    </w:p>
    <w:p>
      <w:pPr>
        <w:pStyle w:val="ListBullet"/>
      </w:pPr>
      <w:r>
        <w:rPr>
          <w:b w:val="0"/>
          <w:i w:val="0"/>
        </w:rPr>
        <w:t>Discovery Period: the automatic 90 days now applies on cancellation as well as non-renewal, other than cancellation by us for non-payment. The extended periods now match Endorsement E06 (12, 24, 36, 72 or 84 months, or lifetime).</w:t>
      </w:r>
    </w:p>
    <w:p>
      <w:pPr>
        <w:pStyle w:val="ListBullet"/>
      </w:pPr>
      <w:r>
        <w:rPr>
          <w:b w:val="0"/>
          <w:i w:val="0"/>
        </w:rPr>
        <w:t>Other Insurance: replaced with the library-wide clause. The policy is no longer excess of other directors' and officers' insurance unless the schedule or an endorsement names the underlying policy. The circular contribution rule is removed.</w:t>
      </w:r>
    </w:p>
    <w:p>
      <w:pPr>
        <w:pStyle w:val="ListBullet"/>
      </w:pPr>
      <w:r>
        <w:rPr>
          <w:b w:val="0"/>
          <w:i w:val="0"/>
        </w:rPr>
        <w:t>Sanctions: replaced with the library-wide standalone clause. The open-ended reference to "any other applicable" sanctions law is removed.</w:t>
      </w:r>
    </w:p>
    <w:p>
      <w:pPr>
        <w:pStyle w:val="ListBullet"/>
      </w:pPr>
      <w:r>
        <w:rPr>
          <w:b w:val="0"/>
          <w:i w:val="0"/>
        </w:rPr>
        <w:t>Insurance Contracts Act 1984 (Cth): replaced with the library-wide clause on section 54, which applies to every condition, exclusion, limit and obligation.</w:t>
      </w:r>
    </w:p>
    <w:p>
      <w:pPr>
        <w:pStyle w:val="ListBullet"/>
      </w:pPr>
      <w:r>
        <w:rPr>
          <w:b w:val="0"/>
          <w:i w:val="0"/>
        </w:rPr>
        <w:t>Cancellation: replaced with the library-wide position. The company may cancel at any time and receives a pro-rata refund. We may cancel only as the Act allows, with at least 30 days' notice.</w:t>
      </w:r>
    </w:p>
    <w:p>
      <w:pPr>
        <w:pStyle w:val="ListBullet"/>
      </w:pPr>
      <w:r>
        <w:rPr>
          <w:b w:val="0"/>
          <w:i w:val="0"/>
        </w:rPr>
        <w:t>No Excess on Side A: now says the only retention that can apply to Side A is the DIC retention under Endorsement E08.</w:t>
      </w:r>
    </w:p>
    <w:p>
      <w:pPr>
        <w:pStyle w:val="ListBullet"/>
      </w:pPr>
      <w:r>
        <w:rPr>
          <w:b w:val="0"/>
          <w:i w:val="0"/>
        </w:rPr>
        <w:t>Endorsement E05: added a limit rule (part of the limit for the policy period of the capital raising), an additional premium, and an other-insurance rule.</w:t>
      </w:r>
    </w:p>
    <w:p>
      <w:pPr>
        <w:pStyle w:val="ListBullet"/>
      </w:pPr>
      <w:r>
        <w:rPr>
          <w:b w:val="0"/>
          <w:i w:val="0"/>
        </w:rPr>
        <w:t>Endorsement E06: the periods now read 12, 24, 36, 72 or 84 months, or lifetime.</w:t>
      </w:r>
    </w:p>
    <w:p>
      <w:pPr>
        <w:pStyle w:val="ListBullet"/>
      </w:pPr>
      <w:r>
        <w:rPr>
          <w:b w:val="0"/>
          <w:i w:val="0"/>
        </w:rPr>
        <w:t>Endorsement E07: where the schedule shows no sub-limit, the additional defence costs sub-limit is now 25% of the Overall Aggregate instead of unlimited. Default set for underwriter confirmation.</w:t>
      </w:r>
    </w:p>
    <w:p>
      <w:pPr>
        <w:pStyle w:val="ListBullet"/>
      </w:pPr>
      <w:r>
        <w:rPr>
          <w:b w:val="0"/>
          <w:i w:val="0"/>
        </w:rPr>
        <w:t>Endorsement E08: the Side A limit is now part of the Overall Aggregate, not separate from it. The retention applies only to drop-down loss. Added presumptive indemnification, maintenance of the primary policy, and a statement that the policy is excess of the named primary policy.</w:t>
      </w:r>
    </w:p>
    <w:p>
      <w:pPr>
        <w:pStyle w:val="ListBullet"/>
      </w:pPr>
      <w:r>
        <w:rPr>
          <w:b w:val="0"/>
          <w:i w:val="0"/>
        </w:rPr>
        <w:t>Endorsement E09: the mechanics (attachment, exhaustion, follow form and no drop-down) are now in the endorsement itself. It no longer refers the reader to another wording.</w:t>
      </w:r>
    </w:p>
    <w:p>
      <w:pPr>
        <w:pStyle w:val="ListBullet"/>
      </w:pPr>
      <w:r>
        <w:rPr>
          <w:b w:val="0"/>
          <w:i w:val="0"/>
        </w:rPr>
        <w:t>Endorsement Library: updated for version 1.4.x. Endorsements E11 and E14 to E20 are stated to be not yet available in this version.</w:t>
      </w:r>
    </w:p>
    <w:p>
      <w:pPr>
        <w:pStyle w:val="ListBullet"/>
      </w:pPr>
      <w:r>
        <w:rPr>
          <w:b w:val="0"/>
          <w:i w:val="0"/>
        </w:rPr>
        <w:t>Version and Document History: now points to the Changes From note for each version.</w:t>
      </w:r>
    </w:p>
    <w:p>
      <w:r>
        <w:rPr>
          <w:b w:val="0"/>
          <w:i/>
          <w:sz w:val="18"/>
        </w:rPr>
        <w:t>Cuttleflow Systems — Open Source Insurance Wording</w:t>
      </w:r>
    </w:p>
    <w:p>
      <w:r>
        <w:rPr>
          <w:rFonts w:ascii="Consolas" w:hAnsi="Consolas" w:eastAsia="Consolas"/>
          <w:b w:val="0"/>
          <w:i w:val="0"/>
          <w:sz w:val="16"/>
        </w:rPr>
        <w:t>2026/DO/0001 · v1.4.0-DRAFT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2026/DO/0001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DIRECTORS &amp; OFFICERS LIABILITY INSURANCE · V1.4.0-DRAFT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Directors &amp; Officers Liability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