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INVESTMENT MANAGERS INDEMNITY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1.4.0-DRAFT · November 2026 · CC BY 4.0 (wording text only)</w:t>
      </w:r>
    </w:p>
    <w:p>
      <w:r>
        <w:rPr>
          <w:rFonts w:ascii="Consolas" w:hAnsi="Consolas" w:eastAsia="Consolas"/>
          <w:b w:val="0"/>
          <w:i w:val="0"/>
          <w:sz w:val="18"/>
        </w:rPr>
        <w:t>Document ref 2026/IMI/0001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imi_about"/>
      <w:r>
        <w:rPr>
          <w:rFonts w:ascii="Georgia" w:hAnsi="Georgia" w:eastAsia="Georgia"/>
          <w:b/>
          <w:i w:val="0"/>
          <w:color w:val="1C1915"/>
          <w:sz w:val="32"/>
        </w:rPr>
        <w:t>About This Policy</w:t>
      </w:r>
      <w:bookmarkEnd w:id="0"/>
    </w:p>
    <w:p>
      <w:hyperlink w:anchor="c_imi_section_pl">
        <w:r>
          <w:rPr>
            <w:color w:val="2E5C4E"/>
            <w:u w:val="single"/>
          </w:rPr>
          <w:t xml:space="preserve">The Professional Liability section</w:t>
        </w:r>
      </w:hyperlink>
      <w:r>
        <w:rPr>
          <w:b w:val="0"/>
          <w:i w:val="0"/>
        </w:rPr>
        <w:t>: Professional Liability — claims by investors, clients, and regulators arising from your financial services activities.</w:t>
      </w:r>
    </w:p>
    <w:p>
      <w:hyperlink w:anchor="c_imi_section_do">
        <w:r>
          <w:rPr>
            <w:color w:val="2E5C4E"/>
            <w:u w:val="single"/>
          </w:rPr>
          <w:t xml:space="preserve">The Directors' and Officers' Liability section</w:t>
        </w:r>
      </w:hyperlink>
      <w:r>
        <w:rPr>
          <w:b w:val="0"/>
          <w:i w:val="0"/>
        </w:rPr>
        <w:t>: Directors' and Officers' Liability — personal liability of your directors and officers for management decisions.</w:t>
      </w:r>
    </w:p>
    <w:p>
      <w:hyperlink w:anchor="c_imi_section_crime">
        <w:r>
          <w:rPr>
            <w:color w:val="2E5C4E"/>
            <w:u w:val="single"/>
          </w:rPr>
          <w:t xml:space="preserve">The Crime section</w:t>
        </w:r>
      </w:hyperlink>
      <w:r>
        <w:rPr>
          <w:b w:val="0"/>
          <w:i w:val="0"/>
        </w:rPr>
        <w:t>: Crime — direct financial loss from employee dishonesty, fraud, and theft.</w:t>
      </w:r>
    </w:p>
    <w:p>
      <w:r>
        <w:rPr>
          <w:b w:val="0"/>
          <w:i w:val="0"/>
        </w:rPr>
        <w:t>By integrating these covers, this policy eliminates the gaps and overlaps that arise when you purchase separate PI, D&amp;O, and crime policies — and provides a single aggregate to manage.</w:t>
      </w:r>
    </w:p>
    <w:p>
      <w:r>
        <w:rPr>
          <w:b w:val="0"/>
          <w:i w:val="0"/>
        </w:rPr>
        <w:t>This is a claims-made and notified policy (</w:t>
      </w:r>
      <w:hyperlink w:anchor="c_imi_section_pl">
        <w:r>
          <w:rPr>
            <w:color w:val="2E5C4E"/>
            <w:u w:val="single"/>
          </w:rPr>
          <w:t xml:space="preserve">the Professional Liability section</w:t>
        </w:r>
      </w:hyperlink>
      <w:r>
        <w:rPr>
          <w:b w:val="0"/>
          <w:i w:val="0"/>
        </w:rPr>
        <w:t xml:space="preserve"> and </w:t>
      </w:r>
      <w:hyperlink w:anchor="c_imi_section_do">
        <w:r>
          <w:rPr>
            <w:color w:val="2E5C4E"/>
            <w:u w:val="single"/>
          </w:rPr>
          <w:t xml:space="preserve">the Directors' and Officers' Liability section</w:t>
        </w:r>
      </w:hyperlink>
      <w:r>
        <w:rPr>
          <w:b w:val="0"/>
          <w:i w:val="0"/>
        </w:rPr>
        <w:t>) and a discovery policy (</w:t>
      </w:r>
      <w:hyperlink w:anchor="c_imi_section_crime">
        <w:r>
          <w:rPr>
            <w:color w:val="2E5C4E"/>
            <w:u w:val="single"/>
          </w:rPr>
          <w:t xml:space="preserve">the Crime section</w:t>
        </w:r>
      </w:hyperlink>
      <w:r>
        <w:rPr>
          <w:b w:val="0"/>
          <w:i w:val="0"/>
        </w:rPr>
        <w:t>).</w:t>
      </w:r>
    </w:p>
    <w:p>
      <w:r>
        <w:rPr>
          <w:b w:val="0"/>
          <w:i w:val="0"/>
        </w:rPr>
        <w:t xml:space="preserve">This policy, together with your schedule and any endorsements, forms your contract of insurance. Words in bold have special meanings — see </w:t>
      </w:r>
      <w:hyperlink w:anchor="c_imi_section_definitions">
        <w:r>
          <w:rPr>
            <w:color w:val="2E5C4E"/>
            <w:u w:val="single"/>
          </w:rPr>
          <w:t xml:space="preserve">the Definitions section</w:t>
        </w:r>
      </w:hyperlink>
      <w:r>
        <w:rPr>
          <w:b w:val="0"/>
          <w:i w:val="0"/>
        </w:rPr>
        <w:t>.</w:t>
      </w:r>
    </w:p>
    <w:p>
      <w:r>
        <w:rPr>
          <w:b/>
          <w:i w:val="0"/>
        </w:rPr>
        <w:t>Notice under s 40(3) of the Insurance Contracts Act 1984 (Cth):</w:t>
      </w:r>
      <w:r>
        <w:rPr>
          <w:b w:val="0"/>
          <w:i w:val="0"/>
        </w:rPr>
        <w:t xml:space="preserve"> if, during the policy period, you give us written notice of facts that might give rise to a claim against you, we cannot later refuse to cover a claim arising from those facts merely because it is made after this policy expires. </w:t>
      </w:r>
      <w:hyperlink w:anchor="c_imi_cover_notification_of_circumstance">
        <w:r>
          <w:rPr>
            <w:color w:val="2E5C4E"/>
            <w:u w:val="single"/>
          </w:rPr>
          <w:t xml:space="preserve">The Notification of Circumstances clause</w:t>
        </w:r>
      </w:hyperlink>
      <w:r>
        <w:rPr>
          <w:b w:val="0"/>
          <w:i w:val="0"/>
        </w:rPr>
        <w:t xml:space="preserve"> and </w:t>
      </w:r>
      <w:hyperlink w:anchor="c_imi_obl_notify_circumstances">
        <w:r>
          <w:rPr>
            <w:color w:val="2E5C4E"/>
            <w:u w:val="single"/>
          </w:rPr>
          <w:t xml:space="preserve">the Notify Circumstances — Professional Liability and Directors' and Officers' Liability obligation</w:t>
        </w:r>
      </w:hyperlink>
      <w:r>
        <w:rPr>
          <w:b w:val="0"/>
          <w:i w:val="0"/>
        </w:rPr>
        <w:t xml:space="preserve"> explain how to give that notice. This notice is given to you before you enter into this contract, as required by s 40(1) of the Act.</w:t>
      </w:r>
    </w:p>
    <w:p>
      <w:bookmarkStart w:id="1" w:name="c_im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Remediation following the Claude pre-review of 2 November 2026. This release replaces version 1.3.0 (November 2026). Changes from version 1.3.0:</w:t>
      </w:r>
    </w:p>
    <w:p>
      <w:pPr>
        <w:pStyle w:val="ListBullet"/>
      </w:pPr>
      <w:r>
        <w:rPr>
          <w:b w:val="0"/>
          <w:i w:val="0"/>
        </w:rPr>
        <w:t>Company Reimbursement (Side B): now has a claims-made trigger. It applies to a claim first made against an insured person during the policy period for a wrongful act on or after the retroactive date, as Side A does.</w:t>
      </w:r>
    </w:p>
    <w:p>
      <w:pPr>
        <w:pStyle w:val="ListBullet"/>
      </w:pPr>
      <w:r>
        <w:rPr>
          <w:b w:val="0"/>
          <w:i w:val="0"/>
        </w:rPr>
        <w:t>Retroactive Date: new operative condition, and the Defence of Regulatory Proceedings, AFCA Complaints, Side B and Fund Assets — Third-Party Service Provider Failure clauses now state it. Related wrongful acts that began before the retroactive date are treated as committed before it. A stray reference in Item 3 of the schedule is corrected. Where no retroactive date is shown, the prior known matters and prior and pending litigation exclusions run from the start of the policy period. Default set for underwriter confirmation.</w:t>
      </w:r>
    </w:p>
    <w:p>
      <w:pPr>
        <w:pStyle w:val="ListBullet"/>
      </w:pPr>
      <w:r>
        <w:rPr>
          <w:b w:val="0"/>
          <w:i w:val="0"/>
        </w:rPr>
        <w:t>Crime section: each insuring clause now pays the loss of the company or a fund, and each runs on discovery during the policy period. The definition of Discovery follows the Comprehensive Crime wording, and Responsible person has a fallback for entities without those roles. In the Crime section, you and your mean the company only. The Loss definition now has one causation test for Crime.</w:t>
      </w:r>
    </w:p>
    <w:p>
      <w:pPr>
        <w:pStyle w:val="ListBullet"/>
      </w:pPr>
      <w:r>
        <w:rPr>
          <w:b w:val="0"/>
          <w:i w:val="0"/>
        </w:rPr>
        <w:t>New Crime clauses: Prior Discovery, Prior Insurance and Superseded Policies, Valuation and Recoveries, and Extended Discovery Period. The Single Loss extension now refers to superseded policies. Default set for underwriter confirmation.</w:t>
      </w:r>
    </w:p>
    <w:p>
      <w:pPr>
        <w:pStyle w:val="ListBullet"/>
      </w:pPr>
      <w:r>
        <w:rPr>
          <w:b w:val="0"/>
          <w:i w:val="0"/>
        </w:rPr>
        <w:t>Payment to Funds: the company must apply the payment to the fund, the payment discharges us, and the clause is marked for legal review.</w:t>
      </w:r>
    </w:p>
    <w:p>
      <w:pPr>
        <w:pStyle w:val="ListBullet"/>
      </w:pPr>
      <w:r>
        <w:rPr>
          <w:b w:val="0"/>
          <w:i w:val="0"/>
        </w:rPr>
        <w:t>Extended Reporting Period: no longer applies on cancellation for non-payment of premium or where another policy replaces this one, matching the Extended Reporting Period endorsement. Default set for underwriter confirmation. The reference to a discovery notification period in Fund Wind-Up Run-Off now points to the new Extended Discovery Period — Crime.</w:t>
      </w:r>
    </w:p>
    <w:p>
      <w:pPr>
        <w:pStyle w:val="ListBullet"/>
      </w:pPr>
      <w:r>
        <w:rPr>
          <w:b w:val="0"/>
          <w:i w:val="0"/>
        </w:rPr>
        <w:t>Priority of Payment: now applies when a section limit or the overall aggregate is or may be insufficient, and gives discharge for good-faith payments.</w:t>
      </w:r>
    </w:p>
    <w:p>
      <w:pPr>
        <w:pStyle w:val="ListBullet"/>
      </w:pPr>
      <w:r>
        <w:rPr>
          <w:b w:val="0"/>
          <w:i w:val="0"/>
        </w:rPr>
        <w:t>Other Insurance: the policy no longer reduces its payment because of other insurance, except where the schedule or an endorsement names an underlying policy. Fund insurance, the crime and cyber boundary and contribution are stated. Default set for underwriter confirmation.</w:t>
      </w:r>
    </w:p>
    <w:p>
      <w:pPr>
        <w:pStyle w:val="ListBullet"/>
      </w:pPr>
      <w:r>
        <w:rPr>
          <w:b w:val="0"/>
          <w:i w:val="0"/>
        </w:rPr>
        <w:t>Sanctions: now a standalone general condition, removed from the war, terrorism and nuclear exclusion, which is renamed.</w:t>
      </w:r>
    </w:p>
    <w:p>
      <w:pPr>
        <w:pStyle w:val="ListBullet"/>
      </w:pPr>
      <w:r>
        <w:rPr>
          <w:b w:val="0"/>
          <w:i w:val="0"/>
        </w:rPr>
        <w:t>Corporations Act 2001 (Cth), sections 199A and 199B: new condition, marked for legal review, with advance-and-repay defence costs.</w:t>
      </w:r>
    </w:p>
    <w:p>
      <w:pPr>
        <w:pStyle w:val="ListBullet"/>
      </w:pPr>
      <w:r>
        <w:rPr>
          <w:b w:val="0"/>
          <w:i w:val="0"/>
        </w:rPr>
        <w:t>Fines and Penalties: new clause naming the New South Wales, Victoria and Queensland bans on insuring work health and safety penalties and excluding criminal fines. The definition of Loss and the Financial Accountability Regime extension refer to it, and the extension is marked for legal review.</w:t>
      </w:r>
    </w:p>
    <w:p>
      <w:pPr>
        <w:pStyle w:val="ListBullet"/>
      </w:pPr>
      <w:r>
        <w:rPr>
          <w:b w:val="0"/>
          <w:i w:val="0"/>
        </w:rPr>
        <w:t>New definitions of Control group and Final adjudication. Company knowledge is the knowledge of the control group in the duty of disclosure, severability, prior known matters and Non-Avoidance provisions.</w:t>
      </w:r>
    </w:p>
    <w:p>
      <w:pPr>
        <w:pStyle w:val="ListBullet"/>
      </w:pPr>
      <w:r>
        <w:rPr>
          <w:b w:val="0"/>
          <w:i w:val="0"/>
        </w:rPr>
        <w:t>Severability and Non-Imputation: now covers the company and funds as well as insured persons. A fund's knowledge is treated as that of its manager's control group. Default set for underwriter confirmation.</w:t>
      </w:r>
    </w:p>
    <w:p>
      <w:pPr>
        <w:pStyle w:val="ListBullet"/>
      </w:pPr>
      <w:r>
        <w:rPr>
          <w:b w:val="0"/>
          <w:i w:val="0"/>
        </w:rPr>
        <w:t>Non-Avoidance — Side A: renamed from Non-Rescindable — Side A. It now covers non-disclosure as well as misrepresentation, and waives the section 28(3) reduction for every innocent insured person.</w:t>
      </w:r>
    </w:p>
    <w:p>
      <w:pPr>
        <w:pStyle w:val="ListBullet"/>
      </w:pPr>
      <w:r>
        <w:rPr>
          <w:b w:val="0"/>
          <w:i w:val="0"/>
        </w:rPr>
        <w:t>Insurance Contracts Act 1984 (Cth): replaced with a single statement of the Act's prevailing effect and of how section 54 applies to every condition, exclusion, limit and obligation.</w:t>
      </w:r>
    </w:p>
    <w:p>
      <w:pPr>
        <w:pStyle w:val="ListBullet"/>
      </w:pPr>
      <w:r>
        <w:rPr>
          <w:b w:val="0"/>
          <w:i w:val="0"/>
        </w:rPr>
        <w:t>Cancellation: you may cancel at any time and receive a pro-rata refund. Our cancellation requires statutory notice and not less than 30 days (the 30-day period is the library's settled position).</w:t>
      </w:r>
    </w:p>
    <w:p>
      <w:pPr>
        <w:pStyle w:val="ListBullet"/>
      </w:pPr>
      <w:r>
        <w:rPr>
          <w:b w:val="0"/>
          <w:i w:val="0"/>
        </w:rPr>
        <w:t>Side A Difference in Conditions endorsement: the trigger is restated, the other insurance is the insurance shown in the schedule, and Priority of Payment no longer says its payments are made first. The Side A limit is stated to be in addition to the overall aggregate.</w:t>
      </w:r>
    </w:p>
    <w:p>
      <w:pPr>
        <w:pStyle w:val="ListBullet"/>
      </w:pPr>
      <w:r>
        <w:rPr>
          <w:b w:val="0"/>
          <w:i w:val="0"/>
        </w:rPr>
        <w:t>Who This Policy Is For: new statement of the retail client position, with a note on compensation arrangements for licensees.</w:t>
      </w:r>
    </w:p>
    <w:p>
      <w:bookmarkStart w:id="2" w:name="c_imi_distribution_note"/>
      <w:r>
        <w:rPr>
          <w:rFonts w:ascii="Georgia" w:hAnsi="Georgia" w:eastAsia="Georgia"/>
          <w:b/>
          <w:i w:val="0"/>
          <w:color w:val="1C1915"/>
          <w:sz w:val="32"/>
        </w:rPr>
        <w:t>Who This Policy Is For</w:t>
      </w:r>
      <w:bookmarkEnd w:id="2"/>
    </w:p>
    <w:p>
      <w:r>
        <w:rPr>
          <w:b w:val="0"/>
          <w:i w:val="0"/>
        </w:rPr>
        <w:t>This wording is written for businesses and professionals. Some buyers, such as small businesses, may be retail clients under the Corporations Act 2001 (Cth). Where a buyer is a retail client, the issuer must give a Product Disclosure Statement and make a Target Market Determination available. This wording is not itself a Product Disclosure Statement.</w:t>
      </w:r>
    </w:p>
    <w:p>
      <w:r>
        <w:rPr>
          <w:b w:val="0"/>
          <w:i w:val="0"/>
        </w:rPr>
        <w:t>*Guidance for issuing insurers and distributors — not an operative policy term.* Some insureds buy this policy to help meet the compensation arrangement requirements that apply to holders of an Australian financial services licence (see section 912B of the Corporations Act 2001 (Cth) and ASIC Regulatory Guide 126). Whether this policy meets those requirements for a given insured depends on the limits, excess and exclusions in the schedule. This wording does not decide that, and it should not be presented as doing so.</w:t>
      </w:r>
    </w:p>
    <w:p>
      <w:r>
        <w:rPr>
          <w:b w:val="0"/>
          <w:i w:val="0"/>
        </w:rPr>
        <w:t>[WP REVIEW: whether the limit sharing between funds, the excess and the exclusions in this wording are compatible with RG 126 adequacy, and whether a wholesale-only declaration is needed.]</w:t>
      </w:r>
    </w:p>
    <w:p>
      <w:bookmarkStart w:id="3" w:name="c_imi_schedule"/>
      <w:r>
        <w:rPr>
          <w:rFonts w:ascii="Georgia" w:hAnsi="Georgia" w:eastAsia="Georgia"/>
          <w:b/>
          <w:i w:val="0"/>
          <w:color w:val="1C1915"/>
          <w:sz w:val="32"/>
        </w:rPr>
        <w:t>Schedule</w:t>
      </w:r>
      <w:bookmarkEnd w:id="3"/>
    </w:p>
    <w:tbl>
      <w:tblPr>
        <w:tblStyle w:val="TableGrid"/>
        <w:tblW w:type="auto" w:w="0"/>
        <w:tblLook w:firstColumn="1" w:firstRow="1" w:lastColumn="0" w:lastRow="0" w:noHBand="0" w:noVBand="1" w:val="04A0"/>
      </w:tblPr>
      <w:tblGrid>
        <w:gridCol w:w="4873"/>
        <w:gridCol w:w="4873"/>
      </w:tblGrid>
      <w:tr>
        <w:tc>
          <w:tcPr>
            <w:tcW w:type="dxa" w:w="4873"/>
          </w:tcPr>
          <w:p>
            <w:r/>
            <w:r>
              <w:rPr>
                <w:b/>
                <w:i w:val="0"/>
              </w:rPr>
              <w:t>Item 1</w:t>
            </w:r>
          </w:p>
        </w:tc>
        <w:tc>
          <w:tcPr>
            <w:tcW w:type="dxa" w:w="4873"/>
          </w:tcPr>
          <w:p>
            <w:r/>
            <w:r>
              <w:rPr>
                <w:b w:val="0"/>
                <w:i w:val="0"/>
              </w:rPr>
              <w:t>Named insured, AFSL number, ACN</w:t>
            </w:r>
          </w:p>
        </w:tc>
      </w:tr>
      <w:tr>
        <w:tc>
          <w:tcPr>
            <w:tcW w:type="dxa" w:w="4873"/>
          </w:tcPr>
          <w:p>
            <w:r/>
            <w:r>
              <w:rPr>
                <w:b/>
                <w:i w:val="0"/>
              </w:rPr>
              <w:t>Item 2</w:t>
            </w:r>
          </w:p>
        </w:tc>
        <w:tc>
          <w:tcPr>
            <w:tcW w:type="dxa" w:w="4873"/>
          </w:tcPr>
          <w:p>
            <w:r/>
            <w:r>
              <w:rPr>
                <w:b w:val="0"/>
                <w:i w:val="0"/>
              </w:rPr>
              <w:t>Policy period</w:t>
            </w:r>
          </w:p>
        </w:tc>
      </w:tr>
      <w:tr>
        <w:tc>
          <w:tcPr>
            <w:tcW w:type="dxa" w:w="4873"/>
          </w:tcPr>
          <w:p>
            <w:r/>
            <w:r>
              <w:rPr>
                <w:b/>
                <w:i w:val="0"/>
              </w:rPr>
              <w:t>Item 3</w:t>
            </w:r>
          </w:p>
        </w:tc>
        <w:tc>
          <w:tcPr>
            <w:tcW w:type="dxa" w:w="4873"/>
          </w:tcPr>
          <w:p>
            <w:r/>
            <w:r>
              <w:rPr>
                <w:b w:val="0"/>
                <w:i w:val="0"/>
              </w:rPr>
              <w:t xml:space="preserve">Retroactive date — applies to </w:t>
            </w:r>
            <w:hyperlink w:anchor="c_imi_section_pl">
              <w:r>
                <w:rPr>
                  <w:color w:val="2E5C4E"/>
                  <w:u w:val="single"/>
                </w:rPr>
                <w:t xml:space="preserve">the Professional Liability section</w:t>
              </w:r>
            </w:hyperlink>
            <w:r>
              <w:rPr>
                <w:b w:val="0"/>
                <w:i w:val="0"/>
              </w:rPr>
              <w:t xml:space="preserve"> (Professional Liability) and </w:t>
            </w:r>
            <w:hyperlink w:anchor="c_imi_section_do">
              <w:r>
                <w:rPr>
                  <w:color w:val="2E5C4E"/>
                  <w:u w:val="single"/>
                </w:rPr>
                <w:t xml:space="preserve">the Directors' and Officers' Liability section</w:t>
              </w:r>
            </w:hyperlink>
            <w:r>
              <w:rPr>
                <w:b w:val="0"/>
                <w:i w:val="0"/>
              </w:rPr>
              <w:t xml:space="preserve"> (Directors' and Officers' Liability) (see </w:t>
            </w:r>
            <w:hyperlink w:anchor="c_imi_cond_retroactive_date">
              <w:r>
                <w:rPr>
                  <w:color w:val="2E5C4E"/>
                  <w:u w:val="single"/>
                </w:rPr>
                <w:t xml:space="preserve">the Retroactive Date condition</w:t>
              </w:r>
            </w:hyperlink>
            <w:r>
              <w:rPr>
                <w:b w:val="0"/>
                <w:i w:val="0"/>
              </w:rPr>
              <w:t xml:space="preserve">). </w:t>
            </w:r>
            <w:hyperlink w:anchor="c_imi_section_crime">
              <w:r>
                <w:rPr>
                  <w:color w:val="2E5C4E"/>
                  <w:u w:val="single"/>
                </w:rPr>
                <w:t xml:space="preserve">The Crime section</w:t>
              </w:r>
            </w:hyperlink>
            <w:r>
              <w:rPr>
                <w:b w:val="0"/>
                <w:i w:val="0"/>
              </w:rPr>
              <w:t xml:space="preserve"> (Crime) is discovery-triggered and is not subject to a retroactive date (see </w:t>
            </w:r>
            <w:hyperlink w:anchor="c_imi_cover_financial_services_liability">
              <w:r>
                <w:rPr>
                  <w:color w:val="2E5C4E"/>
                  <w:u w:val="single"/>
                </w:rPr>
                <w:t xml:space="preserve">the Financial Services Liability clause</w:t>
              </w:r>
            </w:hyperlink>
            <w:r>
              <w:rPr>
                <w:b w:val="0"/>
                <w:i w:val="0"/>
              </w:rPr>
              <w:t xml:space="preserve">, </w:t>
            </w:r>
            <w:hyperlink w:anchor="c_imi_cover_personal_liability_non_indem">
              <w:r>
                <w:rPr>
                  <w:color w:val="2E5C4E"/>
                  <w:u w:val="single"/>
                </w:rPr>
                <w:t xml:space="preserve">the Personal Liability — Non-Indemnifiable Loss (Side A) clause</w:t>
              </w:r>
            </w:hyperlink>
            <w:r>
              <w:rPr>
                <w:b w:val="0"/>
                <w:i w:val="0"/>
              </w:rPr>
              <w:t xml:space="preserve">, </w:t>
            </w:r>
            <w:hyperlink w:anchor="c_imi_excl_prior_known_matters">
              <w:r>
                <w:rPr>
                  <w:color w:val="2E5C4E"/>
                  <w:u w:val="single"/>
                </w:rPr>
                <w:t xml:space="preserve">the Prior Known Matters exclusion</w:t>
              </w:r>
            </w:hyperlink>
            <w:r>
              <w:rPr>
                <w:b w:val="0"/>
                <w:i w:val="0"/>
              </w:rPr>
              <w:t xml:space="preserve">, </w:t>
            </w:r>
            <w:hyperlink w:anchor="c_imi_excl_prior_and_pending_litigation">
              <w:r>
                <w:rPr>
                  <w:color w:val="2E5C4E"/>
                  <w:u w:val="single"/>
                </w:rPr>
                <w:t xml:space="preserve">the Prior and Pending Litigation exclusion</w:t>
              </w:r>
            </w:hyperlink>
            <w:r>
              <w:rPr>
                <w:b w:val="0"/>
                <w:i w:val="0"/>
              </w:rPr>
              <w:t>).</w:t>
            </w:r>
          </w:p>
        </w:tc>
      </w:tr>
      <w:tr>
        <w:tc>
          <w:tcPr>
            <w:tcW w:type="dxa" w:w="4873"/>
          </w:tcPr>
          <w:p>
            <w:r/>
            <w:r>
              <w:rPr>
                <w:b/>
                <w:i w:val="0"/>
              </w:rPr>
              <w:t>Item 4</w:t>
            </w:r>
          </w:p>
        </w:tc>
        <w:tc>
          <w:tcPr>
            <w:tcW w:type="dxa" w:w="4873"/>
          </w:tcPr>
          <w:p>
            <w:r/>
            <w:r>
              <w:rPr>
                <w:b w:val="0"/>
                <w:i w:val="0"/>
              </w:rPr>
              <w:t>Limit of liability — per claim and aggregate, by section and overall</w:t>
            </w:r>
          </w:p>
        </w:tc>
      </w:tr>
      <w:tr>
        <w:tc>
          <w:tcPr>
            <w:tcW w:type="dxa" w:w="4873"/>
          </w:tcPr>
          <w:p>
            <w:r/>
            <w:r>
              <w:rPr>
                <w:b/>
                <w:i w:val="0"/>
              </w:rPr>
              <w:t>Item 5</w:t>
            </w:r>
          </w:p>
        </w:tc>
        <w:tc>
          <w:tcPr>
            <w:tcW w:type="dxa" w:w="4873"/>
          </w:tcPr>
          <w:p>
            <w:r/>
            <w:r>
              <w:rPr>
                <w:b w:val="0"/>
                <w:i w:val="0"/>
              </w:rPr>
              <w:t>Excess — per claim/loss, by section</w:t>
            </w:r>
          </w:p>
        </w:tc>
      </w:tr>
      <w:tr>
        <w:tc>
          <w:tcPr>
            <w:tcW w:type="dxa" w:w="4873"/>
          </w:tcPr>
          <w:p>
            <w:r/>
            <w:r>
              <w:rPr>
                <w:b/>
                <w:i w:val="0"/>
              </w:rPr>
              <w:t>Item 6</w:t>
            </w:r>
          </w:p>
        </w:tc>
        <w:tc>
          <w:tcPr>
            <w:tcW w:type="dxa" w:w="4873"/>
          </w:tcPr>
          <w:p>
            <w:r/>
            <w:r>
              <w:rPr>
                <w:b w:val="0"/>
                <w:i w:val="0"/>
              </w:rPr>
              <w:t>Funds under management / advice</w:t>
            </w:r>
          </w:p>
        </w:tc>
      </w:tr>
      <w:tr>
        <w:tc>
          <w:tcPr>
            <w:tcW w:type="dxa" w:w="4873"/>
          </w:tcPr>
          <w:p>
            <w:r/>
            <w:r>
              <w:rPr>
                <w:b/>
                <w:i w:val="0"/>
              </w:rPr>
              <w:t>Item 7</w:t>
            </w:r>
          </w:p>
        </w:tc>
        <w:tc>
          <w:tcPr>
            <w:tcW w:type="dxa" w:w="4873"/>
          </w:tcPr>
          <w:p>
            <w:r/>
            <w:r>
              <w:rPr>
                <w:b w:val="0"/>
                <w:i w:val="0"/>
              </w:rPr>
              <w:t xml:space="preserve">Fund(s) — names and details of managed investment schemes, trusts, or funds, and any per-fund sub-limit or limit-sharing arrangement (see </w:t>
            </w:r>
            <w:hyperlink w:anchor="c_imi_pay_multiple_funds_limit_sharing">
              <w:r>
                <w:rPr>
                  <w:color w:val="2E5C4E"/>
                  <w:u w:val="single"/>
                </w:rPr>
                <w:t xml:space="preserve">the Multiple Funds — Limit Sharing provision</w:t>
              </w:r>
            </w:hyperlink>
            <w:r>
              <w:rPr>
                <w:b w:val="0"/>
                <w:i w:val="0"/>
              </w:rPr>
              <w:t>)</w:t>
            </w:r>
          </w:p>
        </w:tc>
      </w:tr>
      <w:tr>
        <w:tc>
          <w:tcPr>
            <w:tcW w:type="dxa" w:w="4873"/>
          </w:tcPr>
          <w:p>
            <w:r/>
            <w:r>
              <w:rPr>
                <w:b/>
                <w:i w:val="0"/>
              </w:rPr>
              <w:t>Item 8</w:t>
            </w:r>
          </w:p>
        </w:tc>
        <w:tc>
          <w:tcPr>
            <w:tcW w:type="dxa" w:w="4873"/>
          </w:tcPr>
          <w:p>
            <w:r/>
            <w:r>
              <w:rPr>
                <w:b w:val="0"/>
                <w:i w:val="0"/>
              </w:rPr>
              <w:t>Endorsements</w:t>
            </w:r>
          </w:p>
        </w:tc>
      </w:tr>
      <w:tr>
        <w:tc>
          <w:tcPr>
            <w:tcW w:type="dxa" w:w="4873"/>
          </w:tcPr>
          <w:p>
            <w:r/>
            <w:r>
              <w:rPr>
                <w:b/>
                <w:i w:val="0"/>
              </w:rPr>
              <w:t>Item 9</w:t>
            </w:r>
          </w:p>
        </w:tc>
        <w:tc>
          <w:tcPr>
            <w:tcW w:type="dxa" w:w="4873"/>
          </w:tcPr>
          <w:p>
            <w:r/>
            <w:r>
              <w:rPr>
                <w:b w:val="0"/>
                <w:i w:val="0"/>
              </w:rPr>
              <w:t>Premium</w:t>
            </w:r>
          </w:p>
        </w:tc>
      </w:tr>
      <w:tr>
        <w:tc>
          <w:tcPr>
            <w:tcW w:type="dxa" w:w="4873"/>
          </w:tcPr>
          <w:p>
            <w:r/>
            <w:r>
              <w:rPr>
                <w:b/>
                <w:i w:val="0"/>
              </w:rPr>
              <w:t>Item 10</w:t>
            </w:r>
          </w:p>
        </w:tc>
        <w:tc>
          <w:tcPr>
            <w:tcW w:type="dxa" w:w="4873"/>
          </w:tcPr>
          <w:p>
            <w:r/>
            <w:r>
              <w:rPr>
                <w:b w:val="0"/>
                <w:i w:val="0"/>
              </w:rPr>
              <w:t xml:space="preserve">Governing law and jurisdiction — the state or territory shown here governs this policy, fixed as at inception (see </w:t>
            </w:r>
            <w:hyperlink w:anchor="c_imi_cond_governing_law_jurisdiction_gs">
              <w:r>
                <w:rPr>
                  <w:color w:val="2E5C4E"/>
                  <w:u w:val="single"/>
                </w:rPr>
                <w:t xml:space="preserve">the Governing Law, Jurisdiction, GST, Privacy, Disputes condition</w:t>
              </w:r>
            </w:hyperlink>
            <w:r>
              <w:rPr>
                <w:b w:val="0"/>
                <w:i w:val="0"/>
              </w:rPr>
              <w:t>)</w:t>
            </w:r>
          </w:p>
        </w:tc>
      </w:tr>
    </w:tbl>
    <w:p>
      <w:bookmarkStart w:id="4" w:name="c_imi_section_definitions"/>
      <w:r>
        <w:rPr>
          <w:rFonts w:ascii="Georgia" w:hAnsi="Georgia" w:eastAsia="Georgia"/>
          <w:b/>
          <w:i w:val="0"/>
          <w:color w:val="1C1915"/>
          <w:sz w:val="32"/>
        </w:rPr>
        <w:t>Definitions</w:t>
      </w:r>
      <w:bookmarkEnd w:id="4"/>
    </w:p>
    <w:p>
      <w:r>
        <w:rPr>
          <w:b w:val="0"/>
          <w:i w:val="0"/>
        </w:rPr>
        <w:t>When the following words appear in bold in this policy, they have the meanings set out below. These definitions apply throughout this policy unless a section expressly states a different meaning for that section.</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imi_def_afsl"/>
            <w:r>
              <w:rPr>
                <w:b/>
                <w:i w:val="0"/>
              </w:rPr>
              <w:t>AFSL</w:t>
            </w:r>
            <w:bookmarkEnd w:id="5"/>
          </w:p>
        </w:tc>
        <w:tc>
          <w:tcPr>
            <w:tcW w:type="dxa" w:w="6803"/>
          </w:tcPr>
          <w:p>
            <w:r>
              <w:rPr>
                <w:b w:val="0"/>
                <w:i w:val="0"/>
              </w:rPr>
              <w:t>An Australian Financial Services Licence issued under the Corporations Act 2001 (Cth).</w:t>
            </w:r>
          </w:p>
        </w:tc>
      </w:tr>
      <w:tr>
        <w:tc>
          <w:tcPr>
            <w:tcW w:type="dxa" w:w="2608"/>
          </w:tcPr>
          <w:p>
            <w:bookmarkStart w:id="6" w:name="c_imi_def_claim"/>
            <w:r>
              <w:rPr>
                <w:b/>
                <w:i w:val="0"/>
              </w:rPr>
              <w:t>Claim</w:t>
            </w:r>
            <w:bookmarkEnd w:id="6"/>
          </w:p>
        </w:tc>
        <w:tc>
          <w:tcPr>
            <w:tcW w:type="dxa" w:w="6803"/>
          </w:tcPr>
          <w:p>
            <w:r>
              <w:rPr>
                <w:b w:val="0"/>
                <w:i w:val="0"/>
              </w:rPr>
              <w:t>Any of the following:</w:t>
            </w:r>
          </w:p>
          <w:p>
            <w:r>
              <w:rPr>
                <w:b w:val="0"/>
                <w:i w:val="0"/>
              </w:rPr>
              <w:t>(a) any written demand for compensation against an insured;</w:t>
            </w:r>
          </w:p>
          <w:p>
            <w:r>
              <w:rPr>
                <w:b w:val="0"/>
                <w:i w:val="0"/>
              </w:rPr>
              <w:t>(b) any writ, summons, or legal proceeding against an insured;</w:t>
            </w:r>
          </w:p>
          <w:p>
            <w:r>
              <w:rPr>
                <w:b w:val="0"/>
                <w:i w:val="0"/>
              </w:rPr>
              <w:t>(c) any regulatory proceeding;</w:t>
            </w:r>
          </w:p>
          <w:p>
            <w:r>
              <w:rPr>
                <w:b w:val="0"/>
                <w:i w:val="0"/>
              </w:rPr>
              <w:t>(d) any complaint to AFCA that alleges financial loss;</w:t>
            </w:r>
          </w:p>
          <w:p>
            <w:r>
              <w:rPr>
                <w:b w:val="0"/>
                <w:i w:val="0"/>
              </w:rPr>
              <w:t>(e) any derivative action; and</w:t>
            </w:r>
          </w:p>
          <w:p>
            <w:r>
              <w:rPr>
                <w:b w:val="0"/>
                <w:i w:val="0"/>
              </w:rPr>
              <w:t>(f) any extradition proceeding against an insured person in connection with a wrongful act.</w:t>
            </w:r>
          </w:p>
          <w:p>
            <w:r>
              <w:rPr>
                <w:b w:val="0"/>
                <w:i w:val="0"/>
              </w:rPr>
              <w:t>Claims are related if they arise from the same wrongful act, or from wrongful acts that are the same, similar, or related, or that have a common originating cause, act, omission, or set of facts or circumstances. Related claims are treated as a single claim, first made when the earliest of them was first made.</w:t>
            </w:r>
          </w:p>
        </w:tc>
      </w:tr>
      <w:tr>
        <w:tc>
          <w:tcPr>
            <w:tcW w:type="dxa" w:w="2608"/>
          </w:tcPr>
          <w:p>
            <w:bookmarkStart w:id="7" w:name="c_imi_def_company"/>
            <w:r>
              <w:rPr>
                <w:b/>
                <w:i w:val="0"/>
              </w:rPr>
              <w:t>Company</w:t>
            </w:r>
            <w:bookmarkEnd w:id="7"/>
          </w:p>
        </w:tc>
        <w:tc>
          <w:tcPr>
            <w:tcW w:type="dxa" w:w="6803"/>
          </w:tcPr>
          <w:p>
            <w:r>
              <w:rPr>
                <w:b w:val="0"/>
                <w:i w:val="0"/>
              </w:rPr>
              <w:t>The named insured and any subsidiary.</w:t>
            </w:r>
          </w:p>
        </w:tc>
      </w:tr>
      <w:tr>
        <w:tc>
          <w:tcPr>
            <w:tcW w:type="dxa" w:w="2608"/>
          </w:tcPr>
          <w:p>
            <w:bookmarkStart w:id="8" w:name="c_imi_def_compliance_costs"/>
            <w:r>
              <w:rPr>
                <w:b/>
                <w:i w:val="0"/>
              </w:rPr>
              <w:t>Compliance costs</w:t>
            </w:r>
            <w:bookmarkEnd w:id="8"/>
          </w:p>
        </w:tc>
        <w:tc>
          <w:tcPr>
            <w:tcW w:type="dxa" w:w="6803"/>
          </w:tcPr>
          <w:p>
            <w:r>
              <w:rPr>
                <w:b w:val="0"/>
                <w:i w:val="0"/>
              </w:rPr>
              <w:t xml:space="preserve">The reasonable costs of engaging external compliance consultants or legal advisors to respond to an ASIC or APRA audit, review, or inquiry relating to your financial services activities — where the audit or inquiry is specifically directed at you (not an industry-wide review). See </w:t>
            </w:r>
            <w:hyperlink w:anchor="c_imi_ext_compliance_costs">
              <w:r>
                <w:rPr>
                  <w:color w:val="2E5C4E"/>
                  <w:u w:val="single"/>
                </w:rPr>
                <w:t xml:space="preserve">the Compliance Costs extension</w:t>
              </w:r>
            </w:hyperlink>
            <w:r>
              <w:rPr>
                <w:b w:val="0"/>
                <w:i w:val="0"/>
              </w:rPr>
              <w:t>.</w:t>
            </w:r>
          </w:p>
        </w:tc>
      </w:tr>
      <w:tr>
        <w:tc>
          <w:tcPr>
            <w:tcW w:type="dxa" w:w="2608"/>
          </w:tcPr>
          <w:p>
            <w:bookmarkStart w:id="9" w:name="c_imi_def_control_group"/>
            <w:r>
              <w:rPr>
                <w:b/>
                <w:i w:val="0"/>
              </w:rPr>
              <w:t>Control group</w:t>
            </w:r>
            <w:bookmarkEnd w:id="9"/>
          </w:p>
        </w:tc>
        <w:tc>
          <w:tcPr>
            <w:tcW w:type="dxa" w:w="6803"/>
          </w:tcPr>
          <w:p>
            <w:r>
              <w:rPr>
                <w:b w:val="0"/>
                <w:i w:val="0"/>
              </w:rPr>
              <w:t>The company's chief executive officer, chief financial officer, general counsel, head of risk or insurance, and directors, or a person performing an equivalent role.</w:t>
            </w:r>
          </w:p>
        </w:tc>
      </w:tr>
      <w:tr>
        <w:tc>
          <w:tcPr>
            <w:tcW w:type="dxa" w:w="2608"/>
          </w:tcPr>
          <w:p>
            <w:bookmarkStart w:id="10" w:name="c_imi_def_defence_costs"/>
            <w:r>
              <w:rPr>
                <w:b/>
                <w:i w:val="0"/>
              </w:rPr>
              <w:t>Defence costs</w:t>
            </w:r>
            <w:bookmarkEnd w:id="10"/>
          </w:p>
        </w:tc>
        <w:tc>
          <w:tcPr>
            <w:tcW w:type="dxa" w:w="6803"/>
          </w:tcPr>
          <w:p>
            <w:r>
              <w:rPr>
                <w:b w:val="0"/>
                <w:i w:val="0"/>
              </w:rPr>
              <w:t>Reasonable legal costs and expenses incurred with our prior written consent to investigate, defend, settle, or appeal a claim. We will not unreasonably withhold or delay consent.</w:t>
            </w:r>
          </w:p>
        </w:tc>
      </w:tr>
      <w:tr>
        <w:tc>
          <w:tcPr>
            <w:tcW w:type="dxa" w:w="2608"/>
          </w:tcPr>
          <w:p>
            <w:bookmarkStart w:id="11" w:name="c_imi_def_derivative_action"/>
            <w:r>
              <w:rPr>
                <w:b/>
                <w:i w:val="0"/>
              </w:rPr>
              <w:t>Derivative action</w:t>
            </w:r>
            <w:bookmarkEnd w:id="11"/>
          </w:p>
        </w:tc>
        <w:tc>
          <w:tcPr>
            <w:tcW w:type="dxa" w:w="6803"/>
          </w:tcPr>
          <w:p>
            <w:r>
              <w:rPr>
                <w:b w:val="0"/>
                <w:i w:val="0"/>
              </w:rPr>
              <w:t>A proceeding brought under Part 2F.1A of the Corporations Act 2001, or by a unitholder or member of a fund seeking relief on behalf of the fund, for a wrongful act of an insured person.</w:t>
            </w:r>
          </w:p>
        </w:tc>
      </w:tr>
      <w:tr>
        <w:tc>
          <w:tcPr>
            <w:tcW w:type="dxa" w:w="2608"/>
          </w:tcPr>
          <w:p>
            <w:bookmarkStart w:id="12" w:name="c_imi_def_discovery"/>
            <w:r>
              <w:rPr>
                <w:b/>
                <w:i w:val="0"/>
              </w:rPr>
              <w:t>Discovery</w:t>
            </w:r>
            <w:bookmarkEnd w:id="12"/>
          </w:p>
        </w:tc>
        <w:tc>
          <w:tcPr>
            <w:tcW w:type="dxa" w:w="6803"/>
          </w:tcPr>
          <w:p>
            <w:r>
              <w:rPr>
                <w:b w:val="0"/>
                <w:i w:val="0"/>
              </w:rPr>
              <w:t xml:space="preserve">The point at which any responsible person first has reason to believe, on the information then available, that a loss covered by </w:t>
            </w:r>
            <w:hyperlink w:anchor="c_imi_section_crime">
              <w:r>
                <w:rPr>
                  <w:color w:val="2E5C4E"/>
                  <w:u w:val="single"/>
                </w:rPr>
                <w:t xml:space="preserve">the Crime section</w:t>
              </w:r>
            </w:hyperlink>
            <w:r>
              <w:rPr>
                <w:b w:val="0"/>
                <w:i w:val="0"/>
              </w:rPr>
              <w:t xml:space="preserve"> has been or is likely to have been sustained, whether or not the amount, cause, or full circumstances of the loss are then known, and regardless of when the underlying act occurred. </w:t>
            </w:r>
            <w:r>
              <w:rPr>
                <w:b/>
                <w:i w:val="0"/>
              </w:rPr>
              <w:t>Discover</w:t>
            </w:r>
            <w:r>
              <w:rPr>
                <w:b w:val="0"/>
                <w:i w:val="0"/>
              </w:rPr>
              <w:t xml:space="preserve"> and </w:t>
            </w:r>
            <w:r>
              <w:rPr>
                <w:b/>
                <w:i w:val="0"/>
              </w:rPr>
              <w:t>discovered</w:t>
            </w:r>
            <w:r>
              <w:rPr>
                <w:b w:val="0"/>
                <w:i w:val="0"/>
              </w:rPr>
              <w:t xml:space="preserve"> have matching meanings.</w:t>
            </w:r>
          </w:p>
        </w:tc>
      </w:tr>
      <w:tr>
        <w:tc>
          <w:tcPr>
            <w:tcW w:type="dxa" w:w="2608"/>
          </w:tcPr>
          <w:p>
            <w:bookmarkStart w:id="13" w:name="c_imi_def_dishonest_act"/>
            <w:r>
              <w:rPr>
                <w:b/>
                <w:i w:val="0"/>
              </w:rPr>
              <w:t>Dishonest act</w:t>
            </w:r>
            <w:bookmarkEnd w:id="13"/>
          </w:p>
        </w:tc>
        <w:tc>
          <w:tcPr>
            <w:tcW w:type="dxa" w:w="6803"/>
          </w:tcPr>
          <w:p>
            <w:r>
              <w:rPr>
                <w:b w:val="0"/>
                <w:i w:val="0"/>
              </w:rPr>
              <w:t>An act committed by an employee with the clear intention to cause you or a fund direct financial loss and to obtain a personal financial benefit beyond their normal compensation.</w:t>
            </w:r>
          </w:p>
        </w:tc>
      </w:tr>
      <w:tr>
        <w:tc>
          <w:tcPr>
            <w:tcW w:type="dxa" w:w="2608"/>
          </w:tcPr>
          <w:p>
            <w:bookmarkStart w:id="14" w:name="c_imi_def_employee"/>
            <w:r>
              <w:rPr>
                <w:b/>
                <w:i w:val="0"/>
              </w:rPr>
              <w:t>Employee</w:t>
            </w:r>
            <w:bookmarkEnd w:id="14"/>
          </w:p>
        </w:tc>
        <w:tc>
          <w:tcPr>
            <w:tcW w:type="dxa" w:w="6803"/>
          </w:tcPr>
          <w:p>
            <w:r>
              <w:rPr>
                <w:b w:val="0"/>
                <w:i w:val="0"/>
              </w:rPr>
              <w:t>Any natural person who works for the company under a contract of employment, including permanent, fixed-term, casual, and part-time employees. It includes:</w:t>
            </w:r>
          </w:p>
          <w:p>
            <w:r>
              <w:rPr>
                <w:b w:val="0"/>
                <w:i w:val="0"/>
              </w:rPr>
              <w:t>(a) authorised representatives appointed under your AFSL;</w:t>
            </w:r>
          </w:p>
          <w:p>
            <w:r>
              <w:rPr>
                <w:b w:val="0"/>
                <w:i w:val="0"/>
              </w:rPr>
              <w:t>(b) persons seconded to you and working under your direction;</w:t>
            </w:r>
          </w:p>
          <w:p>
            <w:r>
              <w:rPr>
                <w:b w:val="0"/>
                <w:i w:val="0"/>
              </w:rPr>
              <w:t>(c) temporary and labour hire workers under your supervision; and</w:t>
            </w:r>
          </w:p>
          <w:p>
            <w:r>
              <w:rPr>
                <w:b w:val="0"/>
                <w:i w:val="0"/>
              </w:rPr>
              <w:t>(d) volunteers and interns.</w:t>
            </w:r>
          </w:p>
          <w:p>
            <w:r>
              <w:rPr>
                <w:b w:val="0"/>
                <w:i w:val="0"/>
              </w:rPr>
              <w:t>It does not include independent contractors, external auditors, custodians, or prime brokers.</w:t>
            </w:r>
          </w:p>
        </w:tc>
      </w:tr>
      <w:tr>
        <w:tc>
          <w:tcPr>
            <w:tcW w:type="dxa" w:w="2608"/>
          </w:tcPr>
          <w:p>
            <w:bookmarkStart w:id="15" w:name="c_imi_def_endorsement"/>
            <w:r>
              <w:rPr>
                <w:b/>
                <w:i w:val="0"/>
              </w:rPr>
              <w:t>Endorsement</w:t>
            </w:r>
            <w:bookmarkEnd w:id="15"/>
          </w:p>
        </w:tc>
        <w:tc>
          <w:tcPr>
            <w:tcW w:type="dxa" w:w="6803"/>
          </w:tcPr>
          <w:p>
            <w:r>
              <w:rPr>
                <w:b w:val="0"/>
                <w:i w:val="0"/>
              </w:rPr>
              <w:t>A document attached to this policy that changes its terms.</w:t>
            </w:r>
          </w:p>
        </w:tc>
      </w:tr>
      <w:tr>
        <w:tc>
          <w:tcPr>
            <w:tcW w:type="dxa" w:w="2608"/>
          </w:tcPr>
          <w:p>
            <w:bookmarkStart w:id="16" w:name="c_imi_def_excess"/>
            <w:r>
              <w:rPr>
                <w:b/>
                <w:i w:val="0"/>
              </w:rPr>
              <w:t>Excess</w:t>
            </w:r>
            <w:bookmarkEnd w:id="16"/>
          </w:p>
        </w:tc>
        <w:tc>
          <w:tcPr>
            <w:tcW w:type="dxa" w:w="6803"/>
          </w:tcPr>
          <w:p>
            <w:r>
              <w:rPr>
                <w:b w:val="0"/>
                <w:i w:val="0"/>
              </w:rPr>
              <w:t>The amount shown in the schedule that you must pay as the first part of each claim or loss.</w:t>
            </w:r>
          </w:p>
        </w:tc>
      </w:tr>
      <w:tr>
        <w:tc>
          <w:tcPr>
            <w:tcW w:type="dxa" w:w="2608"/>
          </w:tcPr>
          <w:p>
            <w:bookmarkStart w:id="17" w:name="c_imi_def_final_adjudication"/>
            <w:r>
              <w:rPr>
                <w:b/>
                <w:i w:val="0"/>
              </w:rPr>
              <w:t>Final adjudication</w:t>
            </w:r>
            <w:bookmarkEnd w:id="17"/>
          </w:p>
        </w:tc>
        <w:tc>
          <w:tcPr>
            <w:tcW w:type="dxa" w:w="6803"/>
          </w:tcPr>
          <w:p>
            <w:r>
              <w:rPr>
                <w:b w:val="0"/>
                <w:i w:val="0"/>
              </w:rPr>
              <w:t>A judgment, verdict, or order of a court or tribunal of competent jurisdiction that is no longer subject to appeal — whether because the time to appeal has expired, or all appeals have been exhausted, abandoned, or dismissed — and includes a formal admission, guilty plea, or consent order to the same effect. Every reference in this policy to conduct being established, admitted, or determined by final adjudication carries this meaning.</w:t>
            </w:r>
          </w:p>
          <w:p>
            <w:r>
              <w:rPr>
                <w:b w:val="0"/>
                <w:i w:val="0"/>
              </w:rPr>
              <w:t>[WP REVIEW: whether a formal admission, guilty plea or consent order should count as a final adjudication.]</w:t>
            </w:r>
          </w:p>
        </w:tc>
      </w:tr>
      <w:tr>
        <w:tc>
          <w:tcPr>
            <w:tcW w:type="dxa" w:w="2608"/>
          </w:tcPr>
          <w:p>
            <w:bookmarkStart w:id="18" w:name="c_imi_def_financial_services_activities"/>
            <w:r>
              <w:rPr>
                <w:b/>
                <w:i w:val="0"/>
              </w:rPr>
              <w:t>Financial services activities</w:t>
            </w:r>
            <w:bookmarkEnd w:id="18"/>
          </w:p>
        </w:tc>
        <w:tc>
          <w:tcPr>
            <w:tcW w:type="dxa" w:w="6803"/>
          </w:tcPr>
          <w:p>
            <w:r>
              <w:rPr>
                <w:b w:val="0"/>
                <w:i w:val="0"/>
              </w:rPr>
              <w:t>Any of the following:</w:t>
            </w:r>
          </w:p>
          <w:p>
            <w:r>
              <w:rPr>
                <w:b w:val="0"/>
                <w:i w:val="0"/>
              </w:rPr>
              <w:t>(a) the provision of financial product advice (general and personal) under your AFSL;</w:t>
            </w:r>
          </w:p>
          <w:p>
            <w:r>
              <w:rPr>
                <w:b w:val="0"/>
                <w:i w:val="0"/>
              </w:rPr>
              <w:t>(b) dealing in financial products under your AFSL;</w:t>
            </w:r>
          </w:p>
          <w:p>
            <w:r>
              <w:rPr>
                <w:b w:val="0"/>
                <w:i w:val="0"/>
              </w:rPr>
              <w:t>(c) the operation, management, or administration of a fund;</w:t>
            </w:r>
          </w:p>
          <w:p>
            <w:r>
              <w:rPr>
                <w:b w:val="0"/>
                <w:i w:val="0"/>
              </w:rPr>
              <w:t>(d) acting as trustee or responsible entity of a fund;</w:t>
            </w:r>
          </w:p>
          <w:p>
            <w:r>
              <w:rPr>
                <w:b w:val="0"/>
                <w:i w:val="0"/>
              </w:rPr>
              <w:t>(e) the provision of custodial or depository services;</w:t>
            </w:r>
          </w:p>
          <w:p>
            <w:r>
              <w:rPr>
                <w:b w:val="0"/>
                <w:i w:val="0"/>
              </w:rPr>
              <w:t>(f) portfolio management and investment management;</w:t>
            </w:r>
          </w:p>
          <w:p>
            <w:r>
              <w:rPr>
                <w:b w:val="0"/>
                <w:i w:val="0"/>
              </w:rPr>
              <w:t>(g) investor reporting, unit pricing, and fund accounting;</w:t>
            </w:r>
          </w:p>
          <w:p>
            <w:r>
              <w:rPr>
                <w:b w:val="0"/>
                <w:i w:val="0"/>
              </w:rPr>
              <w:t>(h) investor communication, marketing, and distribution of financial products;</w:t>
            </w:r>
          </w:p>
          <w:p>
            <w:r>
              <w:rPr>
                <w:b w:val="0"/>
                <w:i w:val="0"/>
              </w:rPr>
              <w:t>(i) compliance, risk management, and governance activities in connection with your AFSL; and</w:t>
            </w:r>
          </w:p>
          <w:p>
            <w:r>
              <w:rPr>
                <w:b w:val="0"/>
                <w:i w:val="0"/>
              </w:rPr>
              <w:t>(j) any other activity authorised under your AFSL or required by law in connection with your role as investment manager, trustee, or responsible entity.</w:t>
            </w:r>
          </w:p>
        </w:tc>
      </w:tr>
      <w:tr>
        <w:tc>
          <w:tcPr>
            <w:tcW w:type="dxa" w:w="2608"/>
          </w:tcPr>
          <w:p>
            <w:bookmarkStart w:id="19" w:name="c_imi_def_fund"/>
            <w:r>
              <w:rPr>
                <w:b/>
                <w:i w:val="0"/>
              </w:rPr>
              <w:t>Fund</w:t>
            </w:r>
            <w:bookmarkEnd w:id="19"/>
          </w:p>
        </w:tc>
        <w:tc>
          <w:tcPr>
            <w:tcW w:type="dxa" w:w="6803"/>
          </w:tcPr>
          <w:p>
            <w:r>
              <w:rPr>
                <w:b w:val="0"/>
                <w:i w:val="0"/>
              </w:rPr>
              <w:t>Any managed investment scheme, unit trust, superannuation fund, pooled investment vehicle, separately managed account, or other investment structure operated, managed, or administered by you, including the funds named in the schedule and any fund established during the policy period.</w:t>
            </w:r>
          </w:p>
        </w:tc>
      </w:tr>
      <w:tr>
        <w:tc>
          <w:tcPr>
            <w:tcW w:type="dxa" w:w="2608"/>
          </w:tcPr>
          <w:p>
            <w:bookmarkStart w:id="20" w:name="c_imi_def_fund_assets"/>
            <w:r>
              <w:rPr>
                <w:b/>
                <w:i w:val="0"/>
              </w:rPr>
              <w:t>Fund assets</w:t>
            </w:r>
            <w:bookmarkEnd w:id="20"/>
          </w:p>
        </w:tc>
        <w:tc>
          <w:tcPr>
            <w:tcW w:type="dxa" w:w="6803"/>
          </w:tcPr>
          <w:p>
            <w:r>
              <w:rPr>
                <w:b w:val="0"/>
                <w:i w:val="0"/>
              </w:rPr>
              <w:t xml:space="preserve">The money, securities, financial instruments, digital assets, cryptocurrency, and other assets held in or on behalf of a fund, including assets held by a custodian on behalf of the fund. See </w:t>
            </w:r>
            <w:hyperlink w:anchor="c_imi_ext_digital_assets_and_cryptocurre">
              <w:r>
                <w:rPr>
                  <w:color w:val="2E5C4E"/>
                  <w:u w:val="single"/>
                </w:rPr>
                <w:t xml:space="preserve">the Digital Assets and Cryptocurrency extension</w:t>
              </w:r>
            </w:hyperlink>
            <w:r>
              <w:rPr>
                <w:b w:val="0"/>
                <w:i w:val="0"/>
              </w:rPr>
              <w:t xml:space="preserve"> for the digital-asset position and Endorsement E13 for enhanced terms.</w:t>
            </w:r>
          </w:p>
        </w:tc>
      </w:tr>
      <w:tr>
        <w:tc>
          <w:tcPr>
            <w:tcW w:type="dxa" w:w="2608"/>
          </w:tcPr>
          <w:p>
            <w:bookmarkStart w:id="21" w:name="c_imi_def_insured"/>
            <w:r>
              <w:rPr>
                <w:b/>
                <w:i w:val="0"/>
              </w:rPr>
              <w:t>Insured</w:t>
            </w:r>
            <w:bookmarkEnd w:id="21"/>
          </w:p>
        </w:tc>
        <w:tc>
          <w:tcPr>
            <w:tcW w:type="dxa" w:w="6803"/>
          </w:tcPr>
          <w:p>
            <w:r>
              <w:rPr>
                <w:b w:val="0"/>
                <w:i w:val="0"/>
              </w:rPr>
              <w:t>(a) the company (for all sections);</w:t>
            </w:r>
          </w:p>
          <w:p>
            <w:r>
              <w:rPr>
                <w:b w:val="0"/>
                <w:i w:val="0"/>
              </w:rPr>
              <w:t>(b) any insured person (for all sections); and</w:t>
            </w:r>
          </w:p>
          <w:p>
            <w:r>
              <w:rPr>
                <w:b w:val="0"/>
                <w:i w:val="0"/>
              </w:rPr>
              <w:t xml:space="preserve">(c) any fund, for </w:t>
            </w:r>
            <w:hyperlink w:anchor="c_imi_section_pl">
              <w:r>
                <w:rPr>
                  <w:color w:val="2E5C4E"/>
                  <w:u w:val="single"/>
                </w:rPr>
                <w:t xml:space="preserve">the Professional Liability section</w:t>
              </w:r>
            </w:hyperlink>
            <w:r>
              <w:rPr>
                <w:b w:val="0"/>
                <w:i w:val="0"/>
              </w:rPr>
              <w:t xml:space="preserve"> and </w:t>
            </w:r>
            <w:hyperlink w:anchor="c_imi_section_crime">
              <w:r>
                <w:rPr>
                  <w:color w:val="2E5C4E"/>
                  <w:u w:val="single"/>
                </w:rPr>
                <w:t xml:space="preserve">the Crime section</w:t>
              </w:r>
            </w:hyperlink>
            <w:r>
              <w:rPr>
                <w:b w:val="0"/>
                <w:i w:val="0"/>
              </w:rPr>
              <w:t xml:space="preserve"> only, to the extent you manage or administer the fund. A fund does not cease to be an insured merely because it holds separate insurance of its own; </w:t>
            </w:r>
            <w:hyperlink w:anchor="c_imi_pay_other_insurance">
              <w:r>
                <w:rPr>
                  <w:color w:val="2E5C4E"/>
                  <w:u w:val="single"/>
                </w:rPr>
                <w:t xml:space="preserve">the Other Insurance provision</w:t>
              </w:r>
            </w:hyperlink>
            <w:r>
              <w:rPr>
                <w:b w:val="0"/>
                <w:i w:val="0"/>
              </w:rPr>
              <w:t xml:space="preserve"> states how this policy applies where it does.</w:t>
            </w:r>
          </w:p>
        </w:tc>
      </w:tr>
      <w:tr>
        <w:tc>
          <w:tcPr>
            <w:tcW w:type="dxa" w:w="2608"/>
          </w:tcPr>
          <w:p>
            <w:bookmarkStart w:id="22" w:name="c_imi_def_insured_person"/>
            <w:r>
              <w:rPr>
                <w:b/>
                <w:i w:val="0"/>
              </w:rPr>
              <w:t>Insured person</w:t>
            </w:r>
            <w:bookmarkEnd w:id="22"/>
          </w:p>
        </w:tc>
        <w:tc>
          <w:tcPr>
            <w:tcW w:type="dxa" w:w="6803"/>
          </w:tcPr>
          <w:p>
            <w:r>
              <w:rPr>
                <w:b w:val="0"/>
                <w:i w:val="0"/>
              </w:rPr>
              <w:t>Any natural person who is, was, or during the policy period becomes:</w:t>
            </w:r>
          </w:p>
          <w:p>
            <w:r>
              <w:rPr>
                <w:b w:val="0"/>
                <w:i w:val="0"/>
              </w:rPr>
              <w:t>(a) a director (including shadow and de facto directors) of the company;</w:t>
            </w:r>
          </w:p>
          <w:p>
            <w:r>
              <w:rPr>
                <w:b w:val="0"/>
                <w:i w:val="0"/>
              </w:rPr>
              <w:t>(b) an officer of the company (including company secretary, CEO, CFO, CIO, chief compliance officer, portfolio managers, and any person who participates in investment or management decisions affecting the whole or substantial part of the business);</w:t>
            </w:r>
          </w:p>
          <w:p>
            <w:r>
              <w:rPr>
                <w:b w:val="0"/>
                <w:i w:val="0"/>
              </w:rPr>
              <w:t>(c) a member of any investment committee, compliance committee, risk committee, or equivalent body;</w:t>
            </w:r>
          </w:p>
          <w:p>
            <w:r>
              <w:rPr>
                <w:b w:val="0"/>
                <w:i w:val="0"/>
              </w:rPr>
              <w:t>(d) a trustee or member of the board of a fund (where the fund has its own governing body);</w:t>
            </w:r>
          </w:p>
          <w:p>
            <w:r>
              <w:rPr>
                <w:b w:val="0"/>
                <w:i w:val="0"/>
              </w:rPr>
              <w:t>(e) an equivalent person in any subsidiary; and</w:t>
            </w:r>
          </w:p>
          <w:p>
            <w:r>
              <w:rPr>
                <w:b w:val="0"/>
                <w:i w:val="0"/>
              </w:rPr>
              <w:t>(f) the spouse, domestic partner, estate, or legal representative of any of the above — but only for claims arising from that person's wrongful acts.</w:t>
            </w:r>
          </w:p>
        </w:tc>
      </w:tr>
      <w:tr>
        <w:tc>
          <w:tcPr>
            <w:tcW w:type="dxa" w:w="2608"/>
          </w:tcPr>
          <w:p>
            <w:bookmarkStart w:id="23" w:name="c_imi_def_limit_of_liability"/>
            <w:r>
              <w:rPr>
                <w:b/>
                <w:i w:val="0"/>
              </w:rPr>
              <w:t>Limit of liability</w:t>
            </w:r>
            <w:bookmarkEnd w:id="23"/>
          </w:p>
        </w:tc>
        <w:tc>
          <w:tcPr>
            <w:tcW w:type="dxa" w:w="6803"/>
          </w:tcPr>
          <w:p>
            <w:r>
              <w:rPr>
                <w:b w:val="0"/>
                <w:i w:val="0"/>
              </w:rPr>
              <w:t>The amounts shown in Item 4 of the schedule.</w:t>
            </w:r>
          </w:p>
        </w:tc>
      </w:tr>
      <w:tr>
        <w:tc>
          <w:tcPr>
            <w:tcW w:type="dxa" w:w="2608"/>
          </w:tcPr>
          <w:p>
            <w:bookmarkStart w:id="24" w:name="c_imi_def_loss"/>
            <w:r>
              <w:rPr>
                <w:b/>
                <w:i w:val="0"/>
              </w:rPr>
              <w:t>Loss</w:t>
            </w:r>
            <w:bookmarkEnd w:id="24"/>
          </w:p>
        </w:tc>
        <w:tc>
          <w:tcPr>
            <w:tcW w:type="dxa" w:w="6803"/>
          </w:tcPr>
          <w:p>
            <w:r>
              <w:rPr>
                <w:b w:val="0"/>
                <w:i w:val="0"/>
              </w:rPr>
              <w:t xml:space="preserve">For </w:t>
            </w:r>
            <w:hyperlink w:anchor="c_imi_section_pl">
              <w:r>
                <w:rPr>
                  <w:color w:val="2E5C4E"/>
                  <w:u w:val="single"/>
                </w:rPr>
                <w:t xml:space="preserve">the Professional Liability section</w:t>
              </w:r>
            </w:hyperlink>
            <w:r>
              <w:rPr>
                <w:b w:val="0"/>
                <w:i w:val="0"/>
              </w:rPr>
              <w:t xml:space="preserve"> and </w:t>
            </w:r>
            <w:hyperlink w:anchor="c_imi_section_do">
              <w:r>
                <w:rPr>
                  <w:color w:val="2E5C4E"/>
                  <w:u w:val="single"/>
                </w:rPr>
                <w:t xml:space="preserve">the Directors' and Officers' Liability section</w:t>
              </w:r>
            </w:hyperlink>
            <w:r>
              <w:rPr>
                <w:b w:val="0"/>
                <w:i w:val="0"/>
              </w:rPr>
              <w:t xml:space="preserve">: compensatory damages and defence costs that an insured becomes legally liable to pay. For insured persons, loss also includes fines and penalties, but only as </w:t>
            </w:r>
            <w:hyperlink w:anchor="c_imi_excl_fines_and_penalties">
              <w:r>
                <w:rPr>
                  <w:color w:val="2E5C4E"/>
                  <w:u w:val="single"/>
                </w:rPr>
                <w:t xml:space="preserve">the Fines and Penalties exclusion</w:t>
              </w:r>
            </w:hyperlink>
            <w:r>
              <w:rPr>
                <w:b w:val="0"/>
                <w:i w:val="0"/>
              </w:rPr>
              <w:t xml:space="preserve"> and </w:t>
            </w:r>
            <w:hyperlink w:anchor="c_imi_cond_corporations_act_199a_199b">
              <w:r>
                <w:rPr>
                  <w:color w:val="2E5C4E"/>
                  <w:u w:val="single"/>
                </w:rPr>
                <w:t xml:space="preserve">the Corporations Act 2001 (Cth), sections 199A and 199B condition</w:t>
              </w:r>
            </w:hyperlink>
            <w:r>
              <w:rPr>
                <w:b w:val="0"/>
                <w:i w:val="0"/>
              </w:rPr>
              <w:t xml:space="preserve"> allow.</w:t>
            </w:r>
          </w:p>
          <w:p>
            <w:r>
              <w:rPr>
                <w:b w:val="0"/>
                <w:i w:val="0"/>
              </w:rPr>
              <w:t xml:space="preserve">For </w:t>
            </w:r>
            <w:hyperlink w:anchor="c_imi_section_crime">
              <w:r>
                <w:rPr>
                  <w:color w:val="2E5C4E"/>
                  <w:u w:val="single"/>
                </w:rPr>
                <w:t xml:space="preserve">the Crime section</w:t>
              </w:r>
            </w:hyperlink>
            <w:r>
              <w:rPr>
                <w:b w:val="0"/>
                <w:i w:val="0"/>
              </w:rPr>
              <w:t xml:space="preserve">: the direct financial loss that the company or a fund sustains directly as a result of an act covered by an insuring clause of </w:t>
            </w:r>
            <w:hyperlink w:anchor="c_imi_section_crime">
              <w:r>
                <w:rPr>
                  <w:color w:val="2E5C4E"/>
                  <w:u w:val="single"/>
                </w:rPr>
                <w:t xml:space="preserve">the Crime section</w:t>
              </w:r>
            </w:hyperlink>
            <w:r>
              <w:rPr>
                <w:b w:val="0"/>
                <w:i w:val="0"/>
              </w:rPr>
              <w:t xml:space="preserve">. This is the only causation test applied in </w:t>
            </w:r>
            <w:hyperlink w:anchor="c_imi_section_crime">
              <w:r>
                <w:rPr>
                  <w:color w:val="2E5C4E"/>
                  <w:u w:val="single"/>
                </w:rPr>
                <w:t xml:space="preserve">the Crime section</w:t>
              </w:r>
            </w:hyperlink>
            <w:r>
              <w:rPr>
                <w:b w:val="0"/>
                <w:i w:val="0"/>
              </w:rPr>
              <w:t xml:space="preserve">: where an insuring clause also describes loss as caused by, or resulting from, an act, that wording refers to this test and does not set an additional or different threshold. </w:t>
            </w:r>
            <w:hyperlink w:anchor="c_imi_ext_payment_to_funds">
              <w:r>
                <w:rPr>
                  <w:color w:val="2E5C4E"/>
                  <w:u w:val="single"/>
                </w:rPr>
                <w:t xml:space="preserve">The Payment to Funds extension</w:t>
              </w:r>
            </w:hyperlink>
            <w:r>
              <w:rPr>
                <w:b w:val="0"/>
                <w:i w:val="0"/>
              </w:rPr>
              <w:t xml:space="preserve"> (Payment to Funds) states how we pay a fund's loss.</w:t>
            </w:r>
          </w:p>
          <w:p>
            <w:r>
              <w:rPr>
                <w:b w:val="0"/>
                <w:i w:val="0"/>
              </w:rPr>
              <w:t xml:space="preserve">Loss does not include: taxes; the return of fees, commissions, or management charges to which you were not entitled (but see </w:t>
            </w:r>
            <w:hyperlink w:anchor="c_imi_excl_fees_and_commissions">
              <w:r>
                <w:rPr>
                  <w:color w:val="2E5C4E"/>
                  <w:u w:val="single"/>
                </w:rPr>
                <w:t xml:space="preserve">the Fees and Commissions exclusion</w:t>
              </w:r>
            </w:hyperlink>
            <w:r>
              <w:rPr>
                <w:b w:val="0"/>
                <w:i w:val="0"/>
              </w:rPr>
              <w:t xml:space="preserve">); the return of improperly gained profits; amounts uninsurable at law; or indirect or consequential loss (for </w:t>
            </w:r>
            <w:hyperlink w:anchor="c_imi_section_crime">
              <w:r>
                <w:rPr>
                  <w:color w:val="2E5C4E"/>
                  <w:u w:val="single"/>
                </w:rPr>
                <w:t xml:space="preserve">the Crime section</w:t>
              </w:r>
            </w:hyperlink>
            <w:r>
              <w:rPr>
                <w:b w:val="0"/>
                <w:i w:val="0"/>
              </w:rPr>
              <w:t>).</w:t>
            </w:r>
          </w:p>
        </w:tc>
      </w:tr>
      <w:tr>
        <w:tc>
          <w:tcPr>
            <w:tcW w:type="dxa" w:w="2608"/>
          </w:tcPr>
          <w:p>
            <w:bookmarkStart w:id="25" w:name="c_imi_def_named_insured"/>
            <w:r>
              <w:rPr>
                <w:b/>
                <w:i w:val="0"/>
              </w:rPr>
              <w:t>Named insured</w:t>
            </w:r>
            <w:bookmarkEnd w:id="25"/>
          </w:p>
        </w:tc>
        <w:tc>
          <w:tcPr>
            <w:tcW w:type="dxa" w:w="6803"/>
          </w:tcPr>
          <w:p>
            <w:r>
              <w:rPr>
                <w:b w:val="0"/>
                <w:i w:val="0"/>
              </w:rPr>
              <w:t>The entity shown in the schedule.</w:t>
            </w:r>
          </w:p>
        </w:tc>
      </w:tr>
      <w:tr>
        <w:tc>
          <w:tcPr>
            <w:tcW w:type="dxa" w:w="2608"/>
          </w:tcPr>
          <w:p>
            <w:bookmarkStart w:id="26" w:name="c_imi_def_policy_period"/>
            <w:r>
              <w:rPr>
                <w:b/>
                <w:i w:val="0"/>
              </w:rPr>
              <w:t>Policy period</w:t>
            </w:r>
            <w:bookmarkEnd w:id="26"/>
          </w:p>
        </w:tc>
        <w:tc>
          <w:tcPr>
            <w:tcW w:type="dxa" w:w="6803"/>
          </w:tcPr>
          <w:p>
            <w:r>
              <w:rPr>
                <w:b w:val="0"/>
                <w:i w:val="0"/>
              </w:rPr>
              <w:t>The period shown in the schedule.</w:t>
            </w:r>
          </w:p>
        </w:tc>
      </w:tr>
      <w:tr>
        <w:tc>
          <w:tcPr>
            <w:tcW w:type="dxa" w:w="2608"/>
          </w:tcPr>
          <w:p>
            <w:bookmarkStart w:id="27" w:name="c_imi_def_regulatory_proceeding"/>
            <w:r>
              <w:rPr>
                <w:b/>
                <w:i w:val="0"/>
              </w:rPr>
              <w:t>Regulatory proceeding</w:t>
            </w:r>
            <w:bookmarkEnd w:id="27"/>
          </w:p>
        </w:tc>
        <w:tc>
          <w:tcPr>
            <w:tcW w:type="dxa" w:w="6803"/>
          </w:tcPr>
          <w:p>
            <w:r>
              <w:rPr>
                <w:b w:val="0"/>
                <w:i w:val="0"/>
              </w:rPr>
              <w:t>A formal investigation, examination, inquiry, enforcement action, infringement notice, or civil penalty proceeding brought by ASIC, APRA, the ACCC, the ATO, AUSTRAC, or any equivalent foreign regulator in connection with your financial services activities or the affairs of a fund.</w:t>
            </w:r>
          </w:p>
        </w:tc>
      </w:tr>
      <w:tr>
        <w:tc>
          <w:tcPr>
            <w:tcW w:type="dxa" w:w="2608"/>
          </w:tcPr>
          <w:p>
            <w:bookmarkStart w:id="28" w:name="c_imi_def_responsible_person"/>
            <w:r>
              <w:rPr>
                <w:b/>
                <w:i w:val="0"/>
              </w:rPr>
              <w:t>Responsible person</w:t>
            </w:r>
            <w:bookmarkEnd w:id="28"/>
          </w:p>
        </w:tc>
        <w:tc>
          <w:tcPr>
            <w:tcW w:type="dxa" w:w="6803"/>
          </w:tcPr>
          <w:p>
            <w:r>
              <w:rPr>
                <w:b w:val="0"/>
                <w:i w:val="0"/>
              </w:rPr>
              <w:t>Any director, officer, partner, principal, risk manager, compliance officer, internal auditor, chief compliance officer, chief financial officer, or head of finance or operations of the company; or, where the company has no natural person holding any of those roles, its most senior officer or manager responsible for its financial affairs at the relevant time.</w:t>
            </w:r>
          </w:p>
        </w:tc>
      </w:tr>
      <w:tr>
        <w:tc>
          <w:tcPr>
            <w:tcW w:type="dxa" w:w="2608"/>
          </w:tcPr>
          <w:p>
            <w:bookmarkStart w:id="29" w:name="c_imi_def_retroactive_date"/>
            <w:r>
              <w:rPr>
                <w:b/>
                <w:i w:val="0"/>
              </w:rPr>
              <w:t>Retroactive date</w:t>
            </w:r>
            <w:bookmarkEnd w:id="29"/>
          </w:p>
        </w:tc>
        <w:tc>
          <w:tcPr>
            <w:tcW w:type="dxa" w:w="6803"/>
          </w:tcPr>
          <w:p>
            <w:r>
              <w:rPr>
                <w:b w:val="0"/>
                <w:i w:val="0"/>
              </w:rPr>
              <w:t xml:space="preserve">The date shown in Item 3 of the schedule. </w:t>
            </w:r>
            <w:hyperlink w:anchor="c_imi_cond_retroactive_date">
              <w:r>
                <w:rPr>
                  <w:color w:val="2E5C4E"/>
                  <w:u w:val="single"/>
                </w:rPr>
                <w:t xml:space="preserve">The Retroactive Date condition</w:t>
              </w:r>
            </w:hyperlink>
            <w:r>
              <w:rPr>
                <w:b w:val="0"/>
                <w:i w:val="0"/>
              </w:rPr>
              <w:t xml:space="preserve"> states how it applies.</w:t>
            </w:r>
          </w:p>
        </w:tc>
      </w:tr>
      <w:tr>
        <w:tc>
          <w:tcPr>
            <w:tcW w:type="dxa" w:w="2608"/>
          </w:tcPr>
          <w:p>
            <w:bookmarkStart w:id="30" w:name="c_imi_def_schedule"/>
            <w:r>
              <w:rPr>
                <w:b/>
                <w:i w:val="0"/>
              </w:rPr>
              <w:t>Schedule</w:t>
            </w:r>
            <w:bookmarkEnd w:id="30"/>
          </w:p>
        </w:tc>
        <w:tc>
          <w:tcPr>
            <w:tcW w:type="dxa" w:w="6803"/>
          </w:tcPr>
          <w:p>
            <w:r>
              <w:rPr>
                <w:b w:val="0"/>
                <w:i w:val="0"/>
              </w:rPr>
              <w:t>The document issued with this policy.</w:t>
            </w:r>
          </w:p>
        </w:tc>
      </w:tr>
      <w:tr>
        <w:tc>
          <w:tcPr>
            <w:tcW w:type="dxa" w:w="2608"/>
          </w:tcPr>
          <w:p>
            <w:bookmarkStart w:id="31" w:name="c_imi_def_subsidiary"/>
            <w:r>
              <w:rPr>
                <w:b/>
                <w:i w:val="0"/>
              </w:rPr>
              <w:t>Subsidiary</w:t>
            </w:r>
            <w:bookmarkEnd w:id="31"/>
          </w:p>
        </w:tc>
        <w:tc>
          <w:tcPr>
            <w:tcW w:type="dxa" w:w="6803"/>
          </w:tcPr>
          <w:p>
            <w:r>
              <w:rPr>
                <w:b w:val="0"/>
                <w:i w:val="0"/>
              </w:rPr>
              <w:t>Any entity in which the named insured holds more than 50% of voting rights or effective management control.</w:t>
            </w:r>
          </w:p>
        </w:tc>
      </w:tr>
      <w:tr>
        <w:tc>
          <w:tcPr>
            <w:tcW w:type="dxa" w:w="2608"/>
          </w:tcPr>
          <w:p>
            <w:bookmarkStart w:id="32" w:name="c_imi_def_third_party_service_provider"/>
            <w:r>
              <w:rPr>
                <w:b/>
                <w:i w:val="0"/>
              </w:rPr>
              <w:t>Third-party service provider</w:t>
            </w:r>
            <w:bookmarkEnd w:id="32"/>
          </w:p>
        </w:tc>
        <w:tc>
          <w:tcPr>
            <w:tcW w:type="dxa" w:w="6803"/>
          </w:tcPr>
          <w:p>
            <w:r>
              <w:rPr>
                <w:b w:val="0"/>
                <w:i w:val="0"/>
              </w:rPr>
              <w:t>A custodian, administrator, prime broker, fund accountant, transfer agent, registry, or other service provider engaged by you or a fund under a written contract.</w:t>
            </w:r>
          </w:p>
        </w:tc>
      </w:tr>
      <w:tr>
        <w:tc>
          <w:tcPr>
            <w:tcW w:type="dxa" w:w="2608"/>
          </w:tcPr>
          <w:p>
            <w:bookmarkStart w:id="33" w:name="c_imi_def_unauthorised_access"/>
            <w:r>
              <w:rPr>
                <w:b/>
                <w:i w:val="0"/>
              </w:rPr>
              <w:t>Unauthorised access</w:t>
            </w:r>
            <w:bookmarkEnd w:id="33"/>
          </w:p>
        </w:tc>
        <w:tc>
          <w:tcPr>
            <w:tcW w:type="dxa" w:w="6803"/>
          </w:tcPr>
          <w:p>
            <w:r>
              <w:rPr>
                <w:b w:val="0"/>
                <w:i w:val="0"/>
              </w:rPr>
              <w:t>Access to a computer system or communication system without the actual or apparently authorised consent of the person entitled to control that access, including access obtained by a person who exceeds the scope of access actually granted to them.</w:t>
            </w:r>
          </w:p>
        </w:tc>
      </w:tr>
      <w:tr>
        <w:tc>
          <w:tcPr>
            <w:tcW w:type="dxa" w:w="2608"/>
          </w:tcPr>
          <w:p>
            <w:bookmarkStart w:id="34" w:name="c_imi_def_we_us_our"/>
            <w:r>
              <w:rPr>
                <w:b/>
                <w:i w:val="0"/>
              </w:rPr>
              <w:t>We / us / our</w:t>
            </w:r>
            <w:bookmarkEnd w:id="34"/>
          </w:p>
        </w:tc>
        <w:tc>
          <w:tcPr>
            <w:tcW w:type="dxa" w:w="6803"/>
          </w:tcPr>
          <w:p>
            <w:r>
              <w:rPr>
                <w:b w:val="0"/>
                <w:i w:val="0"/>
              </w:rPr>
              <w:t>The insurer named in the schedule.</w:t>
            </w:r>
          </w:p>
        </w:tc>
      </w:tr>
      <w:tr>
        <w:tc>
          <w:tcPr>
            <w:tcW w:type="dxa" w:w="2608"/>
          </w:tcPr>
          <w:p>
            <w:bookmarkStart w:id="35" w:name="c_imi_def_wrongful_act"/>
            <w:r>
              <w:rPr>
                <w:b/>
                <w:i w:val="0"/>
              </w:rPr>
              <w:t>Wrongful act</w:t>
            </w:r>
            <w:bookmarkEnd w:id="35"/>
          </w:p>
        </w:tc>
        <w:tc>
          <w:tcPr>
            <w:tcW w:type="dxa" w:w="6803"/>
          </w:tcPr>
          <w:p>
            <w:r>
              <w:rPr>
                <w:b w:val="0"/>
                <w:i w:val="0"/>
              </w:rPr>
              <w:t>Any actual or alleged act, error, omission, misstatement, misleading statement, breach of duty (including fiduciary duty), breach of trust, breach of any statutory or regulatory obligation, or neglect, committed by an insured in connection with your financial services activities or in the management of the company.</w:t>
            </w:r>
          </w:p>
        </w:tc>
      </w:tr>
      <w:tr>
        <w:tc>
          <w:tcPr>
            <w:tcW w:type="dxa" w:w="2608"/>
          </w:tcPr>
          <w:p>
            <w:bookmarkStart w:id="36" w:name="c_imi_def_you_your"/>
            <w:r>
              <w:rPr>
                <w:b/>
                <w:i w:val="0"/>
              </w:rPr>
              <w:t>You / your</w:t>
            </w:r>
            <w:bookmarkEnd w:id="36"/>
          </w:p>
        </w:tc>
        <w:tc>
          <w:tcPr>
            <w:tcW w:type="dxa" w:w="6803"/>
          </w:tcPr>
          <w:p>
            <w:r>
              <w:rPr>
                <w:b w:val="0"/>
                <w:i w:val="0"/>
              </w:rPr>
              <w:t>The company and, where the context requires, any insured person. In the Crime section, you and your mean the company only.</w:t>
            </w:r>
          </w:p>
        </w:tc>
      </w:tr>
    </w:tbl>
    <w:p>
      <w:bookmarkStart w:id="37" w:name="c_imi_section_pl"/>
      <w:r>
        <w:rPr>
          <w:rFonts w:ascii="Georgia" w:hAnsi="Georgia" w:eastAsia="Georgia"/>
          <w:b/>
          <w:i w:val="0"/>
          <w:color w:val="1C1915"/>
          <w:sz w:val="32"/>
        </w:rPr>
        <w:t>Professional Liability</w:t>
      </w:r>
      <w:bookmarkEnd w:id="37"/>
    </w:p>
    <w:p>
      <w:bookmarkStart w:id="38" w:name="c_imi_section_pl_cover"/>
      <w:r>
        <w:rPr>
          <w:rFonts w:ascii="Georgia" w:hAnsi="Georgia" w:eastAsia="Georgia"/>
          <w:b/>
          <w:i w:val="0"/>
          <w:color w:val="1C1915"/>
          <w:sz w:val="32"/>
        </w:rPr>
        <w:t>What Is Covered — Professional Liability</w:t>
      </w:r>
      <w:bookmarkEnd w:id="38"/>
    </w:p>
    <w:p>
      <w:bookmarkStart w:id="39" w:name="c_imi_cover_financial_services_liability"/>
      <w:r>
        <w:rPr>
          <w:rFonts w:ascii="Georgia" w:hAnsi="Georgia" w:eastAsia="Georgia"/>
          <w:b/>
          <w:i w:val="0"/>
          <w:color w:val="2E5C4E"/>
          <w:sz w:val="25"/>
        </w:rPr>
        <w:t>Financial Services Liability</w:t>
      </w:r>
      <w:bookmarkEnd w:id="39"/>
    </w:p>
    <w:p>
      <w:r>
        <w:rPr>
          <w:b w:val="0"/>
          <w:i w:val="0"/>
        </w:rPr>
        <w:t>If a claim is first made against an insured during the policy period for a wrongful act in connection with financial services activities performed on or after the retroactive date, we will pay:</w:t>
      </w:r>
    </w:p>
    <w:p>
      <w:r>
        <w:rPr>
          <w:b w:val="0"/>
          <w:i w:val="0"/>
        </w:rPr>
        <w:t>(a) any amount the insured becomes legally liable to pay as compensation (including the claimant's costs); and</w:t>
      </w:r>
    </w:p>
    <w:p>
      <w:r>
        <w:rPr>
          <w:b w:val="0"/>
          <w:i w:val="0"/>
        </w:rPr>
        <w:t>(b) the insured's defence costs,</w:t>
      </w:r>
    </w:p>
    <w:p>
      <w:r>
        <w:rPr>
          <w:b w:val="0"/>
          <w:i w:val="0"/>
        </w:rPr>
        <w:t>for any actual or alleged:</w:t>
      </w:r>
    </w:p>
    <w:p>
      <w:r>
        <w:rPr>
          <w:b w:val="0"/>
          <w:i w:val="0"/>
        </w:rPr>
        <w:t>(i) negligence, breach of duty of care, or failure to exercise reasonable care and skill in providing financial services</w:t>
      </w:r>
    </w:p>
    <w:p>
      <w:r>
        <w:rPr>
          <w:b w:val="0"/>
          <w:i w:val="0"/>
        </w:rPr>
        <w:t>(ii) negligent misstatement, misrepresentation, or misleading advice about a financial product or investment</w:t>
      </w:r>
    </w:p>
    <w:p>
      <w:r>
        <w:rPr>
          <w:b w:val="0"/>
          <w:i w:val="0"/>
        </w:rPr>
        <w:t>(iii) breach of fiduciary duty or trustee duty (including the duty to act in the best interests of investors or members)</w:t>
      </w:r>
    </w:p>
    <w:p>
      <w:r>
        <w:rPr>
          <w:b w:val="0"/>
          <w:i w:val="0"/>
        </w:rPr>
        <w:t>(iv) breach of the Corporations Act 2001 (Cth), including AFSL obligations, the managed investments regime (Chapter 5C), design and distribution obligations (Part 7.8A), and the financial services conduct provisions</w:t>
      </w:r>
    </w:p>
    <w:p>
      <w:r>
        <w:rPr>
          <w:b w:val="0"/>
          <w:i w:val="0"/>
        </w:rPr>
        <w:t>(v) breach of the ASIC Act 2001 (Cth), including misleading or deceptive conduct (s 12DA) and unconscionable conduct (s 12CA–12CC)</w:t>
      </w:r>
    </w:p>
    <w:p>
      <w:r>
        <w:rPr>
          <w:b w:val="0"/>
          <w:i w:val="0"/>
        </w:rPr>
        <w:t>(vi) breach of the Australian Consumer Law in connection with financial services</w:t>
      </w:r>
    </w:p>
    <w:p>
      <w:r>
        <w:rPr>
          <w:b w:val="0"/>
          <w:i w:val="0"/>
        </w:rPr>
        <w:t>(vii) breach of the Superannuation Industry (Supervision) Act 1993 (Cth), including the best financial interests duty, the sole purpose test, and prudential standards (where you are a superannuation trustee)</w:t>
      </w:r>
    </w:p>
    <w:p>
      <w:r>
        <w:rPr>
          <w:b w:val="0"/>
          <w:i w:val="0"/>
        </w:rPr>
        <w:t>(viii) breach of the Financial Accountability Regime Act 2023 (Cth) (FAR), including accountability obligations of accountable persons</w:t>
      </w:r>
    </w:p>
    <w:p>
      <w:r>
        <w:rPr>
          <w:b w:val="0"/>
          <w:i w:val="0"/>
        </w:rPr>
        <w:t>(ix) failure to comply with anti-money laundering and counter-terrorism financing obligations under the AML/CTF Act 2006 (Cth), to the extent the failure arises from your financial services activities</w:t>
      </w:r>
    </w:p>
    <w:p>
      <w:r>
        <w:rPr>
          <w:b w:val="0"/>
          <w:i w:val="0"/>
        </w:rPr>
        <w:t>(x) breach of confidence, misuse of confidential information, or breach of privacy in connection with your financial services activities</w:t>
      </w:r>
    </w:p>
    <w:p>
      <w:r>
        <w:rPr>
          <w:b w:val="0"/>
          <w:i w:val="0"/>
        </w:rPr>
        <w:t>(xi) defamation arising from your research reports, investor communications, or marketing materials</w:t>
      </w:r>
    </w:p>
    <w:p>
      <w:r>
        <w:rPr>
          <w:b w:val="0"/>
          <w:i w:val="0"/>
        </w:rPr>
        <w:t>(xii) infringement of intellectual property (copyright, trademark) in your publications or marketing</w:t>
      </w:r>
    </w:p>
    <w:p>
      <w:r>
        <w:rPr>
          <w:b w:val="0"/>
          <w:i w:val="0"/>
        </w:rPr>
        <w:t>(xiii) any other civil liability arising from your financial services activities</w:t>
      </w:r>
    </w:p>
    <w:p>
      <w:bookmarkStart w:id="40" w:name="c_imi_cover_defence_of_regulatory_procee"/>
      <w:r>
        <w:rPr>
          <w:rFonts w:ascii="Georgia" w:hAnsi="Georgia" w:eastAsia="Georgia"/>
          <w:b/>
          <w:i w:val="0"/>
          <w:color w:val="2E5C4E"/>
          <w:sz w:val="25"/>
        </w:rPr>
        <w:t>Defence of Regulatory Proceedings</w:t>
      </w:r>
      <w:bookmarkEnd w:id="40"/>
    </w:p>
    <w:p>
      <w:r>
        <w:rPr>
          <w:b w:val="0"/>
          <w:i w:val="0"/>
        </w:rPr>
        <w:t xml:space="preserve">We will pay the insured's defence costs in responding to any regulatory proceeding first commenced during the policy period, even before a claim has been made, for a wrongful act committed on or after the retroactive date (see </w:t>
      </w:r>
      <w:hyperlink w:anchor="c_imi_cond_retroactive_date">
        <w:r>
          <w:rPr>
            <w:color w:val="2E5C4E"/>
            <w:u w:val="single"/>
          </w:rPr>
          <w:t xml:space="preserve">the Retroactive Date condition</w:t>
        </w:r>
      </w:hyperlink>
      <w:r>
        <w:rPr>
          <w:b w:val="0"/>
          <w:i w:val="0"/>
        </w:rPr>
        <w:t>).</w:t>
      </w:r>
    </w:p>
    <w:p>
      <w:bookmarkStart w:id="41" w:name="c_imi_cover_afca_complaints"/>
      <w:r>
        <w:rPr>
          <w:rFonts w:ascii="Georgia" w:hAnsi="Georgia" w:eastAsia="Georgia"/>
          <w:b/>
          <w:i w:val="0"/>
          <w:color w:val="2E5C4E"/>
          <w:sz w:val="25"/>
        </w:rPr>
        <w:t>AFCA Complaints</w:t>
      </w:r>
      <w:bookmarkEnd w:id="41"/>
    </w:p>
    <w:p>
      <w:r>
        <w:rPr>
          <w:b w:val="0"/>
          <w:i w:val="0"/>
        </w:rPr>
        <w:t xml:space="preserve">We will pay the insured's defence costs in responding to complaints lodged with the Australian Financial Complaints Authority (AFCA) during the policy period in connection with financial services activities performed on or after the retroactive date (see </w:t>
      </w:r>
      <w:hyperlink w:anchor="c_imi_cond_retroactive_date">
        <w:r>
          <w:rPr>
            <w:color w:val="2E5C4E"/>
            <w:u w:val="single"/>
          </w:rPr>
          <w:t xml:space="preserve">the Retroactive Date condition</w:t>
        </w:r>
      </w:hyperlink>
      <w:r>
        <w:rPr>
          <w:b w:val="0"/>
          <w:i w:val="0"/>
        </w:rPr>
        <w:t>). We will also pay any determination, award, or settlement made through the AFCA process.</w:t>
      </w:r>
    </w:p>
    <w:p>
      <w:bookmarkStart w:id="42" w:name="c_imi_cover_notification_of_circumstance"/>
      <w:r>
        <w:rPr>
          <w:rFonts w:ascii="Georgia" w:hAnsi="Georgia" w:eastAsia="Georgia"/>
          <w:b/>
          <w:i w:val="0"/>
          <w:color w:val="2E5C4E"/>
          <w:sz w:val="25"/>
        </w:rPr>
        <w:t>Notification of Circumstances</w:t>
      </w:r>
      <w:bookmarkEnd w:id="42"/>
    </w:p>
    <w:p>
      <w:r>
        <w:rPr>
          <w:b w:val="0"/>
          <w:i w:val="0"/>
        </w:rPr>
        <w:t xml:space="preserve">If during the policy period an insured becomes aware of any fact, matter, or circumstance that might reasonably be expected to give rise to a claim, and you notify us in writing during the policy period, any later claim arising from those circumstances will be treated as first made during this policy period. This clause implements s 40(3) of the Insurance Contracts Act 1984 (Cth) — see </w:t>
      </w:r>
      <w:hyperlink w:anchor="c_imi_obl_notify_circumstances">
        <w:r>
          <w:rPr>
            <w:color w:val="2E5C4E"/>
            <w:u w:val="single"/>
          </w:rPr>
          <w:t xml:space="preserve">the Notify Circumstances — Professional Liability and Directors' and Officers' Liability obligation</w:t>
        </w:r>
      </w:hyperlink>
      <w:r>
        <w:rPr>
          <w:b w:val="0"/>
          <w:i w:val="0"/>
        </w:rPr>
        <w:t xml:space="preserve"> for the corresponding obligation.</w:t>
      </w:r>
    </w:p>
    <w:p>
      <w:bookmarkStart w:id="43" w:name="c_imi_section_pl_extensions"/>
      <w:r>
        <w:rPr>
          <w:rFonts w:ascii="Georgia" w:hAnsi="Georgia" w:eastAsia="Georgia"/>
          <w:b/>
          <w:i w:val="0"/>
          <w:color w:val="1C1915"/>
          <w:sz w:val="32"/>
        </w:rPr>
        <w:t>Extensions — Professional Liability</w:t>
      </w:r>
      <w:bookmarkEnd w:id="43"/>
    </w:p>
    <w:p>
      <w:bookmarkStart w:id="44" w:name="c_imi_ext_loss_of_documents"/>
      <w:r>
        <w:rPr>
          <w:rFonts w:ascii="Georgia" w:hAnsi="Georgia" w:eastAsia="Georgia"/>
          <w:b/>
          <w:i w:val="0"/>
          <w:color w:val="2E5C4E"/>
          <w:sz w:val="25"/>
        </w:rPr>
        <w:t>Loss of Documents</w:t>
      </w:r>
      <w:bookmarkEnd w:id="44"/>
    </w:p>
    <w:p>
      <w:r>
        <w:rPr>
          <w:b w:val="0"/>
          <w:i w:val="0"/>
        </w:rPr>
        <w:t>Reasonable costs to restore or replace tangible or electronic documents necessary for your financial services activities, lost, damaged, or destroyed while in your possession.</w:t>
      </w:r>
    </w:p>
    <w:p>
      <w:bookmarkStart w:id="45" w:name="c_imi_ext_fund_assets_third_party_servic"/>
      <w:r>
        <w:rPr>
          <w:rFonts w:ascii="Georgia" w:hAnsi="Georgia" w:eastAsia="Georgia"/>
          <w:b/>
          <w:i w:val="0"/>
          <w:color w:val="2E5C4E"/>
          <w:sz w:val="25"/>
        </w:rPr>
        <w:t>Fund Assets — Third-Party Service Provider Failure</w:t>
      </w:r>
      <w:bookmarkEnd w:id="45"/>
    </w:p>
    <w:p>
      <w:r>
        <w:rPr>
          <w:b w:val="0"/>
          <w:i w:val="0"/>
        </w:rPr>
        <w:t xml:space="preserve">If a third-party service provider (such as a custodian, administrator, or prime broker) fails to perform its obligations under its contract with you or a fund, and a claim is first made against you during the policy period as a result, for a wrongful act committed on or after the retroactive date (see </w:t>
      </w:r>
      <w:hyperlink w:anchor="c_imi_cond_retroactive_date">
        <w:r>
          <w:rPr>
            <w:color w:val="2E5C4E"/>
            <w:u w:val="single"/>
          </w:rPr>
          <w:t xml:space="preserve">the Retroactive Date condition</w:t>
        </w:r>
      </w:hyperlink>
      <w:r>
        <w:rPr>
          <w:b w:val="0"/>
          <w:i w:val="0"/>
        </w:rPr>
        <w:t>), we will cover you as if you had performed the activity yourself — provided you exercised reasonable care in selecting, appointing, and monitoring the third-party service provider.</w:t>
      </w:r>
    </w:p>
    <w:p>
      <w:r>
        <w:rPr>
          <w:b w:val="0"/>
          <w:i w:val="0"/>
        </w:rPr>
        <w:t xml:space="preserve">This extension does not cover the insolvency of a </w:t>
      </w:r>
      <w:r>
        <w:rPr>
          <w:b/>
          <w:i w:val="0"/>
        </w:rPr>
        <w:t>third-party service provider</w:t>
      </w:r>
      <w:r>
        <w:rPr>
          <w:b w:val="0"/>
          <w:i w:val="0"/>
        </w:rPr>
        <w:t xml:space="preserve"> or the loss of </w:t>
      </w:r>
      <w:r>
        <w:rPr>
          <w:b/>
          <w:i w:val="0"/>
        </w:rPr>
        <w:t>fund assets</w:t>
      </w:r>
      <w:r>
        <w:rPr>
          <w:b w:val="0"/>
          <w:i w:val="0"/>
        </w:rPr>
        <w:t xml:space="preserve"> held by a custodian — unless the loss results from the custodian's fraud or dishonesty (which may be covered under </w:t>
      </w:r>
      <w:hyperlink w:anchor="c_imi_section_crime">
        <w:r>
          <w:rPr>
            <w:color w:val="2E5C4E"/>
            <w:u w:val="single"/>
          </w:rPr>
          <w:t xml:space="preserve">the Crime section</w:t>
        </w:r>
      </w:hyperlink>
      <w:r>
        <w:rPr>
          <w:b w:val="0"/>
          <w:i w:val="0"/>
        </w:rPr>
        <w:t>).</w:t>
      </w:r>
    </w:p>
    <w:p>
      <w:bookmarkStart w:id="46" w:name="c_imi_ext_mitigation_costs"/>
      <w:r>
        <w:rPr>
          <w:rFonts w:ascii="Georgia" w:hAnsi="Georgia" w:eastAsia="Georgia"/>
          <w:b/>
          <w:i w:val="0"/>
          <w:color w:val="2E5C4E"/>
          <w:sz w:val="25"/>
        </w:rPr>
        <w:t>Mitigation Costs</w:t>
      </w:r>
      <w:bookmarkEnd w:id="46"/>
    </w:p>
    <w:p>
      <w:r>
        <w:rPr>
          <w:b w:val="0"/>
          <w:i w:val="0"/>
        </w:rPr>
        <w:t>Reasonable costs incurred with our prior consent to prevent or reduce a loss that would otherwise be covered.</w:t>
      </w:r>
    </w:p>
    <w:p>
      <w:bookmarkStart w:id="47" w:name="c_imi_ext_continuous_cover"/>
      <w:r>
        <w:rPr>
          <w:rFonts w:ascii="Georgia" w:hAnsi="Georgia" w:eastAsia="Georgia"/>
          <w:b/>
          <w:i w:val="0"/>
          <w:color w:val="2E5C4E"/>
          <w:sz w:val="25"/>
        </w:rPr>
        <w:t>Continuous Cover</w:t>
      </w:r>
      <w:bookmarkEnd w:id="47"/>
    </w:p>
    <w:p>
      <w:r>
        <w:rPr>
          <w:b w:val="0"/>
          <w:i w:val="0"/>
        </w:rPr>
        <w:t xml:space="preserve">If a claim arises from a wrongful act that should have been notified under a previous policy and was not known, and continuous cover has been maintained, we will cover the claim under this policy's terms and limits — see </w:t>
      </w:r>
      <w:hyperlink w:anchor="c_imi_cond_continuous_cover">
        <w:r>
          <w:rPr>
            <w:color w:val="2E5C4E"/>
            <w:u w:val="single"/>
          </w:rPr>
          <w:t xml:space="preserve">the Continuous Cover condition</w:t>
        </w:r>
      </w:hyperlink>
      <w:r>
        <w:rPr>
          <w:b w:val="0"/>
          <w:i w:val="0"/>
        </w:rPr>
        <w:t xml:space="preserve"> for how this is capped.</w:t>
      </w:r>
    </w:p>
    <w:p>
      <w:bookmarkStart w:id="48" w:name="c_imi_ext_public_relations"/>
      <w:r>
        <w:rPr>
          <w:rFonts w:ascii="Georgia" w:hAnsi="Georgia" w:eastAsia="Georgia"/>
          <w:b/>
          <w:i w:val="0"/>
          <w:color w:val="2E5C4E"/>
          <w:sz w:val="25"/>
        </w:rPr>
        <w:t>Public Relations</w:t>
      </w:r>
      <w:bookmarkEnd w:id="48"/>
    </w:p>
    <w:p>
      <w:r>
        <w:rPr>
          <w:b w:val="0"/>
          <w:i w:val="0"/>
        </w:rPr>
        <w:t>Reasonable costs of a public relations consultant following a covered claim or regulatory proceeding.</w:t>
      </w:r>
    </w:p>
    <w:p>
      <w:bookmarkStart w:id="49" w:name="c_imi_ext_court_attendance"/>
      <w:r>
        <w:rPr>
          <w:rFonts w:ascii="Georgia" w:hAnsi="Georgia" w:eastAsia="Georgia"/>
          <w:b/>
          <w:i w:val="0"/>
          <w:color w:val="2E5C4E"/>
          <w:sz w:val="25"/>
        </w:rPr>
        <w:t>Court Attendance</w:t>
      </w:r>
      <w:bookmarkEnd w:id="49"/>
    </w:p>
    <w:p>
      <w:r>
        <w:rPr>
          <w:b w:val="0"/>
          <w:i w:val="0"/>
        </w:rPr>
        <w:t>$500 per day for an insured person or employee attending court, a tribunal, or an AFCA hearing as a witness in connection with a covered claim, subject to a maximum of $10,000 in total for any one claim.</w:t>
      </w:r>
    </w:p>
    <w:p>
      <w:bookmarkStart w:id="50" w:name="c_imi_ext_joint_venture_and_sub_advised_"/>
      <w:r>
        <w:rPr>
          <w:rFonts w:ascii="Georgia" w:hAnsi="Georgia" w:eastAsia="Georgia"/>
          <w:b/>
          <w:i w:val="0"/>
          <w:color w:val="2E5C4E"/>
          <w:sz w:val="25"/>
        </w:rPr>
        <w:t>Joint Venture and Sub-Advised Funds</w:t>
      </w:r>
      <w:bookmarkEnd w:id="50"/>
    </w:p>
    <w:p>
      <w:r>
        <w:rPr>
          <w:b w:val="0"/>
          <w:i w:val="0"/>
        </w:rPr>
        <w:t>If you provide investment management or sub-advisory services to a fund managed by another entity under a sub-advisory or joint venture arrangement, we will cover claims arising from your services under that arrangement as if the fund were your own fund. “Joint venture” means an incorporated or unincorporated arrangement between you and another entity to jointly provide investment management or sub-advisory services, and covers claims arising in connection with the scope of that arrangement.</w:t>
      </w:r>
    </w:p>
    <w:p>
      <w:bookmarkStart w:id="51" w:name="c_imi_ext_compliance_costs"/>
      <w:r>
        <w:rPr>
          <w:rFonts w:ascii="Georgia" w:hAnsi="Georgia" w:eastAsia="Georgia"/>
          <w:b/>
          <w:i w:val="0"/>
          <w:color w:val="2E5C4E"/>
          <w:sz w:val="25"/>
        </w:rPr>
        <w:t>Compliance Costs</w:t>
      </w:r>
      <w:bookmarkEnd w:id="51"/>
    </w:p>
    <w:p>
      <w:r>
        <w:rPr>
          <w:b w:val="0"/>
          <w:i w:val="0"/>
        </w:rPr>
        <w:t>We will pay compliance costs incurred by you in responding to a covered ASIC or APRA audit, review, or inquiry.</w:t>
      </w:r>
    </w:p>
    <w:p>
      <w:bookmarkStart w:id="52" w:name="c_imi_section_do"/>
      <w:r>
        <w:rPr>
          <w:rFonts w:ascii="Georgia" w:hAnsi="Georgia" w:eastAsia="Georgia"/>
          <w:b/>
          <w:i w:val="0"/>
          <w:color w:val="1C1915"/>
          <w:sz w:val="32"/>
        </w:rPr>
        <w:t>Directors' and Officers' Liability</w:t>
      </w:r>
      <w:bookmarkEnd w:id="52"/>
    </w:p>
    <w:p>
      <w:bookmarkStart w:id="53" w:name="c_imi_section_do_cover"/>
      <w:r>
        <w:rPr>
          <w:rFonts w:ascii="Georgia" w:hAnsi="Georgia" w:eastAsia="Georgia"/>
          <w:b/>
          <w:i w:val="0"/>
          <w:color w:val="1C1915"/>
          <w:sz w:val="32"/>
        </w:rPr>
        <w:t>What Is Covered — Directors' and Officers' Liability</w:t>
      </w:r>
      <w:bookmarkEnd w:id="53"/>
    </w:p>
    <w:p>
      <w:bookmarkStart w:id="54" w:name="c_imi_cover_personal_liability_non_indem"/>
      <w:r>
        <w:rPr>
          <w:rFonts w:ascii="Georgia" w:hAnsi="Georgia" w:eastAsia="Georgia"/>
          <w:b/>
          <w:i w:val="0"/>
          <w:color w:val="2E5C4E"/>
          <w:sz w:val="25"/>
        </w:rPr>
        <w:t>Personal Liability — Non-Indemnifiable Loss (Side A)</w:t>
      </w:r>
      <w:bookmarkEnd w:id="54"/>
    </w:p>
    <w:p>
      <w:r>
        <w:rPr>
          <w:b w:val="0"/>
          <w:i w:val="0"/>
        </w:rPr>
        <w:t>If a claim is first made against an insured person during the policy period for a wrongful act in their capacity as a director or officer of the company, committed on or after the retroactive date, and the loss is non-indemnifiable (because the company is legally prohibited, financially unable, or refuses to indemnify), we will pay the insured person directly.</w:t>
      </w:r>
    </w:p>
    <w:p>
      <w:r>
        <w:rPr>
          <w:b w:val="0"/>
          <w:i w:val="0"/>
        </w:rPr>
        <w:t>No excess applies to Side A.</w:t>
      </w:r>
    </w:p>
    <w:p>
      <w:bookmarkStart w:id="55" w:name="c_imi_cover_company_reimbursement_side_b"/>
      <w:r>
        <w:rPr>
          <w:rFonts w:ascii="Georgia" w:hAnsi="Georgia" w:eastAsia="Georgia"/>
          <w:b/>
          <w:i w:val="0"/>
          <w:color w:val="2E5C4E"/>
          <w:sz w:val="25"/>
        </w:rPr>
        <w:t>Company Reimbursement (Side B)</w:t>
      </w:r>
      <w:bookmarkEnd w:id="55"/>
    </w:p>
    <w:p>
      <w:r>
        <w:rPr>
          <w:b w:val="0"/>
          <w:i w:val="0"/>
        </w:rPr>
        <w:t>If a claim is first made against an insured person during the policy period for a wrongful act in their capacity as a director or officer of the company, committed on or after the retroactive date, and the company has indemnified the insured person for loss that the company is legally permitted to indemnify, we will reimburse the company.</w:t>
      </w:r>
    </w:p>
    <w:p>
      <w:r>
        <w:rPr>
          <w:b w:val="0"/>
          <w:i w:val="0"/>
        </w:rPr>
        <w:t xml:space="preserve">The Side B </w:t>
      </w:r>
      <w:r>
        <w:rPr>
          <w:b/>
          <w:i w:val="0"/>
        </w:rPr>
        <w:t>excess</w:t>
      </w:r>
      <w:r>
        <w:rPr>
          <w:b w:val="0"/>
          <w:i w:val="0"/>
        </w:rPr>
        <w:t xml:space="preserve"> shown in the schedule applies.</w:t>
      </w:r>
    </w:p>
    <w:p>
      <w:bookmarkStart w:id="56" w:name="c_imi_section_do_extensions"/>
      <w:r>
        <w:rPr>
          <w:rFonts w:ascii="Georgia" w:hAnsi="Georgia" w:eastAsia="Georgia"/>
          <w:b/>
          <w:i w:val="0"/>
          <w:color w:val="1C1915"/>
          <w:sz w:val="32"/>
        </w:rPr>
        <w:t>Extensions — Directors' and Officers' Liability</w:t>
      </w:r>
      <w:bookmarkEnd w:id="56"/>
    </w:p>
    <w:p>
      <w:bookmarkStart w:id="57" w:name="c_imi_ext_retired_directors_and_officers"/>
      <w:r>
        <w:rPr>
          <w:rFonts w:ascii="Georgia" w:hAnsi="Georgia" w:eastAsia="Georgia"/>
          <w:b/>
          <w:i w:val="0"/>
          <w:color w:val="2E5C4E"/>
          <w:sz w:val="25"/>
        </w:rPr>
        <w:t>Retired Directors and Officers</w:t>
      </w:r>
      <w:bookmarkEnd w:id="57"/>
    </w:p>
    <w:p>
      <w:r>
        <w:rPr>
          <w:b w:val="0"/>
          <w:i w:val="0"/>
        </w:rPr>
        <w:t>Cover continues for claims against retired insured persons for 72 months after the end of the policy period, at no additional premium.</w:t>
      </w:r>
    </w:p>
    <w:p>
      <w:bookmarkStart w:id="58" w:name="c_imi_ext_spouse_estate_and_legal_repres"/>
      <w:r>
        <w:rPr>
          <w:rFonts w:ascii="Georgia" w:hAnsi="Georgia" w:eastAsia="Georgia"/>
          <w:b/>
          <w:i w:val="0"/>
          <w:color w:val="2E5C4E"/>
          <w:sz w:val="25"/>
        </w:rPr>
        <w:t>Spouse, Estate, and Legal Representative</w:t>
      </w:r>
      <w:bookmarkEnd w:id="58"/>
    </w:p>
    <w:p>
      <w:r>
        <w:rPr>
          <w:b w:val="0"/>
          <w:i w:val="0"/>
        </w:rPr>
        <w:t>Covered for claims arising from the insured person's wrongful acts, including jointly held assets at risk.</w:t>
      </w:r>
    </w:p>
    <w:p>
      <w:bookmarkStart w:id="59" w:name="c_imi_ext_asic_and_apra_investigation_co"/>
      <w:r>
        <w:rPr>
          <w:rFonts w:ascii="Georgia" w:hAnsi="Georgia" w:eastAsia="Georgia"/>
          <w:b/>
          <w:i w:val="0"/>
          <w:color w:val="2E5C4E"/>
          <w:sz w:val="25"/>
        </w:rPr>
        <w:t>ASIC and APRA Investigation Costs</w:t>
      </w:r>
      <w:bookmarkEnd w:id="59"/>
    </w:p>
    <w:p>
      <w:r>
        <w:rPr>
          <w:b w:val="0"/>
          <w:i w:val="0"/>
        </w:rPr>
        <w:t>Defence costs for formal ASIC and APRA investigations into the conduct of an insured person, even before a claim is made.</w:t>
      </w:r>
    </w:p>
    <w:p>
      <w:bookmarkStart w:id="60" w:name="c_imi_ext_far_proceeding_costs"/>
      <w:r>
        <w:rPr>
          <w:rFonts w:ascii="Georgia" w:hAnsi="Georgia" w:eastAsia="Georgia"/>
          <w:b/>
          <w:i w:val="0"/>
          <w:color w:val="2E5C4E"/>
          <w:sz w:val="25"/>
        </w:rPr>
        <w:t>FAR Proceeding Costs</w:t>
      </w:r>
      <w:bookmarkEnd w:id="60"/>
    </w:p>
    <w:p>
      <w:r>
        <w:rPr>
          <w:b w:val="0"/>
          <w:i w:val="0"/>
        </w:rPr>
        <w:t>Defence costs for proceedings under the Financial Accountability Regime Act 2023 (Cth) against an insured person as an accountable person.</w:t>
      </w:r>
    </w:p>
    <w:p>
      <w:r>
        <w:rPr>
          <w:b w:val="0"/>
          <w:i w:val="0"/>
        </w:rPr>
        <w:t xml:space="preserve">If the proceeding results in the forfeiture or clawback of the insured person's deferred remuneration, we will pay the forfeited amount — provided no final adjudication of dishonesty. </w:t>
      </w:r>
      <w:hyperlink w:anchor="c_imi_excl_fines_and_penalties">
        <w:r>
          <w:rPr>
            <w:color w:val="2E5C4E"/>
            <w:u w:val="single"/>
          </w:rPr>
          <w:t xml:space="preserve">The Fines and Penalties exclusion</w:t>
        </w:r>
      </w:hyperlink>
      <w:r>
        <w:rPr>
          <w:b w:val="0"/>
          <w:i w:val="0"/>
        </w:rPr>
        <w:t xml:space="preserve"> and </w:t>
      </w:r>
      <w:hyperlink w:anchor="c_imi_cond_corporations_act_199a_199b">
        <w:r>
          <w:rPr>
            <w:color w:val="2E5C4E"/>
            <w:u w:val="single"/>
          </w:rPr>
          <w:t xml:space="preserve">the Corporations Act 2001 (Cth), sections 199A and 199B condition</w:t>
        </w:r>
      </w:hyperlink>
      <w:r>
        <w:rPr>
          <w:b w:val="0"/>
          <w:i w:val="0"/>
        </w:rPr>
        <w:t xml:space="preserve"> apply to this extension.</w:t>
      </w:r>
    </w:p>
    <w:p>
      <w:r>
        <w:rPr>
          <w:b w:val="0"/>
          <w:i w:val="0"/>
        </w:rPr>
        <w:t>[WP REVIEW: whether paying forfeited or clawed-back deferred remuneration, or a penalty under the Financial Accountability Regime Act 2023 (Cth), is insurable and compatible with the prudential standards on hedging deferred remuneration.]</w:t>
      </w:r>
    </w:p>
    <w:p>
      <w:bookmarkStart w:id="61" w:name="c_imi_ext_preservation_of_assets_and_liv"/>
      <w:r>
        <w:rPr>
          <w:rFonts w:ascii="Georgia" w:hAnsi="Georgia" w:eastAsia="Georgia"/>
          <w:b/>
          <w:i w:val="0"/>
          <w:color w:val="2E5C4E"/>
          <w:sz w:val="25"/>
        </w:rPr>
        <w:t>Preservation of Assets and Living Expenses</w:t>
      </w:r>
      <w:bookmarkEnd w:id="61"/>
    </w:p>
    <w:p>
      <w:r>
        <w:rPr>
          <w:b w:val="0"/>
          <w:i w:val="0"/>
        </w:rPr>
        <w:t>Legal costs to vary or discharge a freezing order; reasonable living expenses during asset restraint.</w:t>
      </w:r>
    </w:p>
    <w:p>
      <w:bookmarkStart w:id="62" w:name="c_imi_ext_bail_and_civil_bond"/>
      <w:r>
        <w:rPr>
          <w:rFonts w:ascii="Georgia" w:hAnsi="Georgia" w:eastAsia="Georgia"/>
          <w:b/>
          <w:i w:val="0"/>
          <w:color w:val="2E5C4E"/>
          <w:sz w:val="25"/>
        </w:rPr>
        <w:t>Bail and Civil Bond</w:t>
      </w:r>
      <w:bookmarkEnd w:id="62"/>
    </w:p>
    <w:p>
      <w:r>
        <w:rPr>
          <w:b w:val="0"/>
          <w:i w:val="0"/>
        </w:rPr>
        <w:t>Reasonable costs of a bail bond or civil bond required to secure an insured person's release or to avoid a freezing order, in connection with a covered claim.</w:t>
      </w:r>
    </w:p>
    <w:p>
      <w:bookmarkStart w:id="63" w:name="c_imi_ext_extradition_defence"/>
      <w:r>
        <w:rPr>
          <w:rFonts w:ascii="Georgia" w:hAnsi="Georgia" w:eastAsia="Georgia"/>
          <w:b/>
          <w:i w:val="0"/>
          <w:color w:val="2E5C4E"/>
          <w:sz w:val="25"/>
        </w:rPr>
        <w:t>Extradition Defence</w:t>
      </w:r>
      <w:bookmarkEnd w:id="63"/>
    </w:p>
    <w:p>
      <w:r>
        <w:rPr>
          <w:b w:val="0"/>
          <w:i w:val="0"/>
        </w:rPr>
        <w:t>Defence costs in responding to an extradition proceeding against an insured person, in connection with a wrongful act.</w:t>
      </w:r>
    </w:p>
    <w:p>
      <w:bookmarkStart w:id="64" w:name="c_imi_ext_loss_of_earnings"/>
      <w:r>
        <w:rPr>
          <w:rFonts w:ascii="Georgia" w:hAnsi="Georgia" w:eastAsia="Georgia"/>
          <w:b/>
          <w:i w:val="0"/>
          <w:color w:val="2E5C4E"/>
          <w:sz w:val="25"/>
        </w:rPr>
        <w:t>Loss of Earnings</w:t>
      </w:r>
      <w:bookmarkEnd w:id="64"/>
    </w:p>
    <w:p>
      <w:r>
        <w:rPr>
          <w:b w:val="0"/>
          <w:i w:val="0"/>
        </w:rPr>
        <w:t>$1,000 per day for an insured person attending court, a tribunal, an AFCA hearing, or a regulatory proceeding at our request, in connection with a covered claim, subject to a maximum of $20,000 in total for any one claim.</w:t>
      </w:r>
    </w:p>
    <w:p>
      <w:bookmarkStart w:id="65" w:name="c_imi_section_crime"/>
      <w:r>
        <w:rPr>
          <w:rFonts w:ascii="Georgia" w:hAnsi="Georgia" w:eastAsia="Georgia"/>
          <w:b/>
          <w:i w:val="0"/>
          <w:color w:val="1C1915"/>
          <w:sz w:val="32"/>
        </w:rPr>
        <w:t>Crime</w:t>
      </w:r>
      <w:bookmarkEnd w:id="65"/>
    </w:p>
    <w:p>
      <w:bookmarkStart w:id="66" w:name="c_imi_section_crime_cover"/>
      <w:r>
        <w:rPr>
          <w:rFonts w:ascii="Georgia" w:hAnsi="Georgia" w:eastAsia="Georgia"/>
          <w:b/>
          <w:i w:val="0"/>
          <w:color w:val="1C1915"/>
          <w:sz w:val="32"/>
        </w:rPr>
        <w:t>What Is Covered — Crime</w:t>
      </w:r>
      <w:bookmarkEnd w:id="66"/>
    </w:p>
    <w:p>
      <w:bookmarkStart w:id="67" w:name="c_imi_cover_employee_dishonesty"/>
      <w:r>
        <w:rPr>
          <w:rFonts w:ascii="Georgia" w:hAnsi="Georgia" w:eastAsia="Georgia"/>
          <w:b/>
          <w:i w:val="0"/>
          <w:color w:val="2E5C4E"/>
          <w:sz w:val="25"/>
        </w:rPr>
        <w:t>Employee Dishonesty</w:t>
      </w:r>
      <w:bookmarkEnd w:id="67"/>
    </w:p>
    <w:p>
      <w:r>
        <w:rPr>
          <w:b w:val="0"/>
          <w:i w:val="0"/>
        </w:rPr>
        <w:t xml:space="preserve">We will pay the loss of the company or a fund caused by a dishonest act committed by an employee, first discovered during the policy period. This applies whenever the dishonest act occurred, subject to </w:t>
      </w:r>
      <w:hyperlink w:anchor="c_imi_excl_prior_discovery_crime">
        <w:r>
          <w:rPr>
            <w:color w:val="2E5C4E"/>
            <w:u w:val="single"/>
          </w:rPr>
          <w:t xml:space="preserve">the Prior Discovery — Crime exclusion</w:t>
        </w:r>
      </w:hyperlink>
      <w:r>
        <w:rPr>
          <w:b w:val="0"/>
          <w:i w:val="0"/>
        </w:rPr>
        <w:t xml:space="preserve"> and </w:t>
      </w:r>
      <w:hyperlink w:anchor="c_imi_cond_superseded_policies_crime">
        <w:r>
          <w:rPr>
            <w:color w:val="2E5C4E"/>
            <w:u w:val="single"/>
          </w:rPr>
          <w:t xml:space="preserve">the Prior Insurance and Superseded Policies — Crime condition</w:t>
        </w:r>
      </w:hyperlink>
      <w:r>
        <w:rPr>
          <w:b w:val="0"/>
          <w:i w:val="0"/>
        </w:rPr>
        <w:t>.</w:t>
      </w:r>
    </w:p>
    <w:p>
      <w:r>
        <w:rPr>
          <w:b w:val="0"/>
          <w:i w:val="0"/>
        </w:rPr>
        <w:t>This covers:</w:t>
      </w:r>
    </w:p>
    <w:p>
      <w:r>
        <w:rPr>
          <w:b w:val="0"/>
          <w:i w:val="0"/>
        </w:rPr>
        <w:t>(a) theft of money, securities, digital assets, cryptocurrency, or other fund assets;</w:t>
      </w:r>
    </w:p>
    <w:p>
      <w:r>
        <w:rPr>
          <w:b w:val="0"/>
          <w:i w:val="0"/>
        </w:rPr>
        <w:t>(b) fraudulent transfers from the company's accounts or fund accounts;</w:t>
      </w:r>
    </w:p>
    <w:p>
      <w:r>
        <w:rPr>
          <w:b w:val="0"/>
          <w:i w:val="0"/>
        </w:rPr>
        <w:t>(c) fraudulent alteration of records, valuations, or unit prices;</w:t>
      </w:r>
    </w:p>
    <w:p>
      <w:r>
        <w:rPr>
          <w:b w:val="0"/>
          <w:i w:val="0"/>
        </w:rPr>
        <w:t>(d) deliberate misallocation of trades or investments; and</w:t>
      </w:r>
    </w:p>
    <w:p>
      <w:r>
        <w:rPr>
          <w:b w:val="0"/>
          <w:i w:val="0"/>
        </w:rPr>
        <w:t>(e) embezzlement and misappropriation.</w:t>
      </w:r>
    </w:p>
    <w:p>
      <w:bookmarkStart w:id="68" w:name="c_imi_cover_third_party_service_provider"/>
      <w:r>
        <w:rPr>
          <w:rFonts w:ascii="Georgia" w:hAnsi="Georgia" w:eastAsia="Georgia"/>
          <w:b/>
          <w:i w:val="0"/>
          <w:color w:val="2E5C4E"/>
          <w:sz w:val="25"/>
        </w:rPr>
        <w:t>Third-Party Service Provider Dishonesty</w:t>
      </w:r>
      <w:bookmarkEnd w:id="68"/>
    </w:p>
    <w:p>
      <w:r>
        <w:rPr>
          <w:b w:val="0"/>
          <w:i w:val="0"/>
        </w:rPr>
        <w:t>We will pay the loss of the company or a fund caused by a dishonest act committed by an employee of a third-party service provider while performing services for the company or the fund, first discovered during the policy period — provided the act was directed at the company or the fund.</w:t>
      </w:r>
    </w:p>
    <w:p>
      <w:bookmarkStart w:id="69" w:name="c_imi_cover_forgery_and_alteration"/>
      <w:r>
        <w:rPr>
          <w:rFonts w:ascii="Georgia" w:hAnsi="Georgia" w:eastAsia="Georgia"/>
          <w:b/>
          <w:i w:val="0"/>
          <w:color w:val="2E5C4E"/>
          <w:sz w:val="25"/>
        </w:rPr>
        <w:t>Forgery and Alteration</w:t>
      </w:r>
      <w:bookmarkEnd w:id="69"/>
    </w:p>
    <w:p>
      <w:r>
        <w:rPr>
          <w:b w:val="0"/>
          <w:i w:val="0"/>
        </w:rPr>
        <w:t>We will pay the loss of the company or a fund from forgery of, or fraudulent alteration to, any financial instrument, instruction, or authorisation, resulting in a payment from the company's accounts or fund accounts, first discovered during the policy period.</w:t>
      </w:r>
    </w:p>
    <w:p>
      <w:bookmarkStart w:id="70" w:name="c_imi_cover_computer_crime"/>
      <w:r>
        <w:rPr>
          <w:rFonts w:ascii="Georgia" w:hAnsi="Georgia" w:eastAsia="Georgia"/>
          <w:b/>
          <w:i w:val="0"/>
          <w:color w:val="2E5C4E"/>
          <w:sz w:val="25"/>
        </w:rPr>
        <w:t>Computer Crime</w:t>
      </w:r>
      <w:bookmarkEnd w:id="70"/>
    </w:p>
    <w:p>
      <w:r>
        <w:rPr>
          <w:b w:val="0"/>
          <w:i w:val="0"/>
        </w:rPr>
        <w:t>We will pay the loss of the company or a fund from fraudulent entry, modification, or deletion of data in the company's computer system by a third party, resulting in the unauthorised transfer of money or fund assets, first discovered during the policy period.</w:t>
      </w:r>
    </w:p>
    <w:p>
      <w:bookmarkStart w:id="71" w:name="c_imi_cover_funds_transfer_fraud"/>
      <w:r>
        <w:rPr>
          <w:rFonts w:ascii="Georgia" w:hAnsi="Georgia" w:eastAsia="Georgia"/>
          <w:b/>
          <w:i w:val="0"/>
          <w:color w:val="2E5C4E"/>
          <w:sz w:val="25"/>
        </w:rPr>
        <w:t>Funds Transfer Fraud</w:t>
      </w:r>
      <w:bookmarkEnd w:id="71"/>
    </w:p>
    <w:p>
      <w:r>
        <w:rPr>
          <w:b w:val="0"/>
          <w:i w:val="0"/>
        </w:rPr>
        <w:t>We will pay the loss of the company or a fund from a fraudulent funds transfer instruction issued by a third party who has gained unauthorised access to the company's banking or communication systems, first discovered during the policy period.</w:t>
      </w:r>
    </w:p>
    <w:p>
      <w:bookmarkStart w:id="72" w:name="c_imi_cover_social_engineering_fraud"/>
      <w:r>
        <w:rPr>
          <w:rFonts w:ascii="Georgia" w:hAnsi="Georgia" w:eastAsia="Georgia"/>
          <w:b/>
          <w:i w:val="0"/>
          <w:color w:val="2E5C4E"/>
          <w:sz w:val="25"/>
        </w:rPr>
        <w:t>Social Engineering Fraud</w:t>
      </w:r>
      <w:bookmarkEnd w:id="72"/>
    </w:p>
    <w:p>
      <w:r>
        <w:rPr>
          <w:b w:val="0"/>
          <w:i w:val="0"/>
        </w:rPr>
        <w:t>We will pay the loss of the company or a fund from a funds transfer or delivery of money made in good faith as a result of a fraudulent communication impersonating a genuine person or entity, first discovered during the policy period. Whether reasonable verification steps were followed is a factor we take into account in assessing the claim; it is not a condition precedent to cover under this clause.</w:t>
      </w:r>
    </w:p>
    <w:p>
      <w:bookmarkStart w:id="73" w:name="c_imi_section_crime_extensions"/>
      <w:r>
        <w:rPr>
          <w:rFonts w:ascii="Georgia" w:hAnsi="Georgia" w:eastAsia="Georgia"/>
          <w:b/>
          <w:i w:val="0"/>
          <w:color w:val="1C1915"/>
          <w:sz w:val="32"/>
        </w:rPr>
        <w:t>Extensions — Crime</w:t>
      </w:r>
      <w:bookmarkEnd w:id="73"/>
    </w:p>
    <w:p>
      <w:bookmarkStart w:id="74" w:name="c_imi_ext_forensic_investigation_costs"/>
      <w:r>
        <w:rPr>
          <w:rFonts w:ascii="Georgia" w:hAnsi="Georgia" w:eastAsia="Georgia"/>
          <w:b/>
          <w:i w:val="0"/>
          <w:color w:val="2E5C4E"/>
          <w:sz w:val="25"/>
        </w:rPr>
        <w:t>Forensic Investigation Costs</w:t>
      </w:r>
      <w:bookmarkEnd w:id="74"/>
    </w:p>
    <w:p>
      <w:r>
        <w:rPr>
          <w:b w:val="0"/>
          <w:i w:val="0"/>
        </w:rPr>
        <w:t>Reasonable costs of forensic accountants or fraud investigators.</w:t>
      </w:r>
    </w:p>
    <w:p>
      <w:bookmarkStart w:id="75" w:name="c_imi_ext_reconstitution_of_records"/>
      <w:r>
        <w:rPr>
          <w:rFonts w:ascii="Georgia" w:hAnsi="Georgia" w:eastAsia="Georgia"/>
          <w:b/>
          <w:i w:val="0"/>
          <w:color w:val="2E5C4E"/>
          <w:sz w:val="25"/>
        </w:rPr>
        <w:t>Reconstitution of Records</w:t>
      </w:r>
      <w:bookmarkEnd w:id="75"/>
    </w:p>
    <w:p>
      <w:r>
        <w:rPr>
          <w:b w:val="0"/>
          <w:i w:val="0"/>
        </w:rPr>
        <w:t>Costs of reconstituting financial records destroyed to conceal a dishonest act.</w:t>
      </w:r>
    </w:p>
    <w:p>
      <w:bookmarkStart w:id="76" w:name="c_imi_ext_client_investor_notification_c"/>
      <w:r>
        <w:rPr>
          <w:rFonts w:ascii="Georgia" w:hAnsi="Georgia" w:eastAsia="Georgia"/>
          <w:b/>
          <w:i w:val="0"/>
          <w:color w:val="2E5C4E"/>
          <w:sz w:val="25"/>
        </w:rPr>
        <w:t>Client / Investor Notification Costs</w:t>
      </w:r>
      <w:bookmarkEnd w:id="76"/>
    </w:p>
    <w:p>
      <w:r>
        <w:rPr>
          <w:b w:val="0"/>
          <w:i w:val="0"/>
        </w:rPr>
        <w:t>If an employee's dishonest act affects fund investors or your clients, we will pay reasonable costs of notifying affected persons.</w:t>
      </w:r>
    </w:p>
    <w:p>
      <w:bookmarkStart w:id="77" w:name="c_imi_ext_payment_to_funds"/>
      <w:r>
        <w:rPr>
          <w:rFonts w:ascii="Georgia" w:hAnsi="Georgia" w:eastAsia="Georgia"/>
          <w:b/>
          <w:i w:val="0"/>
          <w:color w:val="2E5C4E"/>
          <w:sz w:val="25"/>
        </w:rPr>
        <w:t>Payment to Funds</w:t>
      </w:r>
      <w:bookmarkEnd w:id="77"/>
    </w:p>
    <w:p>
      <w:r>
        <w:rPr>
          <w:b w:val="0"/>
          <w:i w:val="0"/>
        </w:rPr>
        <w:t xml:space="preserve">Where </w:t>
      </w:r>
      <w:hyperlink w:anchor="c_imi_section_crime">
        <w:r>
          <w:rPr>
            <w:color w:val="2E5C4E"/>
            <w:u w:val="single"/>
          </w:rPr>
          <w:t xml:space="preserve">the Crime section</w:t>
        </w:r>
      </w:hyperlink>
      <w:r>
        <w:rPr>
          <w:b w:val="0"/>
          <w:i w:val="0"/>
        </w:rPr>
        <w:t xml:space="preserve"> covers a fund's loss, we will pay you, for the benefit of the affected fund, unless we agree otherwise in writing with you and the fund. You must promptly apply the amount we pay to the fund's assets. Payment to you under this clause discharges our liability to the fund for that amount. </w:t>
      </w:r>
      <w:hyperlink w:anchor="c_imi_def_insured">
        <w:r>
          <w:rPr>
            <w:color w:val="2E5C4E"/>
            <w:u w:val="single"/>
          </w:rPr>
          <w:t xml:space="preserve">The definition of Insured</w:t>
        </w:r>
      </w:hyperlink>
      <w:r>
        <w:rPr>
          <w:b w:val="0"/>
          <w:i w:val="0"/>
        </w:rPr>
        <w:t xml:space="preserve"> and </w:t>
      </w:r>
      <w:hyperlink w:anchor="c_imi_pay_other_insurance">
        <w:r>
          <w:rPr>
            <w:color w:val="2E5C4E"/>
            <w:u w:val="single"/>
          </w:rPr>
          <w:t xml:space="preserve">the Other Insurance provision</w:t>
        </w:r>
      </w:hyperlink>
      <w:r>
        <w:rPr>
          <w:b w:val="0"/>
          <w:i w:val="0"/>
        </w:rPr>
        <w:t xml:space="preserve"> (Other Insurance) state how this policy applies where the fund has separate insurance of its own.</w:t>
      </w:r>
    </w:p>
    <w:p>
      <w:r>
        <w:rPr>
          <w:b w:val="0"/>
          <w:i w:val="0"/>
        </w:rPr>
        <w:t>[WP REVIEW: whether paying the manager for the benefit of a fund, which is itself an insured, is a valid discharge of our liability to the fund.]</w:t>
      </w:r>
    </w:p>
    <w:p>
      <w:bookmarkStart w:id="78" w:name="c_imi_ext_single_loss"/>
      <w:r>
        <w:rPr>
          <w:rFonts w:ascii="Georgia" w:hAnsi="Georgia" w:eastAsia="Georgia"/>
          <w:b/>
          <w:i w:val="0"/>
          <w:color w:val="2E5C4E"/>
          <w:sz w:val="25"/>
        </w:rPr>
        <w:t>Single Loss</w:t>
      </w:r>
      <w:bookmarkEnd w:id="78"/>
    </w:p>
    <w:p>
      <w:r>
        <w:rPr>
          <w:b w:val="0"/>
          <w:i w:val="0"/>
        </w:rPr>
        <w:t xml:space="preserve">All loss under </w:t>
      </w:r>
      <w:hyperlink w:anchor="c_imi_section_crime">
        <w:r>
          <w:rPr>
            <w:color w:val="2E5C4E"/>
            <w:u w:val="single"/>
          </w:rPr>
          <w:t xml:space="preserve">the Crime section</w:t>
        </w:r>
      </w:hyperlink>
      <w:r>
        <w:rPr>
          <w:b w:val="0"/>
          <w:i w:val="0"/>
        </w:rPr>
        <w:t xml:space="preserve"> caused by, or involving, one dishonest act, or a series of dishonest acts that are the same, similar, or related, or that involve one or more employees acting alone or in collusion pursuant to a single scheme or course of conduct, is treated as one loss, first discovered when the earliest constituent act was discovered. A single loss that spans more than one policy period is treated as discovered in, and is subject to the limit, excess, and terms of, the policy period in which it was first discovered. This is subject to </w:t>
      </w:r>
      <w:hyperlink w:anchor="c_imi_cond_superseded_policies_crime">
        <w:r>
          <w:rPr>
            <w:color w:val="2E5C4E"/>
            <w:u w:val="single"/>
          </w:rPr>
          <w:t xml:space="preserve">the Prior Insurance and Superseded Policies — Crime condition</w:t>
        </w:r>
      </w:hyperlink>
      <w:r>
        <w:rPr>
          <w:b w:val="0"/>
          <w:i w:val="0"/>
        </w:rPr>
        <w:t xml:space="preserve"> where the loss began under a separate, expired prior policy.</w:t>
      </w:r>
    </w:p>
    <w:p>
      <w:bookmarkStart w:id="79" w:name="c_imi_ext_digital_assets_and_cryptocurre"/>
      <w:r>
        <w:rPr>
          <w:rFonts w:ascii="Georgia" w:hAnsi="Georgia" w:eastAsia="Georgia"/>
          <w:b/>
          <w:i w:val="0"/>
          <w:color w:val="2E5C4E"/>
          <w:sz w:val="25"/>
        </w:rPr>
        <w:t>Digital Assets and Cryptocurrency</w:t>
      </w:r>
      <w:bookmarkEnd w:id="79"/>
    </w:p>
    <w:p>
      <w:hyperlink w:anchor="c_imi_def_fund_assets">
        <w:r>
          <w:rPr>
            <w:color w:val="2E5C4E"/>
            <w:u w:val="single"/>
          </w:rPr>
          <w:t xml:space="preserve">The definition of Fund assets</w:t>
        </w:r>
      </w:hyperlink>
      <w:r>
        <w:rPr>
          <w:b w:val="0"/>
          <w:i w:val="0"/>
        </w:rPr>
        <w:t xml:space="preserve"> includes digital assets and cryptocurrency. Loss of digital assets or cryptocurrency is covered under this Section on the same basis as other fund assets. Endorsement E13 (Cryptocurrency / Digital Asset Fund Management) provides enhanced terms — including custody, wallet-security, and valuation provisions — for funds with material digital-asset exposure; it does not remove or narrow the base-form cover in this clause.</w:t>
      </w:r>
    </w:p>
    <w:p>
      <w:bookmarkStart w:id="80" w:name="c_imi_section_exclusions"/>
      <w:r>
        <w:rPr>
          <w:rFonts w:ascii="Georgia" w:hAnsi="Georgia" w:eastAsia="Georgia"/>
          <w:b/>
          <w:i w:val="0"/>
          <w:color w:val="1C1915"/>
          <w:sz w:val="32"/>
        </w:rPr>
        <w:t>What Is Not Covered — All Sections</w:t>
      </w:r>
      <w:bookmarkEnd w:id="80"/>
    </w:p>
    <w:p>
      <w:bookmarkStart w:id="81" w:name="c_imi_excl_dishonesty_and_fraud"/>
      <w:r>
        <w:rPr>
          <w:rFonts w:ascii="Georgia" w:hAnsi="Georgia" w:eastAsia="Georgia"/>
          <w:b/>
          <w:i w:val="0"/>
          <w:color w:val="2E5C4E"/>
          <w:sz w:val="25"/>
        </w:rPr>
        <w:t>Dishonesty and Fraud — Professional Liability and Directors' and Officers' Liability</w:t>
      </w:r>
      <w:bookmarkEnd w:id="81"/>
    </w:p>
    <w:p>
      <w:r>
        <w:rPr>
          <w:b w:val="0"/>
          <w:i w:val="0"/>
        </w:rPr>
        <w:t xml:space="preserve">Claims arising from deliberately dishonest, fraudulent, or criminal conduct — but only after final adjudication (see </w:t>
      </w:r>
      <w:hyperlink w:anchor="c_imi_def_final_adjudication">
        <w:r>
          <w:rPr>
            <w:color w:val="2E5C4E"/>
            <w:u w:val="single"/>
          </w:rPr>
          <w:t xml:space="preserve">the definition of Final adjudication</w:t>
        </w:r>
      </w:hyperlink>
      <w:r>
        <w:rPr>
          <w:b w:val="0"/>
          <w:i w:val="0"/>
        </w:rPr>
        <w:t xml:space="preserve">). Defence costs advanced until then, repayable if there is final adjudication. Severability applies (see </w:t>
      </w:r>
      <w:hyperlink w:anchor="c_imi_cond_severability_and_non_imputati">
        <w:r>
          <w:rPr>
            <w:color w:val="2E5C4E"/>
            <w:u w:val="single"/>
          </w:rPr>
          <w:t xml:space="preserve">the Severability and Non-Imputation condition</w:t>
        </w:r>
      </w:hyperlink>
      <w:r>
        <w:rPr>
          <w:b w:val="0"/>
          <w:i w:val="0"/>
        </w:rPr>
        <w:t>).</w:t>
      </w:r>
    </w:p>
    <w:p>
      <w:bookmarkStart w:id="82" w:name="c_imi_excl_fines_and_penalties"/>
      <w:r>
        <w:rPr>
          <w:rFonts w:ascii="Georgia" w:hAnsi="Georgia" w:eastAsia="Georgia"/>
          <w:b/>
          <w:i w:val="0"/>
          <w:color w:val="2E5C4E"/>
          <w:sz w:val="25"/>
        </w:rPr>
        <w:t>Fines and Penalties</w:t>
      </w:r>
      <w:bookmarkEnd w:id="82"/>
    </w:p>
    <w:p>
      <w:r>
        <w:rPr>
          <w:b w:val="0"/>
          <w:i w:val="0"/>
        </w:rPr>
        <w:t>We do not pay any fine or penalty that the law does not allow to be insured. In particular, we do not pay a penalty imposed under work health and safety law in a State or Territory whose law prohibits insurance of it (including New South Wales, Victoria and Queensland), and we do not pay a criminal fine.</w:t>
      </w:r>
    </w:p>
    <w:p>
      <w:r>
        <w:rPr>
          <w:b w:val="0"/>
          <w:i w:val="0"/>
        </w:rPr>
        <w:t>[WP REVIEW: confirm the list of jurisdictions that prohibit insurance of WHS penalties; library sources differ on WA and Victoria.]</w:t>
      </w:r>
    </w:p>
    <w:p>
      <w:r>
        <w:rPr>
          <w:b w:val="0"/>
          <w:i w:val="0"/>
        </w:rPr>
        <w:t xml:space="preserve">This applies wherever this policy pays, or includes in loss, a fine or penalty, including the fines and penalties of an insured person under </w:t>
      </w:r>
      <w:hyperlink w:anchor="c_imi_def_loss">
        <w:r>
          <w:rPr>
            <w:color w:val="2E5C4E"/>
            <w:u w:val="single"/>
          </w:rPr>
          <w:t xml:space="preserve">the definition of Loss</w:t>
        </w:r>
      </w:hyperlink>
      <w:r>
        <w:rPr>
          <w:b w:val="0"/>
          <w:i w:val="0"/>
        </w:rPr>
        <w:t xml:space="preserve"> and the amounts paid under </w:t>
      </w:r>
      <w:hyperlink w:anchor="c_imi_ext_far_proceeding_costs">
        <w:r>
          <w:rPr>
            <w:color w:val="2E5C4E"/>
            <w:u w:val="single"/>
          </w:rPr>
          <w:t xml:space="preserve">the FAR Proceeding Costs extension</w:t>
        </w:r>
      </w:hyperlink>
      <w:r>
        <w:rPr>
          <w:b w:val="0"/>
          <w:i w:val="0"/>
        </w:rPr>
        <w:t>. Defence costs are not affected.</w:t>
      </w:r>
    </w:p>
    <w:p>
      <w:bookmarkStart w:id="83" w:name="c_imi_excl_personal_profit"/>
      <w:r>
        <w:rPr>
          <w:rFonts w:ascii="Georgia" w:hAnsi="Georgia" w:eastAsia="Georgia"/>
          <w:b/>
          <w:i w:val="0"/>
          <w:color w:val="2E5C4E"/>
          <w:sz w:val="25"/>
        </w:rPr>
        <w:t>Personal Profit</w:t>
      </w:r>
      <w:bookmarkEnd w:id="83"/>
    </w:p>
    <w:p>
      <w:r>
        <w:rPr>
          <w:b w:val="0"/>
          <w:i w:val="0"/>
        </w:rPr>
        <w:t>Personal profit to which the insured person was not entitled — after final adjudication.</w:t>
      </w:r>
    </w:p>
    <w:p>
      <w:bookmarkStart w:id="84" w:name="c_imi_excl_insured_versus_insured"/>
      <w:r>
        <w:rPr>
          <w:rFonts w:ascii="Georgia" w:hAnsi="Georgia" w:eastAsia="Georgia"/>
          <w:b/>
          <w:i w:val="0"/>
          <w:color w:val="2E5C4E"/>
          <w:sz w:val="25"/>
        </w:rPr>
        <w:t>Insured Versus Insured</w:t>
      </w:r>
      <w:bookmarkEnd w:id="84"/>
    </w:p>
    <w:p>
      <w:r>
        <w:rPr>
          <w:b w:val="0"/>
          <w:i w:val="0"/>
        </w:rPr>
        <w:t>Claims by one insured against another — except: claims by a liquidator/administrator/receiver; derivative actions by unitholders or shareholders; whistleblower claims (within the meaning of Part 9.4AAA of the Corporations Act 2001 (Cth)); third-party-funded claims; employment claims; and cross-claims.</w:t>
      </w:r>
    </w:p>
    <w:p>
      <w:bookmarkStart w:id="85" w:name="c_imi_excl_prior_known_matters"/>
      <w:r>
        <w:rPr>
          <w:rFonts w:ascii="Georgia" w:hAnsi="Georgia" w:eastAsia="Georgia"/>
          <w:b/>
          <w:i w:val="0"/>
          <w:color w:val="2E5C4E"/>
          <w:sz w:val="25"/>
        </w:rPr>
        <w:t>Prior Known Matters</w:t>
      </w:r>
      <w:bookmarkEnd w:id="85"/>
    </w:p>
    <w:p>
      <w:r>
        <w:rPr>
          <w:b w:val="0"/>
          <w:i w:val="0"/>
        </w:rPr>
        <w:t xml:space="preserve">Claims arising from matters that the insured seeking cover knew, before the retroactive date (or, if no retroactive date is shown, before the start of the policy period), might lead to a claim. For the company or a fund, the knowledge is that of a member of the control group. Knowledge is assessed individually (see </w:t>
      </w:r>
      <w:hyperlink w:anchor="c_imi_cond_severability_and_non_imputati">
        <w:r>
          <w:rPr>
            <w:color w:val="2E5C4E"/>
            <w:u w:val="single"/>
          </w:rPr>
          <w:t xml:space="preserve">the Severability and Non-Imputation condition</w:t>
        </w:r>
      </w:hyperlink>
      <w:r>
        <w:rPr>
          <w:b w:val="0"/>
          <w:i w:val="0"/>
        </w:rPr>
        <w:t>).</w:t>
      </w:r>
    </w:p>
    <w:p>
      <w:bookmarkStart w:id="86" w:name="c_imi_excl_prior_and_pending_litigation"/>
      <w:r>
        <w:rPr>
          <w:rFonts w:ascii="Georgia" w:hAnsi="Georgia" w:eastAsia="Georgia"/>
          <w:b/>
          <w:i w:val="0"/>
          <w:color w:val="2E5C4E"/>
          <w:sz w:val="25"/>
        </w:rPr>
        <w:t>Prior and Pending Litigation</w:t>
      </w:r>
      <w:bookmarkEnd w:id="86"/>
    </w:p>
    <w:p>
      <w:r>
        <w:rPr>
          <w:b w:val="0"/>
          <w:i w:val="0"/>
        </w:rPr>
        <w:t>Claims arising from proceedings pending before the retroactive date (or, if no retroactive date is shown, before the start of the policy period), or from substantially the same facts.</w:t>
      </w:r>
    </w:p>
    <w:p>
      <w:bookmarkStart w:id="87" w:name="c_imi_excl_prior_discovery_crime"/>
      <w:r>
        <w:rPr>
          <w:rFonts w:ascii="Georgia" w:hAnsi="Georgia" w:eastAsia="Georgia"/>
          <w:b/>
          <w:i w:val="0"/>
          <w:color w:val="2E5C4E"/>
          <w:sz w:val="25"/>
        </w:rPr>
        <w:t>Prior Discovery — Crime</w:t>
      </w:r>
      <w:bookmarkEnd w:id="87"/>
    </w:p>
    <w:p>
      <w:r>
        <w:rPr>
          <w:b w:val="0"/>
          <w:i w:val="0"/>
        </w:rPr>
        <w:t xml:space="preserve">Any loss under </w:t>
      </w:r>
      <w:hyperlink w:anchor="c_imi_section_crime">
        <w:r>
          <w:rPr>
            <w:color w:val="2E5C4E"/>
            <w:u w:val="single"/>
          </w:rPr>
          <w:t xml:space="preserve">the Crime section</w:t>
        </w:r>
      </w:hyperlink>
      <w:r>
        <w:rPr>
          <w:b w:val="0"/>
          <w:i w:val="0"/>
        </w:rPr>
        <w:t xml:space="preserve"> that was discovered, or that a responsible person ought reasonably to have discovered, before the start of the policy period, or that was notified, or should have been notified, under any prior insurance policy.</w:t>
      </w:r>
    </w:p>
    <w:p>
      <w:bookmarkStart w:id="88" w:name="c_imi_excl_bodily_injury_and_property_da"/>
      <w:r>
        <w:rPr>
          <w:rFonts w:ascii="Georgia" w:hAnsi="Georgia" w:eastAsia="Georgia"/>
          <w:b/>
          <w:i w:val="0"/>
          <w:color w:val="2E5C4E"/>
          <w:sz w:val="25"/>
        </w:rPr>
        <w:t>Bodily Injury and Property Damage</w:t>
      </w:r>
      <w:bookmarkEnd w:id="88"/>
    </w:p>
    <w:p>
      <w:r>
        <w:rPr>
          <w:b w:val="0"/>
          <w:i w:val="0"/>
        </w:rPr>
        <w:t>Death, bodily injury, or physical damage — except mental injury in employment or regulatory claims, and defence costs in WHS proceedings. WHS fines and penalties are not insured to the extent insuring them is prohibited by law in the relevant State or Territory.</w:t>
      </w:r>
    </w:p>
    <w:p>
      <w:bookmarkStart w:id="89" w:name="c_imi_excl_fund_performance"/>
      <w:r>
        <w:rPr>
          <w:rFonts w:ascii="Georgia" w:hAnsi="Georgia" w:eastAsia="Georgia"/>
          <w:b/>
          <w:i w:val="0"/>
          <w:color w:val="2E5C4E"/>
          <w:sz w:val="25"/>
        </w:rPr>
        <w:t>Fund Performance</w:t>
      </w:r>
      <w:bookmarkEnd w:id="89"/>
    </w:p>
    <w:p>
      <w:r>
        <w:rPr>
          <w:b w:val="0"/>
          <w:i w:val="0"/>
        </w:rPr>
        <w:t>Any claim alleging that the performance or return of a fund or investment was inadequate, or that an investment decision resulted in a loss — unless the claim also alleges a breach of duty, negligence, misleading conduct, or another wrongful act.</w:t>
      </w:r>
    </w:p>
    <w:p>
      <w:r>
        <w:rPr>
          <w:b w:val="0"/>
          <w:i w:val="0"/>
        </w:rPr>
        <w:t>We do not guarantee investment performance. But if you breached your duty of care in making an investment decision, and an investor claims that breach caused their loss, that is covered.</w:t>
      </w:r>
    </w:p>
    <w:p>
      <w:bookmarkStart w:id="90" w:name="c_imi_excl_trading_losses_crime"/>
      <w:r>
        <w:rPr>
          <w:rFonts w:ascii="Georgia" w:hAnsi="Georgia" w:eastAsia="Georgia"/>
          <w:b/>
          <w:i w:val="0"/>
          <w:color w:val="2E5C4E"/>
          <w:sz w:val="25"/>
        </w:rPr>
        <w:t>Trading Losses — Crime</w:t>
      </w:r>
      <w:bookmarkEnd w:id="90"/>
    </w:p>
    <w:p>
      <w:r>
        <w:rPr>
          <w:b w:val="0"/>
          <w:i w:val="0"/>
        </w:rPr>
        <w:t xml:space="preserve">Direct investment or trading losses — whether authorised or unauthorised — except where the trading was conducted by an employee committing a dishonest act and qualifies under </w:t>
      </w:r>
      <w:hyperlink w:anchor="c_imi_cover_employee_dishonesty">
        <w:r>
          <w:rPr>
            <w:color w:val="2E5C4E"/>
            <w:u w:val="single"/>
          </w:rPr>
          <w:t xml:space="preserve">the Employee Dishonesty clause</w:t>
        </w:r>
      </w:hyperlink>
      <w:r>
        <w:rPr>
          <w:b w:val="0"/>
          <w:i w:val="0"/>
        </w:rPr>
        <w:t>.</w:t>
      </w:r>
    </w:p>
    <w:p>
      <w:bookmarkStart w:id="91" w:name="c_imi_excl_fees_and_commissions"/>
      <w:r>
        <w:rPr>
          <w:rFonts w:ascii="Georgia" w:hAnsi="Georgia" w:eastAsia="Georgia"/>
          <w:b/>
          <w:i w:val="0"/>
          <w:color w:val="2E5C4E"/>
          <w:sz w:val="25"/>
        </w:rPr>
        <w:t>Fees and Commissions</w:t>
      </w:r>
      <w:bookmarkEnd w:id="91"/>
    </w:p>
    <w:p>
      <w:r>
        <w:rPr>
          <w:b w:val="0"/>
          <w:i w:val="0"/>
        </w:rPr>
        <w:t>The return of management fees, performance fees, commissions, or other charges that you were not entitled to receive — except where the obligation to return fees arises directly from a covered claim and the return is ordered by a court, tribunal, or AFCA as part of a compensation award.</w:t>
      </w:r>
    </w:p>
    <w:p>
      <w:bookmarkStart w:id="92" w:name="c_imi_excl_product_design_and_distributi"/>
      <w:r>
        <w:rPr>
          <w:rFonts w:ascii="Georgia" w:hAnsi="Georgia" w:eastAsia="Georgia"/>
          <w:b/>
          <w:i w:val="0"/>
          <w:color w:val="2E5C4E"/>
          <w:sz w:val="25"/>
        </w:rPr>
        <w:t>Product Design and Distribution</w:t>
      </w:r>
      <w:bookmarkEnd w:id="92"/>
    </w:p>
    <w:p>
      <w:r>
        <w:rPr>
          <w:b w:val="0"/>
          <w:i w:val="0"/>
        </w:rPr>
        <w:t>Claims alleging that a financial product was inherently defective in its design, or that the product was distributed outside its target market in breach of the design and distribution obligations — except to the extent the claim alleges a wrongful act by an insured in the design, governance, or distribution process.</w:t>
      </w:r>
    </w:p>
    <w:p>
      <w:r>
        <w:rPr>
          <w:b w:val="0"/>
          <w:i w:val="0"/>
        </w:rPr>
        <w:t xml:space="preserve">ASIC stop orders and product intervention orders are covered as </w:t>
      </w:r>
      <w:r>
        <w:rPr>
          <w:b/>
          <w:i w:val="0"/>
        </w:rPr>
        <w:t>regulatory proceedings</w:t>
      </w:r>
      <w:r>
        <w:rPr>
          <w:b w:val="0"/>
          <w:i w:val="0"/>
        </w:rPr>
        <w:t xml:space="preserve"> under </w:t>
      </w:r>
      <w:hyperlink w:anchor="c_imi_cover_defence_of_regulatory_procee">
        <w:r>
          <w:rPr>
            <w:color w:val="2E5C4E"/>
            <w:u w:val="single"/>
          </w:rPr>
          <w:t xml:space="preserve">the Defence of Regulatory Proceedings clause</w:t>
        </w:r>
      </w:hyperlink>
      <w:r>
        <w:rPr>
          <w:b w:val="0"/>
          <w:i w:val="0"/>
        </w:rPr>
        <w:t>.</w:t>
      </w:r>
    </w:p>
    <w:p>
      <w:bookmarkStart w:id="93" w:name="c_imi_excl_war_terrorism_sanctions_nucle"/>
      <w:r>
        <w:rPr>
          <w:rFonts w:ascii="Georgia" w:hAnsi="Georgia" w:eastAsia="Georgia"/>
          <w:b/>
          <w:i w:val="0"/>
          <w:color w:val="2E5C4E"/>
          <w:sz w:val="25"/>
        </w:rPr>
        <w:t>War, Terrorism and Nuclear Risks</w:t>
      </w:r>
      <w:bookmarkEnd w:id="93"/>
    </w:p>
    <w:p>
      <w:r>
        <w:rPr>
          <w:b w:val="0"/>
          <w:i w:val="0"/>
        </w:rPr>
        <w:t>We do not cover any loss or liability arising directly or indirectly from (a) war (whether or not declared), invasion, hostilities, rebellion, revolution, insurrection, civil unrest, or the use or usurpation of military power, or any similar belligerent act; (b) any act of terrorism, meaning an act, or threat of an act, involving force, violence, or serious harm to people, property, or systems, committed for a political, religious, ideological, or similar purpose and intended to influence a government or to intimidate the public or a section of it; or (c) radioactivity, or radioactive, nuclear, or ionising-radiation material of any kind. This exclusion applies regardless of any other cause or event contributing concurrently or in any sequence to the loss.</w:t>
      </w:r>
    </w:p>
    <w:p>
      <w:hyperlink w:anchor="c_imi_cond_sanctions">
        <w:r>
          <w:rPr>
            <w:color w:val="2E5C4E"/>
            <w:u w:val="single"/>
          </w:rPr>
          <w:t xml:space="preserve">The Sanctions condition</w:t>
        </w:r>
      </w:hyperlink>
      <w:r>
        <w:rPr>
          <w:b w:val="0"/>
          <w:i w:val="0"/>
        </w:rPr>
        <w:t xml:space="preserve"> limits what we pay where doing so would breach a sanctions law. It is not part of this exclusion.</w:t>
      </w:r>
    </w:p>
    <w:p>
      <w:bookmarkStart w:id="94" w:name="c_imi_excl_cyber_event"/>
      <w:r>
        <w:rPr>
          <w:rFonts w:ascii="Georgia" w:hAnsi="Georgia" w:eastAsia="Georgia"/>
          <w:b/>
          <w:i w:val="0"/>
          <w:color w:val="2E5C4E"/>
          <w:sz w:val="25"/>
        </w:rPr>
        <w:t>Cyber Event</w:t>
      </w:r>
      <w:bookmarkEnd w:id="94"/>
    </w:p>
    <w:p>
      <w:r>
        <w:rPr>
          <w:b w:val="0"/>
          <w:i w:val="0"/>
        </w:rPr>
        <w:t>First-party cyber losses (data restoration, business interruption, incident response). Third-party cyber liability is excluded except to the extent it arises from a breach of duty in your financial services activities (e.g., failure to protect client data in the course of providing financial services).</w:t>
      </w:r>
    </w:p>
    <w:p>
      <w:bookmarkStart w:id="95" w:name="c_imi_excl_us_canada_jurisdiction"/>
      <w:r>
        <w:rPr>
          <w:rFonts w:ascii="Georgia" w:hAnsi="Georgia" w:eastAsia="Georgia"/>
          <w:b/>
          <w:i w:val="0"/>
          <w:color w:val="2E5C4E"/>
          <w:sz w:val="25"/>
        </w:rPr>
        <w:t>US / Canada Jurisdiction</w:t>
      </w:r>
      <w:bookmarkEnd w:id="95"/>
    </w:p>
    <w:p>
      <w:r>
        <w:rPr>
          <w:b w:val="0"/>
          <w:i w:val="0"/>
        </w:rPr>
        <w:t>Claims brought or maintained in the US or Canada — unless Endorsement E01 is operative.</w:t>
      </w:r>
    </w:p>
    <w:p>
      <w:bookmarkStart w:id="96" w:name="c_imi_excl_employers_liability"/>
      <w:r>
        <w:rPr>
          <w:rFonts w:ascii="Georgia" w:hAnsi="Georgia" w:eastAsia="Georgia"/>
          <w:b/>
          <w:i w:val="0"/>
          <w:color w:val="2E5C4E"/>
          <w:sz w:val="25"/>
        </w:rPr>
        <w:t>Employer's Liability</w:t>
      </w:r>
      <w:bookmarkEnd w:id="96"/>
    </w:p>
    <w:p>
      <w:r>
        <w:rPr>
          <w:b w:val="0"/>
          <w:i w:val="0"/>
        </w:rPr>
        <w:t>Employment-related claims (unfair dismissal, discrimination, harassment). Covered under management liability or EPL (see Endorsement E12).</w:t>
      </w:r>
    </w:p>
    <w:p>
      <w:bookmarkStart w:id="97" w:name="c_imi_section_payment"/>
      <w:r>
        <w:rPr>
          <w:rFonts w:ascii="Georgia" w:hAnsi="Georgia" w:eastAsia="Georgia"/>
          <w:b/>
          <w:i w:val="0"/>
          <w:color w:val="1C1915"/>
          <w:sz w:val="32"/>
        </w:rPr>
        <w:t>How Much We Will Pay</w:t>
      </w:r>
      <w:bookmarkEnd w:id="97"/>
    </w:p>
    <w:p>
      <w:bookmarkStart w:id="98" w:name="c_imi_pay_section_limits_and_overall_agg"/>
      <w:r>
        <w:rPr>
          <w:rFonts w:ascii="Georgia" w:hAnsi="Georgia" w:eastAsia="Georgia"/>
          <w:b/>
          <w:i w:val="0"/>
          <w:color w:val="2E5C4E"/>
          <w:sz w:val="25"/>
        </w:rPr>
        <w:t>Section Limits and Overall Aggregate</w:t>
      </w:r>
      <w:bookmarkEnd w:id="98"/>
    </w:p>
    <w:p>
      <w:r>
        <w:rPr>
          <w:b w:val="0"/>
          <w:i w:val="0"/>
        </w:rPr>
        <w:t>Each section has its own per-claim and aggregate limit. The overall aggregate is the most we will pay across all sections combined.</w:t>
      </w:r>
    </w:p>
    <w:p>
      <w:bookmarkStart w:id="99" w:name="c_imi_pay_priority_of_payment"/>
      <w:r>
        <w:rPr>
          <w:rFonts w:ascii="Georgia" w:hAnsi="Georgia" w:eastAsia="Georgia"/>
          <w:b/>
          <w:i w:val="0"/>
          <w:color w:val="2E5C4E"/>
          <w:sz w:val="25"/>
        </w:rPr>
        <w:t>Priority of Payment</w:t>
      </w:r>
      <w:bookmarkEnd w:id="99"/>
    </w:p>
    <w:p>
      <w:r>
        <w:rPr>
          <w:b w:val="0"/>
          <w:i w:val="0"/>
        </w:rPr>
        <w:t>If the limit of liability of a section, or the overall aggregate, is or may be insufficient to pay all amounts payable, we will pay in this order:</w:t>
      </w:r>
    </w:p>
    <w:p>
      <w:r>
        <w:rPr>
          <w:b w:val="0"/>
          <w:i w:val="0"/>
        </w:rPr>
        <w:t xml:space="preserve">First: </w:t>
      </w:r>
      <w:hyperlink w:anchor="c_imi_section_do">
        <w:r>
          <w:rPr>
            <w:color w:val="2E5C4E"/>
            <w:u w:val="single"/>
          </w:rPr>
          <w:t xml:space="preserve">the Directors' and Officers' Liability section</w:t>
        </w:r>
      </w:hyperlink>
      <w:r>
        <w:rPr>
          <w:b w:val="0"/>
          <w:i w:val="0"/>
        </w:rPr>
        <w:t xml:space="preserve"> Side A — personal non-indemnifiable loss and defence costs of insured persons.</w:t>
      </w:r>
    </w:p>
    <w:p>
      <w:r>
        <w:rPr>
          <w:b w:val="0"/>
          <w:i w:val="0"/>
        </w:rPr>
        <w:t xml:space="preserve">Second: </w:t>
      </w:r>
      <w:hyperlink w:anchor="c_imi_section_pl">
        <w:r>
          <w:rPr>
            <w:color w:val="2E5C4E"/>
            <w:u w:val="single"/>
          </w:rPr>
          <w:t xml:space="preserve">the Professional Liability section</w:t>
        </w:r>
      </w:hyperlink>
      <w:r>
        <w:rPr>
          <w:b w:val="0"/>
          <w:i w:val="0"/>
        </w:rPr>
        <w:t xml:space="preserve"> — professional liability claims and regulatory proceedings.</w:t>
      </w:r>
    </w:p>
    <w:p>
      <w:r>
        <w:rPr>
          <w:b w:val="0"/>
          <w:i w:val="0"/>
        </w:rPr>
        <w:t xml:space="preserve">Third: </w:t>
      </w:r>
      <w:hyperlink w:anchor="c_imi_section_do">
        <w:r>
          <w:rPr>
            <w:color w:val="2E5C4E"/>
            <w:u w:val="single"/>
          </w:rPr>
          <w:t xml:space="preserve">the Directors' and Officers' Liability section</w:t>
        </w:r>
      </w:hyperlink>
      <w:r>
        <w:rPr>
          <w:b w:val="0"/>
          <w:i w:val="0"/>
        </w:rPr>
        <w:t xml:space="preserve"> Side B — company reimbursement.</w:t>
      </w:r>
    </w:p>
    <w:p>
      <w:r>
        <w:rPr>
          <w:b w:val="0"/>
          <w:i w:val="0"/>
        </w:rPr>
        <w:t xml:space="preserve">Fourth: </w:t>
      </w:r>
      <w:hyperlink w:anchor="c_imi_section_crime">
        <w:r>
          <w:rPr>
            <w:color w:val="2E5C4E"/>
            <w:u w:val="single"/>
          </w:rPr>
          <w:t xml:space="preserve">the Crime section</w:t>
        </w:r>
      </w:hyperlink>
      <w:r>
        <w:rPr>
          <w:b w:val="0"/>
          <w:i w:val="0"/>
        </w:rPr>
        <w:t xml:space="preserve"> — crime losses.</w:t>
      </w:r>
    </w:p>
    <w:p>
      <w:r>
        <w:rPr>
          <w:b w:val="0"/>
          <w:i w:val="0"/>
        </w:rPr>
        <w:t xml:space="preserve">If we make a payment in good faith in this order, we have no further liability for the amount paid, even if later claims mean the limit is not enough to pay a higher-priority amount in full. This order does not apply to the separate Side A limit under </w:t>
      </w:r>
      <w:hyperlink w:anchor="c_imi_end_e14">
        <w:r>
          <w:rPr>
            <w:color w:val="2E5C4E"/>
            <w:u w:val="single"/>
          </w:rPr>
          <w:t xml:space="preserve">the E14 Side A Difference in Conditions endorsement</w:t>
        </w:r>
      </w:hyperlink>
      <w:r>
        <w:rPr>
          <w:b w:val="0"/>
          <w:i w:val="0"/>
        </w:rPr>
        <w:t>.</w:t>
      </w:r>
    </w:p>
    <w:p>
      <w:bookmarkStart w:id="100" w:name="c_imi_pay_defence_costs"/>
      <w:r>
        <w:rPr>
          <w:rFonts w:ascii="Georgia" w:hAnsi="Georgia" w:eastAsia="Georgia"/>
          <w:b/>
          <w:i w:val="0"/>
          <w:color w:val="2E5C4E"/>
          <w:sz w:val="25"/>
        </w:rPr>
        <w:t>Defence Costs</w:t>
      </w:r>
      <w:bookmarkEnd w:id="100"/>
    </w:p>
    <w:p>
      <w:r>
        <w:rPr>
          <w:b w:val="0"/>
          <w:i w:val="0"/>
        </w:rPr>
        <w:t>Included within the limit of liability unless the schedule states otherwise. Advanced as incurred.</w:t>
      </w:r>
    </w:p>
    <w:p>
      <w:bookmarkStart w:id="101" w:name="c_imi_pay_allocation"/>
      <w:r>
        <w:rPr>
          <w:rFonts w:ascii="Georgia" w:hAnsi="Georgia" w:eastAsia="Georgia"/>
          <w:b/>
          <w:i w:val="0"/>
          <w:color w:val="2E5C4E"/>
          <w:sz w:val="25"/>
        </w:rPr>
        <w:t>Allocation</w:t>
      </w:r>
      <w:bookmarkEnd w:id="101"/>
    </w:p>
    <w:p>
      <w:r>
        <w:rPr>
          <w:b w:val="0"/>
          <w:i w:val="0"/>
        </w:rPr>
        <w:t>If a claim involves covered and uncovered matters or parties, we will agree a fair and reasonable allocation having regard to the relative legal and financial exposure of covered and uncovered matters and parties. If we cannot agree, a Senior Counsel, mutually agreed or, failing agreement, nominated by the President of the relevant State or Territory Bar Association, will determine the allocation, and that determination is binding on the allocation question only.</w:t>
      </w:r>
    </w:p>
    <w:p>
      <w:bookmarkStart w:id="102" w:name="c_imi_pay_no_excess_on_side_a"/>
      <w:r>
        <w:rPr>
          <w:rFonts w:ascii="Georgia" w:hAnsi="Georgia" w:eastAsia="Georgia"/>
          <w:b/>
          <w:i w:val="0"/>
          <w:color w:val="2E5C4E"/>
          <w:sz w:val="25"/>
        </w:rPr>
        <w:t>No Excess on Side A</w:t>
      </w:r>
      <w:bookmarkEnd w:id="102"/>
    </w:p>
    <w:p>
      <w:r>
        <w:rPr>
          <w:b w:val="0"/>
          <w:i w:val="0"/>
        </w:rPr>
        <w:t xml:space="preserve">No excess for insured persons under </w:t>
      </w:r>
      <w:hyperlink w:anchor="c_imi_section_do">
        <w:r>
          <w:rPr>
            <w:color w:val="2E5C4E"/>
            <w:u w:val="single"/>
          </w:rPr>
          <w:t xml:space="preserve">the Directors' and Officers' Liability section</w:t>
        </w:r>
      </w:hyperlink>
      <w:r>
        <w:rPr>
          <w:b w:val="0"/>
          <w:i w:val="0"/>
        </w:rPr>
        <w:t xml:space="preserve"> Side A.</w:t>
      </w:r>
    </w:p>
    <w:p>
      <w:bookmarkStart w:id="103" w:name="c_imi_pay_cross_section_application"/>
      <w:r>
        <w:rPr>
          <w:rFonts w:ascii="Georgia" w:hAnsi="Georgia" w:eastAsia="Georgia"/>
          <w:b/>
          <w:i w:val="0"/>
          <w:color w:val="2E5C4E"/>
          <w:sz w:val="25"/>
        </w:rPr>
        <w:t>Cross-Section Application</w:t>
      </w:r>
      <w:bookmarkEnd w:id="103"/>
    </w:p>
    <w:p>
      <w:r>
        <w:rPr>
          <w:b w:val="0"/>
          <w:i w:val="0"/>
        </w:rPr>
        <w:t xml:space="preserve">If a single event gives rise to losses under more than one section (for example, an employee commits fraud — </w:t>
      </w:r>
      <w:hyperlink w:anchor="c_imi_section_crime">
        <w:r>
          <w:rPr>
            <w:color w:val="2E5C4E"/>
            <w:u w:val="single"/>
          </w:rPr>
          <w:t xml:space="preserve">the Crime section</w:t>
        </w:r>
      </w:hyperlink>
      <w:r>
        <w:rPr>
          <w:b w:val="0"/>
          <w:i w:val="0"/>
        </w:rPr>
        <w:t xml:space="preserve"> — and investors bring a claim alleging negligent supervision — </w:t>
      </w:r>
      <w:hyperlink w:anchor="c_imi_section_pl">
        <w:r>
          <w:rPr>
            <w:color w:val="2E5C4E"/>
            <w:u w:val="single"/>
          </w:rPr>
          <w:t xml:space="preserve">the Professional Liability section</w:t>
        </w:r>
      </w:hyperlink>
      <w:r>
        <w:rPr>
          <w:b w:val="0"/>
          <w:i w:val="0"/>
        </w:rPr>
        <w:t>), each section responds to its own type of loss, but the overall aggregate limits the total we pay. Where the same loss is capable of being paid under more than one insuring clause, it is paid once, under the clause with the highest applicable limit, subject to one excess.</w:t>
      </w:r>
    </w:p>
    <w:p>
      <w:bookmarkStart w:id="104" w:name="c_imi_pay_other_insurance"/>
      <w:r>
        <w:rPr>
          <w:rFonts w:ascii="Georgia" w:hAnsi="Georgia" w:eastAsia="Georgia"/>
          <w:b/>
          <w:i w:val="0"/>
          <w:color w:val="2E5C4E"/>
          <w:sz w:val="25"/>
        </w:rPr>
        <w:t>Other Insurance</w:t>
      </w:r>
      <w:bookmarkEnd w:id="104"/>
    </w:p>
    <w:p>
      <w:r>
        <w:rPr>
          <w:b w:val="0"/>
          <w:i w:val="0"/>
        </w:rPr>
        <w:t>If a loss covered by this policy is also covered by another insurance policy, we will not refuse or reduce our payment because of that other insurance. We may seek contribution from the other insurer as the law allows. This does not apply where the schedule or an endorsement states that this policy is excess of a specified underlying policy, in which case this policy pays only after the limit of that specified policy is exhausted.</w:t>
      </w:r>
    </w:p>
    <w:p>
      <w:r>
        <w:rPr>
          <w:b/>
          <w:i w:val="0"/>
        </w:rPr>
        <w:t>Funds:</w:t>
      </w:r>
      <w:r>
        <w:rPr>
          <w:b w:val="0"/>
          <w:i w:val="0"/>
        </w:rPr>
        <w:t xml:space="preserve"> A fund may hold separate insurance of its own. That insurance is other insurance for this clause. We will not refuse or reduce our payment because of it, and we may seek contribution from the fund's insurer as the law allows. If the schedule names a fund's separate policy as a specified underlying policy, this policy is excess of it as stated above.</w:t>
      </w:r>
    </w:p>
    <w:p>
      <w:r>
        <w:rPr>
          <w:b/>
          <w:i w:val="0"/>
        </w:rPr>
        <w:t>Side A:</w:t>
      </w:r>
      <w:r>
        <w:rPr>
          <w:b w:val="0"/>
          <w:i w:val="0"/>
        </w:rPr>
        <w:t xml:space="preserve"> An insured person is not required to claim under any other policy first.</w:t>
      </w:r>
    </w:p>
    <w:p>
      <w:r>
        <w:rPr>
          <w:b/>
          <w:i w:val="0"/>
        </w:rPr>
        <w:t>Crime and cyber:</w:t>
      </w:r>
      <w:r>
        <w:rPr>
          <w:b w:val="0"/>
          <w:i w:val="0"/>
        </w:rPr>
        <w:t xml:space="preserve"> Where a loss under </w:t>
      </w:r>
      <w:hyperlink w:anchor="c_imi_section_crime">
        <w:r>
          <w:rPr>
            <w:color w:val="2E5C4E"/>
            <w:u w:val="single"/>
          </w:rPr>
          <w:t xml:space="preserve">the Crime section</w:t>
        </w:r>
      </w:hyperlink>
      <w:r>
        <w:rPr>
          <w:b w:val="0"/>
          <w:i w:val="0"/>
        </w:rPr>
        <w:t xml:space="preserve"> that is direct theft of money, securities, digital assets, or property by computer-enabled fraud is also covered, or purportedly covered, under a cyber insurance policy, this policy responds as the primary policy for that loss, whatever the cyber policy says. This does not apply to a cyber policy that is written to attach in excess of this policy.</w:t>
      </w:r>
    </w:p>
    <w:p>
      <w:r>
        <w:rPr>
          <w:b/>
          <w:i w:val="0"/>
        </w:rPr>
        <w:t>Contribution:</w:t>
      </w:r>
      <w:r>
        <w:rPr>
          <w:b w:val="0"/>
          <w:i w:val="0"/>
        </w:rPr>
        <w:t xml:space="preserve"> If another insurer's policy and this policy each purport to be excess of the other for the same loss, we will contribute in proportion to the limits of liability each policy would otherwise provide for that loss, and will not decline the loss only because the other policy has a similar clause.</w:t>
      </w:r>
    </w:p>
    <w:p>
      <w:bookmarkStart w:id="105" w:name="c_imi_pay_multiple_funds_limit_sharing"/>
      <w:r>
        <w:rPr>
          <w:rFonts w:ascii="Georgia" w:hAnsi="Georgia" w:eastAsia="Georgia"/>
          <w:b/>
          <w:i w:val="0"/>
          <w:color w:val="2E5C4E"/>
          <w:sz w:val="25"/>
        </w:rPr>
        <w:t>Multiple Funds — Limit Sharing</w:t>
      </w:r>
      <w:bookmarkEnd w:id="105"/>
    </w:p>
    <w:p>
      <w:r>
        <w:rPr>
          <w:b w:val="0"/>
          <w:i w:val="0"/>
        </w:rPr>
        <w:t>Where the schedule (Item 7) lists more than one fund, all funds share the section limits and the overall aggregate stated in Item 4 of the schedule; a loss involving, or a claim by or on behalf of, one fund reduces the limit available to every other fund insured under this policy. Item 7 of the schedule may instead state a per-fund sub-limit, or a stated sharing rule, for one or more named funds, in which case that sub-limit or rule applies to that fund in place of unrestricted sharing.</w:t>
      </w:r>
    </w:p>
    <w:p>
      <w:bookmarkStart w:id="106" w:name="c_imi_pay_valuation_and_recoveries_crime"/>
      <w:r>
        <w:rPr>
          <w:rFonts w:ascii="Georgia" w:hAnsi="Georgia" w:eastAsia="Georgia"/>
          <w:b/>
          <w:i w:val="0"/>
          <w:color w:val="2E5C4E"/>
          <w:sz w:val="25"/>
        </w:rPr>
        <w:t>Valuation and Recoveries — Crime</w:t>
      </w:r>
      <w:bookmarkEnd w:id="106"/>
    </w:p>
    <w:p>
      <w:r>
        <w:rPr>
          <w:b w:val="0"/>
          <w:i w:val="0"/>
        </w:rPr>
        <w:t xml:space="preserve">Where </w:t>
      </w:r>
      <w:hyperlink w:anchor="c_imi_section_crime">
        <w:r>
          <w:rPr>
            <w:color w:val="2E5C4E"/>
            <w:u w:val="single"/>
          </w:rPr>
          <w:t xml:space="preserve">the Crime section</w:t>
        </w:r>
      </w:hyperlink>
      <w:r>
        <w:rPr>
          <w:b w:val="0"/>
          <w:i w:val="0"/>
        </w:rPr>
        <w:t xml:space="preserve"> pays for the loss of money, securities, digital assets, or property:</w:t>
      </w:r>
    </w:p>
    <w:p>
      <w:r>
        <w:rPr>
          <w:b w:val="0"/>
          <w:i w:val="0"/>
        </w:rPr>
        <w:t>(a) securities and digital assets are valued at their market value on the date of discovery or, at our election, we may instead pay the reasonable cost of a replacement in kind, or arrange a bond of indemnity;</w:t>
      </w:r>
    </w:p>
    <w:p>
      <w:r>
        <w:rPr>
          <w:b w:val="0"/>
          <w:i w:val="0"/>
        </w:rPr>
        <w:t>(b) foreign-currency money is converted to Australian dollars at the exchange rate published by the Reserve Bank of Australia (or, if none is published for that currency, a comparable published rate we reasonably nominate) on the date of discovery;</w:t>
      </w:r>
    </w:p>
    <w:p>
      <w:r>
        <w:rPr>
          <w:b w:val="0"/>
          <w:i w:val="0"/>
        </w:rPr>
        <w:t>(c) where a security or currency has no readily ascertainable market value on the date of discovery, we will determine its value using the most recent published value before that date, adjusted as reasonably necessary to reflect known intervening events; and</w:t>
      </w:r>
    </w:p>
    <w:p>
      <w:r>
        <w:rPr>
          <w:b w:val="0"/>
          <w:i w:val="0"/>
        </w:rPr>
        <w:t>(d) tangible property is valued at the lowest of the cost to repair it, the cost to replace it with property of a similar kind and quality, and its actual cash value, in each case on the date of discovery.</w:t>
      </w:r>
    </w:p>
    <w:p>
      <w:r>
        <w:rPr>
          <w:b w:val="0"/>
          <w:i w:val="0"/>
        </w:rPr>
        <w:t>If we pay a loss and the company or a fund later recovers any amount from the perpetrator or any third party, the recovery is first applied to the uninsured loss (including the excess and any amount above the limit of liability), and the remainder is applied to reimburse us.</w:t>
      </w:r>
    </w:p>
    <w:p>
      <w:bookmarkStart w:id="107" w:name="c_imi_section_obligations"/>
      <w:r>
        <w:rPr>
          <w:rFonts w:ascii="Georgia" w:hAnsi="Georgia" w:eastAsia="Georgia"/>
          <w:b/>
          <w:i w:val="0"/>
          <w:color w:val="1C1915"/>
          <w:sz w:val="32"/>
        </w:rPr>
        <w:t>Your Obligations</w:t>
      </w:r>
      <w:bookmarkEnd w:id="107"/>
    </w:p>
    <w:p>
      <w:bookmarkStart w:id="108" w:name="c_imi_obl_notify_claims"/>
      <w:r>
        <w:rPr>
          <w:rFonts w:ascii="Georgia" w:hAnsi="Georgia" w:eastAsia="Georgia"/>
          <w:b/>
          <w:i w:val="0"/>
          <w:color w:val="2E5C4E"/>
          <w:sz w:val="25"/>
        </w:rPr>
        <w:t>Notify Claims — Professional Liability and Directors' and Officers' Liability</w:t>
      </w:r>
      <w:bookmarkEnd w:id="108"/>
    </w:p>
    <w:p>
      <w:r>
        <w:rPr>
          <w:b w:val="0"/>
          <w:i w:val="0"/>
        </w:rPr>
        <w:t>Tell us in writing as soon as reasonably practicable after a claim is made.</w:t>
      </w:r>
    </w:p>
    <w:p>
      <w:bookmarkStart w:id="109" w:name="c_imi_obl_notify_circumstances"/>
      <w:r>
        <w:rPr>
          <w:rFonts w:ascii="Georgia" w:hAnsi="Georgia" w:eastAsia="Georgia"/>
          <w:b/>
          <w:i w:val="0"/>
          <w:color w:val="2E5C4E"/>
          <w:sz w:val="25"/>
        </w:rPr>
        <w:t>Notify Circumstances — Professional Liability and Directors' and Officers' Liability</w:t>
      </w:r>
      <w:bookmarkEnd w:id="109"/>
    </w:p>
    <w:p>
      <w:r>
        <w:rPr>
          <w:b w:val="0"/>
          <w:i w:val="0"/>
        </w:rPr>
        <w:t xml:space="preserve">Tell us during the policy period of any circumstance that might reasonably give rise to a claim. Later claims from notified circumstances are treated as made during this policy period. This is the notification referred to in </w:t>
      </w:r>
      <w:hyperlink w:anchor="c_imi_cover_notification_of_circumstance">
        <w:r>
          <w:rPr>
            <w:color w:val="2E5C4E"/>
            <w:u w:val="single"/>
          </w:rPr>
          <w:t xml:space="preserve">the Notification of Circumstances clause</w:t>
        </w:r>
      </w:hyperlink>
      <w:r>
        <w:rPr>
          <w:b w:val="0"/>
          <w:i w:val="0"/>
        </w:rPr>
        <w:t xml:space="preserve"> and implements s 40(3) of the Insurance Contracts Act 1984 (Cth).</w:t>
      </w:r>
    </w:p>
    <w:p>
      <w:r>
        <w:rPr>
          <w:b w:val="0"/>
          <w:i w:val="0"/>
        </w:rPr>
        <w:t>Examples specific to investment management:</w:t>
      </w:r>
    </w:p>
    <w:p>
      <w:r>
        <w:rPr>
          <w:b w:val="0"/>
          <w:i w:val="0"/>
        </w:rPr>
        <w:t>• An investor or group of investors has complained about fund performance and engaged lawyers.</w:t>
      </w:r>
    </w:p>
    <w:p>
      <w:r>
        <w:rPr>
          <w:b w:val="0"/>
          <w:i w:val="0"/>
        </w:rPr>
        <w:t>• ASIC has issued a s912C direction or s33 notice relating to your AFSL obligations.</w:t>
      </w:r>
    </w:p>
    <w:p>
      <w:r>
        <w:rPr>
          <w:b w:val="0"/>
          <w:i w:val="0"/>
        </w:rPr>
        <w:t>• A material valuation error has been identified in a fund that may require unit price correction.</w:t>
      </w:r>
    </w:p>
    <w:p>
      <w:r>
        <w:rPr>
          <w:b w:val="0"/>
          <w:i w:val="0"/>
        </w:rPr>
        <w:t>• An authorised representative has provided advice outside the scope of their authority.</w:t>
      </w:r>
    </w:p>
    <w:p>
      <w:r>
        <w:rPr>
          <w:b w:val="0"/>
          <w:i w:val="0"/>
        </w:rPr>
        <w:t>• A compliance breach report has identified a systemic issue in product distribution.</w:t>
      </w:r>
    </w:p>
    <w:p>
      <w:r>
        <w:rPr>
          <w:b w:val="0"/>
          <w:i w:val="0"/>
        </w:rPr>
        <w:t>• APRA has commenced a targeted review of your prudential compliance (for superannuation trustees).</w:t>
      </w:r>
    </w:p>
    <w:p>
      <w:bookmarkStart w:id="110" w:name="c_imi_obl_notify_losses_crime"/>
      <w:r>
        <w:rPr>
          <w:rFonts w:ascii="Georgia" w:hAnsi="Georgia" w:eastAsia="Georgia"/>
          <w:b/>
          <w:i w:val="0"/>
          <w:color w:val="2E5C4E"/>
          <w:sz w:val="25"/>
        </w:rPr>
        <w:t>Notify Losses — Crime</w:t>
      </w:r>
      <w:bookmarkEnd w:id="110"/>
    </w:p>
    <w:p>
      <w:r>
        <w:rPr>
          <w:b w:val="0"/>
          <w:i w:val="0"/>
        </w:rPr>
        <w:t xml:space="preserve">Tell us in writing as soon as reasonably practicable, and in any event within 60 days, after discovery of a loss under </w:t>
      </w:r>
      <w:hyperlink w:anchor="c_imi_section_crime">
        <w:r>
          <w:rPr>
            <w:color w:val="2E5C4E"/>
            <w:u w:val="single"/>
          </w:rPr>
          <w:t xml:space="preserve">the Crime section</w:t>
        </w:r>
      </w:hyperlink>
      <w:r>
        <w:rPr>
          <w:b w:val="0"/>
          <w:i w:val="0"/>
        </w:rPr>
        <w:t>. Report to police.</w:t>
      </w:r>
    </w:p>
    <w:p>
      <w:bookmarkStart w:id="111" w:name="c_imi_obl_do_not_admit_liability"/>
      <w:r>
        <w:rPr>
          <w:rFonts w:ascii="Georgia" w:hAnsi="Georgia" w:eastAsia="Georgia"/>
          <w:b/>
          <w:i w:val="0"/>
          <w:color w:val="2E5C4E"/>
          <w:sz w:val="25"/>
        </w:rPr>
        <w:t>Do Not Admit Liability</w:t>
      </w:r>
      <w:bookmarkEnd w:id="111"/>
    </w:p>
    <w:p>
      <w:r>
        <w:rPr>
          <w:b w:val="0"/>
          <w:i w:val="0"/>
        </w:rPr>
        <w:t>Do not admit liability or settle without our consent. Consent not unreasonably withheld.</w:t>
      </w:r>
    </w:p>
    <w:p>
      <w:bookmarkStart w:id="112" w:name="c_imi_obl_cooperate"/>
      <w:r>
        <w:rPr>
          <w:rFonts w:ascii="Georgia" w:hAnsi="Georgia" w:eastAsia="Georgia"/>
          <w:b/>
          <w:i w:val="0"/>
          <w:color w:val="2E5C4E"/>
          <w:sz w:val="25"/>
        </w:rPr>
        <w:t>Cooperate</w:t>
      </w:r>
      <w:bookmarkEnd w:id="112"/>
    </w:p>
    <w:p>
      <w:r>
        <w:rPr>
          <w:b w:val="0"/>
          <w:i w:val="0"/>
        </w:rPr>
        <w:t>Provide all information and assistance. Allow us to associate in defence and settlement.</w:t>
      </w:r>
    </w:p>
    <w:p>
      <w:bookmarkStart w:id="113" w:name="c_imi_obl_duty_of_disclosure"/>
      <w:r>
        <w:rPr>
          <w:rFonts w:ascii="Georgia" w:hAnsi="Georgia" w:eastAsia="Georgia"/>
          <w:b/>
          <w:i w:val="0"/>
          <w:color w:val="2E5C4E"/>
          <w:sz w:val="25"/>
        </w:rPr>
        <w:t>Duty of Disclosure</w:t>
      </w:r>
      <w:bookmarkEnd w:id="113"/>
    </w:p>
    <w:p>
      <w:r>
        <w:rPr>
          <w:b w:val="0"/>
          <w:i w:val="0"/>
        </w:rPr>
        <w:t xml:space="preserve">The duty of disclosure under the Insurance Contracts Act 1984 (Cth) applies to the named insured as the party proposing this contract; this is a non-consumer contract. The named insured knows what a member of the control group knows. As between us and each insured person, disclosure and knowledge are assessed individually as a matter of contract, under </w:t>
      </w:r>
      <w:hyperlink w:anchor="c_imi_cond_severability_and_non_imputati">
        <w:r>
          <w:rPr>
            <w:color w:val="2E5C4E"/>
            <w:u w:val="single"/>
          </w:rPr>
          <w:t xml:space="preserve">the Severability and Non-Imputation condition</w:t>
        </w:r>
      </w:hyperlink>
      <w:r>
        <w:rPr>
          <w:b w:val="0"/>
          <w:i w:val="0"/>
        </w:rPr>
        <w:t xml:space="preserve"> (Severability and Non-Imputation). This is a contractual mechanism. It does not mean that each insured person separately owes the statutory duty of disclosure.</w:t>
      </w:r>
    </w:p>
    <w:p>
      <w:bookmarkStart w:id="114" w:name="c_imi_section_conditions"/>
      <w:r>
        <w:rPr>
          <w:rFonts w:ascii="Georgia" w:hAnsi="Georgia" w:eastAsia="Georgia"/>
          <w:b/>
          <w:i w:val="0"/>
          <w:color w:val="1C1915"/>
          <w:sz w:val="32"/>
        </w:rPr>
        <w:t>General Conditions</w:t>
      </w:r>
      <w:bookmarkEnd w:id="114"/>
    </w:p>
    <w:p>
      <w:bookmarkStart w:id="115" w:name="c_imi_cond_severability_and_non_imputati"/>
      <w:r>
        <w:rPr>
          <w:rFonts w:ascii="Georgia" w:hAnsi="Georgia" w:eastAsia="Georgia"/>
          <w:b/>
          <w:i w:val="0"/>
          <w:color w:val="2E5C4E"/>
          <w:sz w:val="25"/>
        </w:rPr>
        <w:t>Severability and Non-Imputation</w:t>
      </w:r>
      <w:bookmarkEnd w:id="115"/>
    </w:p>
    <w:p>
      <w:r>
        <w:rPr>
          <w:b w:val="0"/>
          <w:i w:val="0"/>
        </w:rPr>
        <w:t xml:space="preserve">Each insured person is treated as if they had a separate policy. Knowledge and conduct are not attributed between insured persons. This severability applies to every knowledge-based or conduct-based provision of this policy, including </w:t>
      </w:r>
      <w:hyperlink w:anchor="c_imi_excl_dishonesty_and_fraud">
        <w:r>
          <w:rPr>
            <w:color w:val="2E5C4E"/>
            <w:u w:val="single"/>
          </w:rPr>
          <w:t xml:space="preserve">the Dishonesty and Fraud — Professional Liability and Directors' and Officers' Liability exclusion</w:t>
        </w:r>
      </w:hyperlink>
      <w:r>
        <w:rPr>
          <w:b w:val="0"/>
          <w:i w:val="0"/>
        </w:rPr>
        <w:t xml:space="preserve">, </w:t>
      </w:r>
      <w:hyperlink w:anchor="c_imi_excl_personal_profit">
        <w:r>
          <w:rPr>
            <w:color w:val="2E5C4E"/>
            <w:u w:val="single"/>
          </w:rPr>
          <w:t xml:space="preserve">the Personal Profit exclusion</w:t>
        </w:r>
      </w:hyperlink>
      <w:r>
        <w:rPr>
          <w:b w:val="0"/>
          <w:i w:val="0"/>
        </w:rPr>
        <w:t xml:space="preserve">, </w:t>
      </w:r>
      <w:hyperlink w:anchor="c_imi_excl_prior_known_matters">
        <w:r>
          <w:rPr>
            <w:color w:val="2E5C4E"/>
            <w:u w:val="single"/>
          </w:rPr>
          <w:t xml:space="preserve">the Prior Known Matters exclusion</w:t>
        </w:r>
      </w:hyperlink>
      <w:r>
        <w:rPr>
          <w:b w:val="0"/>
          <w:i w:val="0"/>
        </w:rPr>
        <w:t xml:space="preserve">, </w:t>
      </w:r>
      <w:hyperlink w:anchor="c_imi_excl_prior_and_pending_litigation">
        <w:r>
          <w:rPr>
            <w:color w:val="2E5C4E"/>
            <w:u w:val="single"/>
          </w:rPr>
          <w:t xml:space="preserve">the Prior and Pending Litigation exclusion</w:t>
        </w:r>
      </w:hyperlink>
      <w:r>
        <w:rPr>
          <w:b w:val="0"/>
          <w:i w:val="0"/>
        </w:rPr>
        <w:t xml:space="preserve">, </w:t>
      </w:r>
      <w:hyperlink w:anchor="c_imi_obl_duty_of_disclosure">
        <w:r>
          <w:rPr>
            <w:color w:val="2E5C4E"/>
            <w:u w:val="single"/>
          </w:rPr>
          <w:t xml:space="preserve">the Duty of Disclosure obligation</w:t>
        </w:r>
      </w:hyperlink>
      <w:r>
        <w:rPr>
          <w:b w:val="0"/>
          <w:i w:val="0"/>
        </w:rPr>
        <w:t xml:space="preserve">, and </w:t>
      </w:r>
      <w:hyperlink w:anchor="c_imi_cond_non_rescindable_side_a">
        <w:r>
          <w:rPr>
            <w:color w:val="2E5C4E"/>
            <w:u w:val="single"/>
          </w:rPr>
          <w:t xml:space="preserve">the Non-Avoidance — Side A condition</w:t>
        </w:r>
      </w:hyperlink>
      <w:r>
        <w:rPr>
          <w:b w:val="0"/>
          <w:i w:val="0"/>
        </w:rPr>
        <w:t>.</w:t>
      </w:r>
    </w:p>
    <w:p>
      <w:r>
        <w:rPr>
          <w:b/>
          <w:i w:val="0"/>
        </w:rPr>
        <w:t>The company and funds:</w:t>
      </w:r>
      <w:r>
        <w:rPr>
          <w:b w:val="0"/>
          <w:i w:val="0"/>
        </w:rPr>
        <w:t xml:space="preserve"> What the company knew, or did, is what a member of the control group knew or did. The knowledge or conduct of any other insured person or employee is not attributed to the company. For a fund, knowledge and conduct are those of the members of the control group of the company that manages the fund.</w:t>
      </w:r>
    </w:p>
    <w:p>
      <w:r>
        <w:rPr>
          <w:b w:val="0"/>
          <w:i w:val="0"/>
        </w:rPr>
        <w:t>[WP REVIEW: whether a fund's knowledge and conduct should be those of the control group of its manager, or the fund should be treated separately from the manager.]</w:t>
      </w:r>
    </w:p>
    <w:p>
      <w:r>
        <w:rPr>
          <w:b/>
          <w:i w:val="0"/>
        </w:rPr>
        <w:t>Non-imputation:</w:t>
      </w:r>
      <w:r>
        <w:rPr>
          <w:b w:val="0"/>
          <w:i w:val="0"/>
        </w:rPr>
        <w:t xml:space="preserve"> The company's knowledge is not attributed to an insured person. An insured person's knowledge is not attributed to the company unless that insured person is a member of the control group.</w:t>
      </w:r>
    </w:p>
    <w:p>
      <w:bookmarkStart w:id="116" w:name="c_imi_cond_non_rescindable_side_a"/>
      <w:r>
        <w:rPr>
          <w:rFonts w:ascii="Georgia" w:hAnsi="Georgia" w:eastAsia="Georgia"/>
          <w:b/>
          <w:i w:val="0"/>
          <w:color w:val="2E5C4E"/>
          <w:sz w:val="25"/>
        </w:rPr>
        <w:t>Non-Avoidance — Side A</w:t>
      </w:r>
      <w:bookmarkEnd w:id="116"/>
    </w:p>
    <w:p>
      <w:r>
        <w:rPr>
          <w:b w:val="0"/>
          <w:i w:val="0"/>
        </w:rPr>
        <w:t>We will not avoid this policy, or refuse to pay, for Side A cover because of a misrepresentation or a failure to disclose, except where the insured person seeking cover personally made a fraudulent misrepresentation or fraudulently failed to disclose.</w:t>
      </w:r>
    </w:p>
    <w:p>
      <w:r>
        <w:rPr>
          <w:b w:val="0"/>
          <w:i w:val="0"/>
        </w:rPr>
        <w:t>If a misrepresentation or failure to disclose by the company or by another insured person would otherwise let us reduce our liability under section 28(3) of the Insurance Contracts Act 1984 (Cth), we waive that right as against each insured person who did not personally know of it or take part in it.</w:t>
      </w:r>
    </w:p>
    <w:p>
      <w:r>
        <w:rPr>
          <w:b w:val="0"/>
          <w:i w:val="0"/>
        </w:rPr>
        <w:t>[WP REVIEW: confirm that this works under s 28 of the Insurance Contracts Act 1984 (Cth) for non-disclosure by the company as against innocent directors, and that waiving the s 28(3) reduction in their favour is sound.]</w:t>
      </w:r>
    </w:p>
    <w:p>
      <w:bookmarkStart w:id="117" w:name="c_imi_cond_retroactive_date"/>
      <w:r>
        <w:rPr>
          <w:rFonts w:ascii="Georgia" w:hAnsi="Georgia" w:eastAsia="Georgia"/>
          <w:b/>
          <w:i w:val="0"/>
          <w:color w:val="2E5C4E"/>
          <w:sz w:val="25"/>
        </w:rPr>
        <w:t>Retroactive Date</w:t>
      </w:r>
      <w:bookmarkEnd w:id="117"/>
    </w:p>
    <w:p>
      <w:hyperlink w:anchor="c_imi_section_pl">
        <w:r>
          <w:rPr>
            <w:color w:val="2E5C4E"/>
            <w:u w:val="single"/>
          </w:rPr>
          <w:t xml:space="preserve">The Professional Liability section</w:t>
        </w:r>
      </w:hyperlink>
      <w:r>
        <w:rPr>
          <w:b w:val="0"/>
          <w:i w:val="0"/>
        </w:rPr>
        <w:t xml:space="preserve"> and </w:t>
      </w:r>
      <w:hyperlink w:anchor="c_imi_section_do">
        <w:r>
          <w:rPr>
            <w:color w:val="2E5C4E"/>
            <w:u w:val="single"/>
          </w:rPr>
          <w:t xml:space="preserve">the Directors' and Officers' Liability section</w:t>
        </w:r>
      </w:hyperlink>
      <w:r>
        <w:rPr>
          <w:b w:val="0"/>
          <w:i w:val="0"/>
        </w:rPr>
        <w:t xml:space="preserve"> do not cover a claim arising from a wrongful act committed before the retroactive date shown in Item 3 of the schedule. This applies to every insuring clause and extension in those sections, including Side A, Side B, defence of regulatory proceedings, AFCA complaints and the fund assets extension, whether or not the clause repeats it.</w:t>
      </w:r>
    </w:p>
    <w:p>
      <w:r>
        <w:rPr>
          <w:b w:val="0"/>
          <w:i w:val="0"/>
        </w:rPr>
        <w:t xml:space="preserve">If Item 3 shows no retroactive date, cover is not limited by a retroactive date. </w:t>
      </w:r>
      <w:hyperlink w:anchor="c_imi_excl_prior_known_matters">
        <w:r>
          <w:rPr>
            <w:color w:val="2E5C4E"/>
            <w:u w:val="single"/>
          </w:rPr>
          <w:t xml:space="preserve">The Prior Known Matters exclusion</w:t>
        </w:r>
      </w:hyperlink>
      <w:r>
        <w:rPr>
          <w:b w:val="0"/>
          <w:i w:val="0"/>
        </w:rPr>
        <w:t xml:space="preserve"> and </w:t>
      </w:r>
      <w:hyperlink w:anchor="c_imi_excl_prior_and_pending_litigation">
        <w:r>
          <w:rPr>
            <w:color w:val="2E5C4E"/>
            <w:u w:val="single"/>
          </w:rPr>
          <w:t xml:space="preserve">the Prior and Pending Litigation exclusion</w:t>
        </w:r>
      </w:hyperlink>
      <w:r>
        <w:rPr>
          <w:b w:val="0"/>
          <w:i w:val="0"/>
        </w:rPr>
        <w:t xml:space="preserve"> then apply from the start of the policy period.</w:t>
      </w:r>
    </w:p>
    <w:p>
      <w:r>
        <w:rPr>
          <w:b w:val="0"/>
          <w:i w:val="0"/>
        </w:rPr>
        <w:t>If a claim arises from a series of related wrongful acts (see the definition of Claim) and the first of them was committed before the retroactive date, all of them are treated as committed before that date.</w:t>
      </w:r>
    </w:p>
    <w:p>
      <w:hyperlink w:anchor="c_imi_section_crime">
        <w:r>
          <w:rPr>
            <w:color w:val="2E5C4E"/>
            <w:u w:val="single"/>
          </w:rPr>
          <w:t xml:space="preserve">The Crime section</w:t>
        </w:r>
      </w:hyperlink>
      <w:r>
        <w:rPr>
          <w:b w:val="0"/>
          <w:i w:val="0"/>
        </w:rPr>
        <w:t xml:space="preserve"> is not subject to a retroactive date. </w:t>
      </w:r>
      <w:hyperlink w:anchor="c_imi_excl_prior_discovery_crime">
        <w:r>
          <w:rPr>
            <w:color w:val="2E5C4E"/>
            <w:u w:val="single"/>
          </w:rPr>
          <w:t xml:space="preserve">The Prior Discovery — Crime exclusion</w:t>
        </w:r>
      </w:hyperlink>
      <w:r>
        <w:rPr>
          <w:b w:val="0"/>
          <w:i w:val="0"/>
        </w:rPr>
        <w:t xml:space="preserve">, </w:t>
      </w:r>
      <w:hyperlink w:anchor="c_imi_cond_superseded_policies_crime">
        <w:r>
          <w:rPr>
            <w:color w:val="2E5C4E"/>
            <w:u w:val="single"/>
          </w:rPr>
          <w:t xml:space="preserve">the Prior Insurance and Superseded Policies — Crime condition</w:t>
        </w:r>
      </w:hyperlink>
      <w:r>
        <w:rPr>
          <w:b w:val="0"/>
          <w:i w:val="0"/>
        </w:rPr>
        <w:t xml:space="preserve"> and </w:t>
      </w:r>
      <w:hyperlink w:anchor="c_imi_cond_extended_discovery_period_cri">
        <w:r>
          <w:rPr>
            <w:color w:val="2E5C4E"/>
            <w:u w:val="single"/>
          </w:rPr>
          <w:t xml:space="preserve">the Extended Discovery Period — Crime condition</w:t>
        </w:r>
      </w:hyperlink>
      <w:r>
        <w:rPr>
          <w:b w:val="0"/>
          <w:i w:val="0"/>
        </w:rPr>
        <w:t xml:space="preserve"> set the equivalent limits for Crime.</w:t>
      </w:r>
    </w:p>
    <w:p>
      <w:bookmarkStart w:id="118" w:name="c_imi_cond_continuous_cover"/>
      <w:r>
        <w:rPr>
          <w:rFonts w:ascii="Georgia" w:hAnsi="Georgia" w:eastAsia="Georgia"/>
          <w:b/>
          <w:i w:val="0"/>
          <w:color w:val="2E5C4E"/>
          <w:sz w:val="25"/>
        </w:rPr>
        <w:t>Continuous Cover</w:t>
      </w:r>
      <w:bookmarkEnd w:id="118"/>
    </w:p>
    <w:p>
      <w:r>
        <w:rPr>
          <w:b w:val="0"/>
          <w:i w:val="0"/>
        </w:rPr>
        <w:t xml:space="preserve">As per </w:t>
      </w:r>
      <w:hyperlink w:anchor="c_imi_ext_continuous_cover">
        <w:r>
          <w:rPr>
            <w:color w:val="2E5C4E"/>
            <w:u w:val="single"/>
          </w:rPr>
          <w:t xml:space="preserve">the Continuous Cover extension</w:t>
        </w:r>
      </w:hyperlink>
      <w:r>
        <w:rPr>
          <w:b w:val="0"/>
          <w:i w:val="0"/>
        </w:rPr>
        <w:t>, capped at the lower of this policy's limit and the prior policy's limit, and otherwise on the terms of whichever of the two policies is less favourable to you.</w:t>
      </w:r>
    </w:p>
    <w:p>
      <w:bookmarkStart w:id="119" w:name="c_imi_cond_extended_reporting_period"/>
      <w:r>
        <w:rPr>
          <w:rFonts w:ascii="Georgia" w:hAnsi="Georgia" w:eastAsia="Georgia"/>
          <w:b/>
          <w:i w:val="0"/>
          <w:color w:val="2E5C4E"/>
          <w:sz w:val="25"/>
        </w:rPr>
        <w:t>Extended Reporting Period</w:t>
      </w:r>
      <w:bookmarkEnd w:id="119"/>
    </w:p>
    <w:p>
      <w:r>
        <w:rPr>
          <w:b w:val="0"/>
          <w:i w:val="0"/>
        </w:rPr>
        <w:t>Automatic 90 days if this policy is not renewed (other than by replacement with another policy that gives equivalent cover) or is cancelled by you or by us, and the non-renewal or cancellation is not caused by non-payment of premium (</w:t>
      </w:r>
      <w:hyperlink w:anchor="c_imi_section_pl">
        <w:r>
          <w:rPr>
            <w:color w:val="2E5C4E"/>
            <w:u w:val="single"/>
          </w:rPr>
          <w:t xml:space="preserve">the Professional Liability section</w:t>
        </w:r>
      </w:hyperlink>
      <w:r>
        <w:rPr>
          <w:b w:val="0"/>
          <w:i w:val="0"/>
        </w:rPr>
        <w:t xml:space="preserve"> and </w:t>
      </w:r>
      <w:hyperlink w:anchor="c_imi_section_do">
        <w:r>
          <w:rPr>
            <w:color w:val="2E5C4E"/>
            <w:u w:val="single"/>
          </w:rPr>
          <w:t xml:space="preserve">the Directors' and Officers' Liability section</w:t>
        </w:r>
      </w:hyperlink>
      <w:r>
        <w:rPr>
          <w:b w:val="0"/>
          <w:i w:val="0"/>
        </w:rPr>
        <w:t xml:space="preserve">). </w:t>
      </w:r>
      <w:hyperlink w:anchor="c_imi_section_crime">
        <w:r>
          <w:rPr>
            <w:color w:val="2E5C4E"/>
            <w:u w:val="single"/>
          </w:rPr>
          <w:t xml:space="preserve">The Crime section</w:t>
        </w:r>
      </w:hyperlink>
      <w:r>
        <w:rPr>
          <w:b w:val="0"/>
          <w:i w:val="0"/>
        </w:rPr>
        <w:t xml:space="preserve"> has its own extended discovery period under </w:t>
      </w:r>
      <w:hyperlink w:anchor="c_imi_cond_extended_discovery_period_cri">
        <w:r>
          <w:rPr>
            <w:color w:val="2E5C4E"/>
            <w:u w:val="single"/>
          </w:rPr>
          <w:t xml:space="preserve">the Extended Discovery Period — Crime condition</w:t>
        </w:r>
      </w:hyperlink>
      <w:r>
        <w:rPr>
          <w:b w:val="0"/>
          <w:i w:val="0"/>
        </w:rPr>
        <w:t xml:space="preserve">. Extended periods for </w:t>
      </w:r>
      <w:hyperlink w:anchor="c_imi_section_pl">
        <w:r>
          <w:rPr>
            <w:color w:val="2E5C4E"/>
            <w:u w:val="single"/>
          </w:rPr>
          <w:t xml:space="preserve">the Professional Liability section</w:t>
        </w:r>
      </w:hyperlink>
      <w:r>
        <w:rPr>
          <w:b w:val="0"/>
          <w:i w:val="0"/>
        </w:rPr>
        <w:t xml:space="preserve"> and </w:t>
      </w:r>
      <w:hyperlink w:anchor="c_imi_section_do">
        <w:r>
          <w:rPr>
            <w:color w:val="2E5C4E"/>
            <w:u w:val="single"/>
          </w:rPr>
          <w:t xml:space="preserve">the Directors' and Officers' Liability section</w:t>
        </w:r>
      </w:hyperlink>
      <w:r>
        <w:rPr>
          <w:b w:val="0"/>
          <w:i w:val="0"/>
        </w:rPr>
        <w:t xml:space="preserve"> beyond the automatic 90 days are available for purchase under Endorsement E08, for the durations shown in the schedule when that endorsement is operative.</w:t>
      </w:r>
    </w:p>
    <w:p>
      <w:bookmarkStart w:id="120" w:name="c_imi_cond_extended_discovery_period_cri"/>
      <w:r>
        <w:rPr>
          <w:rFonts w:ascii="Georgia" w:hAnsi="Georgia" w:eastAsia="Georgia"/>
          <w:b/>
          <w:i w:val="0"/>
          <w:color w:val="2E5C4E"/>
          <w:sz w:val="25"/>
        </w:rPr>
        <w:t>Extended Discovery Period — Crime</w:t>
      </w:r>
      <w:bookmarkEnd w:id="120"/>
    </w:p>
    <w:p>
      <w:r>
        <w:rPr>
          <w:b w:val="0"/>
          <w:i w:val="0"/>
        </w:rPr>
        <w:t xml:space="preserve">If this policy is not renewed, other than by replacement with another policy that gives equivalent crime cover, or is cancelled by you or by us, and the non-renewal or cancellation is not caused by non-payment of premium, the company has an automatic extended discovery period of 90 days after the end of the policy period to discover, and notify us of, a loss under </w:t>
      </w:r>
      <w:hyperlink w:anchor="c_imi_section_crime">
        <w:r>
          <w:rPr>
            <w:color w:val="2E5C4E"/>
            <w:u w:val="single"/>
          </w:rPr>
          <w:t xml:space="preserve">the Crime section</w:t>
        </w:r>
      </w:hyperlink>
      <w:r>
        <w:rPr>
          <w:b w:val="0"/>
          <w:i w:val="0"/>
        </w:rPr>
        <w:t xml:space="preserve"> caused by an act that occurred before the end of the policy period.</w:t>
      </w:r>
    </w:p>
    <w:p>
      <w:r>
        <w:rPr>
          <w:b w:val="0"/>
          <w:i w:val="0"/>
        </w:rPr>
        <w:t xml:space="preserve">This period does not extend the policy period or reinstate the limit of liability. A loss notified in it remains subject to the limit, excess, and terms that applied at the end of the policy period. </w:t>
      </w:r>
      <w:hyperlink w:anchor="c_imi_end_e08">
        <w:r>
          <w:rPr>
            <w:color w:val="2E5C4E"/>
            <w:u w:val="single"/>
          </w:rPr>
          <w:t xml:space="preserve">The E08 Extended Reporting Period endorsement</w:t>
        </w:r>
      </w:hyperlink>
      <w:r>
        <w:rPr>
          <w:b w:val="0"/>
          <w:i w:val="0"/>
        </w:rPr>
        <w:t xml:space="preserve"> does not change it.</w:t>
      </w:r>
    </w:p>
    <w:p>
      <w:bookmarkStart w:id="121" w:name="c_imi_cond_superseded_policies_crime"/>
      <w:r>
        <w:rPr>
          <w:rFonts w:ascii="Georgia" w:hAnsi="Georgia" w:eastAsia="Georgia"/>
          <w:b/>
          <w:i w:val="0"/>
          <w:color w:val="2E5C4E"/>
          <w:sz w:val="25"/>
        </w:rPr>
        <w:t>Prior Insurance and Superseded Policies — Crime</w:t>
      </w:r>
      <w:bookmarkEnd w:id="121"/>
    </w:p>
    <w:p>
      <w:r>
        <w:rPr>
          <w:b w:val="0"/>
          <w:i w:val="0"/>
        </w:rPr>
        <w:t xml:space="preserve">If this policy replaces a prior crime or fidelity policy, we will cover a loss under </w:t>
      </w:r>
      <w:hyperlink w:anchor="c_imi_section_crime">
        <w:r>
          <w:rPr>
            <w:color w:val="2E5C4E"/>
            <w:u w:val="single"/>
          </w:rPr>
          <w:t xml:space="preserve">the Crime section</w:t>
        </w:r>
      </w:hyperlink>
      <w:r>
        <w:rPr>
          <w:b w:val="0"/>
          <w:i w:val="0"/>
        </w:rPr>
        <w:t xml:space="preserve"> that is first discovered during this policy period, even if the act causing it occurred during the period of the prior policy, provided:</w:t>
      </w:r>
    </w:p>
    <w:p>
      <w:r>
        <w:rPr>
          <w:b w:val="0"/>
          <w:i w:val="0"/>
        </w:rPr>
        <w:t>(a) the prior policy has expired and no claim has been made under it for the same loss;</w:t>
      </w:r>
    </w:p>
    <w:p>
      <w:r>
        <w:rPr>
          <w:b w:val="0"/>
          <w:i w:val="0"/>
        </w:rPr>
        <w:t>(b) the loss would have been covered under the prior policy at the time of the act; and</w:t>
      </w:r>
    </w:p>
    <w:p>
      <w:r>
        <w:rPr>
          <w:b w:val="0"/>
          <w:i w:val="0"/>
        </w:rPr>
        <w:t>(c) the loss is not excluded under this policy.</w:t>
      </w:r>
    </w:p>
    <w:p>
      <w:bookmarkStart w:id="122" w:name="c_imi_cond_cancellation"/>
      <w:r>
        <w:rPr>
          <w:rFonts w:ascii="Georgia" w:hAnsi="Georgia" w:eastAsia="Georgia"/>
          <w:b/>
          <w:i w:val="0"/>
          <w:color w:val="2E5C4E"/>
          <w:sz w:val="25"/>
        </w:rPr>
        <w:t>Cancellation</w:t>
      </w:r>
      <w:bookmarkEnd w:id="122"/>
    </w:p>
    <w:p>
      <w:r>
        <w:rPr>
          <w:b/>
          <w:i w:val="0"/>
        </w:rPr>
        <w:t>You</w:t>
      </w:r>
      <w:r>
        <w:rPr>
          <w:b w:val="0"/>
          <w:i w:val="0"/>
        </w:rPr>
        <w:t xml:space="preserve"> may cancel this policy at any time by telling us. We refund the premium for the unexpired period of insurance on a pro-rata basis, less any non-refundable government charges.</w:t>
      </w:r>
    </w:p>
    <w:p>
      <w:r>
        <w:rPr>
          <w:b/>
          <w:i w:val="0"/>
        </w:rPr>
        <w:t>We</w:t>
      </w:r>
      <w:r>
        <w:rPr>
          <w:b w:val="0"/>
          <w:i w:val="0"/>
        </w:rPr>
        <w:t xml:space="preserve"> may cancel this policy only as the Insurance Contracts Act 1984 (Cth) allows, by giving you written notice as that Act requires, and in any case not less than 30 days' written notice. We refund the premium for the unexpired period on a pro-rata basis.</w:t>
      </w:r>
    </w:p>
    <w:p>
      <w:r>
        <w:rPr>
          <w:b w:val="0"/>
          <w:i w:val="0"/>
        </w:rPr>
        <w:t>Cancellation does not affect a claim or circumstance already notified to us.</w:t>
      </w:r>
    </w:p>
    <w:p>
      <w:bookmarkStart w:id="123" w:name="c_imi_cond_change_of_control"/>
      <w:r>
        <w:rPr>
          <w:rFonts w:ascii="Georgia" w:hAnsi="Georgia" w:eastAsia="Georgia"/>
          <w:b/>
          <w:i w:val="0"/>
          <w:color w:val="2E5C4E"/>
          <w:sz w:val="25"/>
        </w:rPr>
        <w:t>Change of Control</w:t>
      </w:r>
      <w:bookmarkEnd w:id="123"/>
    </w:p>
    <w:p>
      <w:r>
        <w:rPr>
          <w:b w:val="0"/>
          <w:i w:val="0"/>
        </w:rPr>
        <w:t>If any person acquires more than 50% of the company's voting rights, this policy continues for the remainder of the policy period for pre-change-of-control wrongful acts only.</w:t>
      </w:r>
    </w:p>
    <w:p>
      <w:bookmarkStart w:id="124" w:name="c_imi_cond_newly_acquired_subsidiaries"/>
      <w:r>
        <w:rPr>
          <w:rFonts w:ascii="Georgia" w:hAnsi="Georgia" w:eastAsia="Georgia"/>
          <w:b/>
          <w:i w:val="0"/>
          <w:color w:val="2E5C4E"/>
          <w:sz w:val="25"/>
        </w:rPr>
        <w:t>Newly Acquired Subsidiaries</w:t>
      </w:r>
      <w:bookmarkEnd w:id="124"/>
    </w:p>
    <w:p>
      <w:r>
        <w:rPr>
          <w:b w:val="0"/>
          <w:i w:val="0"/>
        </w:rPr>
        <w:t>Automatic cover for 90 days from acquisition (revenue up to $10M; similar activities). Notify within 90 days.</w:t>
      </w:r>
    </w:p>
    <w:p>
      <w:bookmarkStart w:id="125" w:name="c_imi_cond_governing_law_jurisdiction_gs"/>
      <w:r>
        <w:rPr>
          <w:rFonts w:ascii="Georgia" w:hAnsi="Georgia" w:eastAsia="Georgia"/>
          <w:b/>
          <w:i w:val="0"/>
          <w:color w:val="2E5C4E"/>
          <w:sz w:val="25"/>
        </w:rPr>
        <w:t>Governing Law, Jurisdiction, GST, Privacy, Disputes</w:t>
      </w:r>
      <w:bookmarkEnd w:id="125"/>
    </w:p>
    <w:p>
      <w:r>
        <w:rPr>
          <w:b w:val="0"/>
          <w:i w:val="0"/>
        </w:rPr>
        <w:t>Governing law: the law of the state or territory shown in Item 10 of the schedule, fixed as at the inception of the policy period.</w:t>
      </w:r>
    </w:p>
    <w:p>
      <w:r>
        <w:rPr>
          <w:b w:val="0"/>
          <w:i w:val="0"/>
        </w:rPr>
        <w:t>Jurisdiction: each party submits to the non-exclusive jurisdiction of the courts of that state or territory, and courts competent to hear appeals from them.</w:t>
      </w:r>
    </w:p>
    <w:p>
      <w:r>
        <w:rPr>
          <w:b w:val="0"/>
          <w:i w:val="0"/>
        </w:rPr>
        <w:t>GST: amounts payable under this policy are reduced by any input tax credit entitlement under A New Tax System (Goods and Services Tax) Act 1999 (Cth), and are grossed up for GST where required.</w:t>
      </w:r>
    </w:p>
    <w:p>
      <w:r>
        <w:rPr>
          <w:b w:val="0"/>
          <w:i w:val="0"/>
        </w:rPr>
        <w:t>Privacy: information is handled in accordance with the Privacy Act 1988 (Cth).</w:t>
      </w:r>
    </w:p>
    <w:p>
      <w:r>
        <w:rPr>
          <w:b w:val="0"/>
          <w:i w:val="0"/>
        </w:rPr>
        <w:t>Disputes: if you are not satisfied with a decision we make, you may access our internal dispute resolution (IDR) process — details are available on request or in our Financial Services Guide. If you remain unsatisfied after IDR, you may lodge a complaint with the Australian Financial Complaints Authority (AFCA) — www.afca.org.au | 1800 931 678.</w:t>
      </w:r>
    </w:p>
    <w:p>
      <w:bookmarkStart w:id="126" w:name="c_imi_cond_insurance_contracts_act_savin"/>
      <w:r>
        <w:rPr>
          <w:rFonts w:ascii="Georgia" w:hAnsi="Georgia" w:eastAsia="Georgia"/>
          <w:b/>
          <w:i w:val="0"/>
          <w:color w:val="2E5C4E"/>
          <w:sz w:val="25"/>
        </w:rPr>
        <w:t>Insurance Contracts Act 1984 (Cth)</w:t>
      </w:r>
      <w:bookmarkEnd w:id="126"/>
    </w:p>
    <w:p>
      <w:r>
        <w:rPr>
          <w:b w:val="0"/>
          <w:i w:val="0"/>
        </w:rPr>
        <w:t>Nothing in this policy excludes, restricts or modifies the operation of the Insurance Contracts Act 1984 (Cth). Where this policy is inconsistent with the Act, the Act prevails.</w:t>
      </w:r>
    </w:p>
    <w:p>
      <w:r>
        <w:rPr>
          <w:b w:val="0"/>
          <w:i w:val="0"/>
        </w:rPr>
        <w:t xml:space="preserve">If this policy would otherwise let us refuse to pay a claim, in whole or in part, because of something you did or did not do after this policy was entered into, section 54 of the Act applies. We may not refuse to pay the claim only because of that act or omission. Our liability is reduced by the amount that fairly represents the extent to which our interests were prejudiced. Where the act or omission could reasonably be regarded as capable of causing or contributing to the loss, we may refuse to pay only the part of the claim that the act or omission caused or contributed to. We may not refuse any part that you prove the act or omission did not cause. This applies to every condition, exclusion, limit and obligation in this policy, not only to the claims conditions. It includes the time limits for discovery and notice in </w:t>
      </w:r>
      <w:hyperlink w:anchor="c_imi_section_crime">
        <w:r>
          <w:rPr>
            <w:color w:val="2E5C4E"/>
            <w:u w:val="single"/>
          </w:rPr>
          <w:t xml:space="preserve">the Crime section</w:t>
        </w:r>
      </w:hyperlink>
      <w:r>
        <w:rPr>
          <w:b w:val="0"/>
          <w:i w:val="0"/>
        </w:rPr>
        <w:t>.</w:t>
      </w:r>
    </w:p>
    <w:p>
      <w:bookmarkStart w:id="127" w:name="c_imi_cond_corporations_act_199a_199b"/>
      <w:r>
        <w:rPr>
          <w:rFonts w:ascii="Georgia" w:hAnsi="Georgia" w:eastAsia="Georgia"/>
          <w:b/>
          <w:i w:val="0"/>
          <w:color w:val="2E5C4E"/>
          <w:sz w:val="25"/>
        </w:rPr>
        <w:t>Corporations Act 2001 (Cth), sections 199A and 199B</w:t>
      </w:r>
      <w:bookmarkEnd w:id="127"/>
    </w:p>
    <w:p>
      <w:r>
        <w:rPr>
          <w:b w:val="0"/>
          <w:i w:val="0"/>
        </w:rPr>
        <w:t>Section 199A of the Corporations Act 2001 (Cth) limits the liabilities and legal costs for which a company may indemnify its officers. Section 199B prevents a company from paying a premium for insurance that covers an officer against a liability, other than one for legal costs, arising out of conduct involving a wilful breach of duty in relation to the company, or a contravention of section 182 or 183 of that Act.</w:t>
      </w:r>
    </w:p>
    <w:p>
      <w:r>
        <w:rPr>
          <w:b w:val="0"/>
          <w:i w:val="0"/>
        </w:rPr>
        <w:t>To the extent the company pays the premium, this policy does not cover an insured person for a liability, other than legal costs, that section 199B prevents the company from insuring. This does not reduce cover for any other liability, or for legal costs.</w:t>
      </w:r>
    </w:p>
    <w:p>
      <w:r>
        <w:rPr>
          <w:b w:val="0"/>
          <w:i w:val="0"/>
        </w:rPr>
        <w:t>[WP REVIEW: confirm this statement of ss 199A and 199B, and whether cover for a liability within s 199B can be provided where the insured person pays the relevant part of the premium.]</w:t>
      </w:r>
    </w:p>
    <w:p>
      <w:r>
        <w:rPr>
          <w:b w:val="0"/>
          <w:i w:val="0"/>
        </w:rPr>
        <w:t xml:space="preserve">This clause applies wherever a claim or regulatory proceeding under this policy involves a civil penalty proceeding, criminal proceeding, or compensation order proceeding under the Corporations Act 2001 (Cth). In those proceedings, we advance defence costs as they are incurred, on the same basis as </w:t>
      </w:r>
      <w:hyperlink w:anchor="c_imi_pay_defence_costs">
        <w:r>
          <w:rPr>
            <w:color w:val="2E5C4E"/>
            <w:u w:val="single"/>
          </w:rPr>
          <w:t xml:space="preserve">the Defence Costs provision</w:t>
        </w:r>
      </w:hyperlink>
      <w:r>
        <w:rPr>
          <w:b w:val="0"/>
          <w:i w:val="0"/>
        </w:rPr>
        <w:t>. If a final adjudication, or a court's finding, establishes conduct that this policy or the Corporations Act 2001 (Cth) does not allow to be covered, the insured person must repay the defence costs we advanced in connection with that finding (or, where we reimbursed the company for them, the company must repay them), to the extent we are not permitted to pay them.</w:t>
      </w:r>
    </w:p>
    <w:p>
      <w:bookmarkStart w:id="128" w:name="c_imi_cond_sanctions"/>
      <w:r>
        <w:rPr>
          <w:rFonts w:ascii="Georgia" w:hAnsi="Georgia" w:eastAsia="Georgia"/>
          <w:b/>
          <w:i w:val="0"/>
          <w:color w:val="2E5C4E"/>
          <w:sz w:val="25"/>
        </w:rPr>
        <w:t>Sanctions</w:t>
      </w:r>
      <w:bookmarkEnd w:id="128"/>
    </w:p>
    <w:p>
      <w:r>
        <w:rPr>
          <w:b w:val="0"/>
          <w:i w:val="0"/>
        </w:rPr>
        <w:t>We do not provide cover, pay any claim or provide any benefit under this policy to the extent that doing so would expose us to any sanction, prohibition or restriction under:</w:t>
      </w:r>
    </w:p>
    <w:p>
      <w:pPr>
        <w:pStyle w:val="ListBullet"/>
      </w:pPr>
      <w:r>
        <w:rPr>
          <w:b w:val="0"/>
          <w:i w:val="0"/>
        </w:rPr>
        <w:t>the Autonomous Sanctions Act 2011 (Cth), the Charter of the United Nations Act 1945 (Cth), or regulations made under either Act; or</w:t>
      </w:r>
    </w:p>
    <w:p>
      <w:pPr>
        <w:pStyle w:val="ListBullet"/>
      </w:pPr>
      <w:r>
        <w:rPr>
          <w:b w:val="0"/>
          <w:i w:val="0"/>
        </w:rPr>
        <w:t>the trade or economic sanctions laws of the United Kingdom, the United States of America or the European Union, to the extent they apply to us.</w:t>
      </w:r>
    </w:p>
    <w:p>
      <w:r>
        <w:rPr>
          <w:b w:val="0"/>
          <w:i w:val="0"/>
        </w:rPr>
        <w:t>[WP REVIEW: confirm that naming the UK, US and EU regimes is appropriate for Australian capacity; this is a deliberate library-wide scope choice.]</w:t>
      </w:r>
    </w:p>
    <w:p>
      <w:bookmarkStart w:id="129" w:name="c_imi_cond_fund_wind_up_run_off"/>
      <w:r>
        <w:rPr>
          <w:rFonts w:ascii="Georgia" w:hAnsi="Georgia" w:eastAsia="Georgia"/>
          <w:b/>
          <w:i w:val="0"/>
          <w:color w:val="2E5C4E"/>
          <w:sz w:val="25"/>
        </w:rPr>
        <w:t>Fund Wind-Up Run-Off</w:t>
      </w:r>
      <w:bookmarkEnd w:id="129"/>
    </w:p>
    <w:p>
      <w:r>
        <w:rPr>
          <w:b w:val="0"/>
          <w:i w:val="0"/>
        </w:rPr>
        <w:t xml:space="preserve">If a fund named in the schedule (or established during the policy period) winds up, terminates, or is transferred to another responsible entity or trustee during the policy period, cover under </w:t>
      </w:r>
      <w:hyperlink w:anchor="c_imi_section_pl">
        <w:r>
          <w:rPr>
            <w:color w:val="2E5C4E"/>
            <w:u w:val="single"/>
          </w:rPr>
          <w:t xml:space="preserve">the Professional Liability section</w:t>
        </w:r>
      </w:hyperlink>
      <w:r>
        <w:rPr>
          <w:b w:val="0"/>
          <w:i w:val="0"/>
        </w:rPr>
        <w:t xml:space="preserve">, </w:t>
      </w:r>
      <w:hyperlink w:anchor="c_imi_section_do">
        <w:r>
          <w:rPr>
            <w:color w:val="2E5C4E"/>
            <w:u w:val="single"/>
          </w:rPr>
          <w:t xml:space="preserve">the Directors' and Officers' Liability section</w:t>
        </w:r>
      </w:hyperlink>
      <w:r>
        <w:rPr>
          <w:b w:val="0"/>
          <w:i w:val="0"/>
        </w:rPr>
        <w:t xml:space="preserve">, and </w:t>
      </w:r>
      <w:hyperlink w:anchor="c_imi_section_crime">
        <w:r>
          <w:rPr>
            <w:color w:val="2E5C4E"/>
            <w:u w:val="single"/>
          </w:rPr>
          <w:t xml:space="preserve">the Crime section</w:t>
        </w:r>
      </w:hyperlink>
      <w:r>
        <w:rPr>
          <w:b w:val="0"/>
          <w:i w:val="0"/>
        </w:rPr>
        <w:t xml:space="preserve"> continues in respect of that fund, on this policy's terms and within its limits, for wrongful acts and dishonest acts occurring before the wind-up, termination, or transfer, until the earlier of: (a) the expiry of the policy period (including any Extended Reporting Period under </w:t>
      </w:r>
      <w:hyperlink w:anchor="c_imi_cond_extended_reporting_period">
        <w:r>
          <w:rPr>
            <w:color w:val="2E5C4E"/>
            <w:u w:val="single"/>
          </w:rPr>
          <w:t xml:space="preserve">the Extended Reporting Period condition</w:t>
        </w:r>
      </w:hyperlink>
      <w:r>
        <w:rPr>
          <w:b w:val="0"/>
          <w:i w:val="0"/>
        </w:rPr>
        <w:t xml:space="preserve"> or extended discovery period under </w:t>
      </w:r>
      <w:hyperlink w:anchor="c_imi_cond_extended_discovery_period_cri">
        <w:r>
          <w:rPr>
            <w:color w:val="2E5C4E"/>
            <w:u w:val="single"/>
          </w:rPr>
          <w:t xml:space="preserve">the Extended Discovery Period — Crime condition</w:t>
        </w:r>
      </w:hyperlink>
      <w:r>
        <w:rPr>
          <w:b w:val="0"/>
          <w:i w:val="0"/>
        </w:rPr>
        <w:t xml:space="preserve"> that applies); or (b) the fund obtaining its own separate insurance covering the same period.</w:t>
      </w:r>
    </w:p>
    <w:p>
      <w:r>
        <w:rPr>
          <w:b w:val="0"/>
          <w:i w:val="0"/>
        </w:rPr>
        <w:t xml:space="preserve">This clause does not extend the policy period or create a separate limit for the affected fund; </w:t>
      </w:r>
      <w:hyperlink w:anchor="c_imi_pay_multiple_funds_limit_sharing">
        <w:r>
          <w:rPr>
            <w:color w:val="2E5C4E"/>
            <w:u w:val="single"/>
          </w:rPr>
          <w:t xml:space="preserve">the Multiple Funds — Limit Sharing provision</w:t>
        </w:r>
      </w:hyperlink>
      <w:r>
        <w:rPr>
          <w:b w:val="0"/>
          <w:i w:val="0"/>
        </w:rPr>
        <w:t xml:space="preserve"> (Multiple Funds — Limit Sharing) continues to apply.</w:t>
      </w:r>
    </w:p>
    <w:p>
      <w:bookmarkStart w:id="130" w:name="c_imi_section_appendix_guide"/>
      <w:r>
        <w:rPr>
          <w:rFonts w:ascii="Georgia" w:hAnsi="Georgia" w:eastAsia="Georgia"/>
          <w:b/>
          <w:i w:val="0"/>
          <w:color w:val="1C1915"/>
          <w:sz w:val="32"/>
        </w:rPr>
        <w:t>Appendix A — Investment Managers: A Practical Guide</w:t>
      </w:r>
      <w:bookmarkEnd w:id="130"/>
    </w:p>
    <w:p>
      <w:r>
        <w:rPr>
          <w:b w:val="0"/>
          <w:i w:val="0"/>
        </w:rPr>
        <w:t>This appendix is provided for context and is not part of the operative policy wording. It does not form part of the contract of insurance, does not change any cover, exclusion, condition, or limit stated in the operative sections of this policy, and is not to be used to interpret them. Where anything in this appendix conflicts with the operative sections of this policy, the operative sections of this policy govern.</w:t>
      </w:r>
    </w:p>
    <w:p>
      <w:bookmarkStart w:id="131" w:name="c_imi_guide_why_integrated"/>
      <w:r>
        <w:rPr>
          <w:rFonts w:ascii="Georgia" w:hAnsi="Georgia" w:eastAsia="Georgia"/>
          <w:b/>
          <w:i w:val="0"/>
          <w:color w:val="1C1915"/>
          <w:sz w:val="32"/>
        </w:rPr>
        <w:t>Why an integrated policy, not separate covers?</w:t>
      </w:r>
      <w:bookmarkEnd w:id="131"/>
    </w:p>
    <w:tbl>
      <w:tblPr>
        <w:tblStyle w:val="TableGrid"/>
        <w:tblW w:type="auto" w:w="0"/>
        <w:tblLook w:firstColumn="1" w:firstRow="1" w:lastColumn="0" w:lastRow="0" w:noHBand="0" w:noVBand="1" w:val="04A0"/>
      </w:tblPr>
      <w:tblGrid>
        <w:gridCol w:w="3249"/>
        <w:gridCol w:w="3249"/>
        <w:gridCol w:w="3249"/>
      </w:tblGrid>
      <w:tr>
        <w:tc>
          <w:tcPr>
            <w:tcW w:type="dxa" w:w="3249"/>
          </w:tcPr>
          <w:p>
            <w:r/>
            <w:r>
              <w:rPr>
                <w:b/>
                <w:i w:val="0"/>
              </w:rPr>
              <w:t>Scenario</w:t>
            </w:r>
          </w:p>
        </w:tc>
        <w:tc>
          <w:tcPr>
            <w:tcW w:type="dxa" w:w="3249"/>
          </w:tcPr>
          <w:p>
            <w:r/>
            <w:r>
              <w:rPr>
                <w:b/>
                <w:i w:val="0"/>
              </w:rPr>
              <w:t>Separate PI + D&amp;O + Crime</w:t>
            </w:r>
          </w:p>
        </w:tc>
        <w:tc>
          <w:tcPr>
            <w:tcW w:type="dxa" w:w="3249"/>
          </w:tcPr>
          <w:p>
            <w:r/>
            <w:r>
              <w:rPr>
                <w:b/>
                <w:i w:val="0"/>
              </w:rPr>
              <w:t>Meridian IMI</w:t>
            </w:r>
          </w:p>
        </w:tc>
      </w:tr>
      <w:tr>
        <w:tc>
          <w:tcPr>
            <w:tcW w:type="dxa" w:w="3249"/>
          </w:tcPr>
          <w:p>
            <w:r/>
            <w:r>
              <w:rPr>
                <w:b w:val="0"/>
                <w:i w:val="0"/>
              </w:rPr>
              <w:t>Employee commits fraud, investors sue for negligent supervision</w:t>
            </w:r>
          </w:p>
        </w:tc>
        <w:tc>
          <w:tcPr>
            <w:tcW w:type="dxa" w:w="3249"/>
          </w:tcPr>
          <w:p>
            <w:r/>
            <w:r>
              <w:rPr>
                <w:b w:val="0"/>
                <w:i w:val="0"/>
              </w:rPr>
              <w:t>Two policies respond. Allocation disputes between PI and D&amp;O insurers. Two excesses.</w:t>
            </w:r>
          </w:p>
        </w:tc>
        <w:tc>
          <w:tcPr>
            <w:tcW w:type="dxa" w:w="3249"/>
          </w:tcPr>
          <w:p>
            <w:r/>
            <w:r>
              <w:rPr>
                <w:b w:val="0"/>
                <w:i w:val="0"/>
              </w:rPr>
              <w:t>One policy. One claims team. One excess. Clear cross-section application (</w:t>
            </w:r>
            <w:hyperlink w:anchor="c_imi_pay_cross_section_application">
              <w:r>
                <w:rPr>
                  <w:color w:val="2E5C4E"/>
                  <w:u w:val="single"/>
                </w:rPr>
                <w:t xml:space="preserve">the Cross-Section Application provision</w:t>
              </w:r>
            </w:hyperlink>
            <w:r>
              <w:rPr>
                <w:b w:val="0"/>
                <w:i w:val="0"/>
              </w:rPr>
              <w:t>).</w:t>
            </w:r>
          </w:p>
        </w:tc>
      </w:tr>
      <w:tr>
        <w:tc>
          <w:tcPr>
            <w:tcW w:type="dxa" w:w="3249"/>
          </w:tcPr>
          <w:p>
            <w:r/>
            <w:r>
              <w:rPr>
                <w:b w:val="0"/>
                <w:i w:val="0"/>
              </w:rPr>
              <w:t>ASIC investigates your compliance. Is it PI or D&amp;O?</w:t>
            </w:r>
          </w:p>
        </w:tc>
        <w:tc>
          <w:tcPr>
            <w:tcW w:type="dxa" w:w="3249"/>
          </w:tcPr>
          <w:p>
            <w:r/>
            <w:r>
              <w:rPr>
                <w:b w:val="0"/>
                <w:i w:val="0"/>
              </w:rPr>
              <w:t>Coverage depends on how the claim is characterised. Risk of gap.</w:t>
            </w:r>
          </w:p>
        </w:tc>
        <w:tc>
          <w:tcPr>
            <w:tcW w:type="dxa" w:w="3249"/>
          </w:tcPr>
          <w:p>
            <w:r/>
            <w:hyperlink w:anchor="c_imi_section_pl">
              <w:r>
                <w:rPr>
                  <w:color w:val="2E5C4E"/>
                  <w:u w:val="single"/>
                </w:rPr>
                <w:t xml:space="preserve">The Professional Liability section</w:t>
              </w:r>
            </w:hyperlink>
            <w:r>
              <w:rPr>
                <w:b w:val="0"/>
                <w:i w:val="0"/>
              </w:rPr>
              <w:t xml:space="preserve"> covers regulatory proceedings regardless of characterisation.</w:t>
            </w:r>
          </w:p>
        </w:tc>
      </w:tr>
      <w:tr>
        <w:tc>
          <w:tcPr>
            <w:tcW w:type="dxa" w:w="3249"/>
          </w:tcPr>
          <w:p>
            <w:r/>
            <w:r>
              <w:rPr>
                <w:b w:val="0"/>
                <w:i w:val="0"/>
              </w:rPr>
              <w:t>Portfolio manager deliberately misallocates trades. Is it crime or PI?</w:t>
            </w:r>
          </w:p>
        </w:tc>
        <w:tc>
          <w:tcPr>
            <w:tcW w:type="dxa" w:w="3249"/>
          </w:tcPr>
          <w:p>
            <w:r/>
            <w:r>
              <w:rPr>
                <w:b w:val="0"/>
                <w:i w:val="0"/>
              </w:rPr>
              <w:t>Crime insurer says it's a PI claim (professional services). PI insurer says it's crime (dishonest act).</w:t>
            </w:r>
          </w:p>
        </w:tc>
        <w:tc>
          <w:tcPr>
            <w:tcW w:type="dxa" w:w="3249"/>
          </w:tcPr>
          <w:p>
            <w:r/>
            <w:hyperlink w:anchor="c_imi_section_crime">
              <w:r>
                <w:rPr>
                  <w:color w:val="2E5C4E"/>
                  <w:u w:val="single"/>
                </w:rPr>
                <w:t xml:space="preserve">The Crime section</w:t>
              </w:r>
            </w:hyperlink>
            <w:r>
              <w:rPr>
                <w:b w:val="0"/>
                <w:i w:val="0"/>
              </w:rPr>
              <w:t xml:space="preserve"> covers the theft. </w:t>
            </w:r>
            <w:hyperlink w:anchor="c_imi_section_pl">
              <w:r>
                <w:rPr>
                  <w:color w:val="2E5C4E"/>
                  <w:u w:val="single"/>
                </w:rPr>
                <w:t xml:space="preserve">The Professional Liability section</w:t>
              </w:r>
            </w:hyperlink>
            <w:r>
              <w:rPr>
                <w:b w:val="0"/>
                <w:i w:val="0"/>
              </w:rPr>
              <w:t xml:space="preserve"> covers the investor's negligent supervision claim. Both respond.</w:t>
            </w:r>
          </w:p>
        </w:tc>
      </w:tr>
      <w:tr>
        <w:tc>
          <w:tcPr>
            <w:tcW w:type="dxa" w:w="3249"/>
          </w:tcPr>
          <w:p>
            <w:r/>
            <w:r>
              <w:rPr>
                <w:b w:val="0"/>
                <w:i w:val="0"/>
              </w:rPr>
              <w:t>AFCA complaint about advice quality. Who pays?</w:t>
            </w:r>
          </w:p>
        </w:tc>
        <w:tc>
          <w:tcPr>
            <w:tcW w:type="dxa" w:w="3249"/>
          </w:tcPr>
          <w:p>
            <w:r/>
            <w:r>
              <w:rPr>
                <w:b w:val="0"/>
                <w:i w:val="0"/>
              </w:rPr>
              <w:t>May fall between PI and D&amp;O.</w:t>
            </w:r>
          </w:p>
        </w:tc>
        <w:tc>
          <w:tcPr>
            <w:tcW w:type="dxa" w:w="3249"/>
          </w:tcPr>
          <w:p>
            <w:r/>
            <w:hyperlink w:anchor="c_imi_cover_afca_complaints">
              <w:r>
                <w:rPr>
                  <w:color w:val="2E5C4E"/>
                  <w:u w:val="single"/>
                </w:rPr>
                <w:t xml:space="preserve">The AFCA Complaints clause</w:t>
              </w:r>
            </w:hyperlink>
            <w:r>
              <w:rPr>
                <w:b w:val="0"/>
                <w:i w:val="0"/>
              </w:rPr>
              <w:t xml:space="preserve"> explicitly covers AFCA complaints.</w:t>
            </w:r>
          </w:p>
        </w:tc>
      </w:tr>
    </w:tbl>
    <w:p>
      <w:bookmarkStart w:id="132" w:name="c_imi_guide_regulatory_obligations"/>
      <w:r>
        <w:rPr>
          <w:rFonts w:ascii="Georgia" w:hAnsi="Georgia" w:eastAsia="Georgia"/>
          <w:b/>
          <w:i w:val="0"/>
          <w:color w:val="1C1915"/>
          <w:sz w:val="32"/>
        </w:rPr>
        <w:t>Key regulatory obligations for investment managers</w:t>
      </w:r>
      <w:bookmarkEnd w:id="132"/>
    </w:p>
    <w:tbl>
      <w:tblPr>
        <w:tblStyle w:val="TableGrid"/>
        <w:tblW w:type="auto" w:w="0"/>
        <w:tblLook w:firstColumn="1" w:firstRow="1" w:lastColumn="0" w:lastRow="0" w:noHBand="0" w:noVBand="1" w:val="04A0"/>
      </w:tblPr>
      <w:tblGrid>
        <w:gridCol w:w="3249"/>
        <w:gridCol w:w="3249"/>
        <w:gridCol w:w="3249"/>
      </w:tblGrid>
      <w:tr>
        <w:tc>
          <w:tcPr>
            <w:tcW w:type="dxa" w:w="3249"/>
          </w:tcPr>
          <w:p>
            <w:r/>
            <w:r>
              <w:rPr>
                <w:b/>
                <w:i w:val="0"/>
              </w:rPr>
              <w:t>Obligation</w:t>
            </w:r>
          </w:p>
        </w:tc>
        <w:tc>
          <w:tcPr>
            <w:tcW w:type="dxa" w:w="3249"/>
          </w:tcPr>
          <w:p>
            <w:r/>
            <w:r>
              <w:rPr>
                <w:b/>
                <w:i w:val="0"/>
              </w:rPr>
              <w:t>Source</w:t>
            </w:r>
          </w:p>
        </w:tc>
        <w:tc>
          <w:tcPr>
            <w:tcW w:type="dxa" w:w="3249"/>
          </w:tcPr>
          <w:p>
            <w:r/>
            <w:r>
              <w:rPr>
                <w:b/>
                <w:i w:val="0"/>
              </w:rPr>
              <w:t>How this policy helps</w:t>
            </w:r>
          </w:p>
        </w:tc>
      </w:tr>
      <w:tr>
        <w:tc>
          <w:tcPr>
            <w:tcW w:type="dxa" w:w="3249"/>
          </w:tcPr>
          <w:p>
            <w:r/>
            <w:r>
              <w:rPr>
                <w:b w:val="0"/>
                <w:i w:val="0"/>
              </w:rPr>
              <w:t>Best interests duty</w:t>
            </w:r>
          </w:p>
        </w:tc>
        <w:tc>
          <w:tcPr>
            <w:tcW w:type="dxa" w:w="3249"/>
          </w:tcPr>
          <w:p>
            <w:r/>
            <w:r>
              <w:rPr>
                <w:b w:val="0"/>
                <w:i w:val="0"/>
              </w:rPr>
              <w:t>s 961B Corporations Act</w:t>
            </w:r>
          </w:p>
        </w:tc>
        <w:tc>
          <w:tcPr>
            <w:tcW w:type="dxa" w:w="3249"/>
          </w:tcPr>
          <w:p>
            <w:r/>
            <w:hyperlink w:anchor="c_imi_section_pl">
              <w:r>
                <w:rPr>
                  <w:color w:val="2E5C4E"/>
                  <w:u w:val="single"/>
                </w:rPr>
                <w:t xml:space="preserve">The Professional Liability section</w:t>
              </w:r>
            </w:hyperlink>
            <w:r>
              <w:rPr>
                <w:b w:val="0"/>
                <w:i w:val="0"/>
              </w:rPr>
              <w:t xml:space="preserve"> covers claims alleging breach</w:t>
            </w:r>
          </w:p>
        </w:tc>
      </w:tr>
      <w:tr>
        <w:tc>
          <w:tcPr>
            <w:tcW w:type="dxa" w:w="3249"/>
          </w:tcPr>
          <w:p>
            <w:r/>
            <w:r>
              <w:rPr>
                <w:b w:val="0"/>
                <w:i w:val="0"/>
              </w:rPr>
              <w:t>Responsible entity duties</w:t>
            </w:r>
          </w:p>
        </w:tc>
        <w:tc>
          <w:tcPr>
            <w:tcW w:type="dxa" w:w="3249"/>
          </w:tcPr>
          <w:p>
            <w:r/>
            <w:r>
              <w:rPr>
                <w:b w:val="0"/>
                <w:i w:val="0"/>
              </w:rPr>
              <w:t>Chapter 5C Corporations Act</w:t>
            </w:r>
          </w:p>
        </w:tc>
        <w:tc>
          <w:tcPr>
            <w:tcW w:type="dxa" w:w="3249"/>
          </w:tcPr>
          <w:p>
            <w:r/>
            <w:hyperlink w:anchor="c_imi_section_pl">
              <w:r>
                <w:rPr>
                  <w:color w:val="2E5C4E"/>
                  <w:u w:val="single"/>
                </w:rPr>
                <w:t xml:space="preserve">The Professional Liability section</w:t>
              </w:r>
            </w:hyperlink>
            <w:r>
              <w:rPr>
                <w:b w:val="0"/>
                <w:i w:val="0"/>
              </w:rPr>
              <w:t xml:space="preserve"> — fiduciary duty cover</w:t>
            </w:r>
          </w:p>
        </w:tc>
      </w:tr>
      <w:tr>
        <w:tc>
          <w:tcPr>
            <w:tcW w:type="dxa" w:w="3249"/>
          </w:tcPr>
          <w:p>
            <w:r/>
            <w:r>
              <w:rPr>
                <w:b w:val="0"/>
                <w:i w:val="0"/>
              </w:rPr>
              <w:t>Best financial interests (super)</w:t>
            </w:r>
          </w:p>
        </w:tc>
        <w:tc>
          <w:tcPr>
            <w:tcW w:type="dxa" w:w="3249"/>
          </w:tcPr>
          <w:p>
            <w:r/>
            <w:r>
              <w:rPr>
                <w:b w:val="0"/>
                <w:i w:val="0"/>
              </w:rPr>
              <w:t>s 52(2)(c) SIS Act</w:t>
            </w:r>
          </w:p>
        </w:tc>
        <w:tc>
          <w:tcPr>
            <w:tcW w:type="dxa" w:w="3249"/>
          </w:tcPr>
          <w:p>
            <w:r/>
            <w:hyperlink w:anchor="c_imi_cover_financial_services_liability">
              <w:r>
                <w:rPr>
                  <w:color w:val="2E5C4E"/>
                  <w:u w:val="single"/>
                </w:rPr>
                <w:t xml:space="preserve">The Financial Services Liability clause</w:t>
              </w:r>
            </w:hyperlink>
            <w:r>
              <w:rPr>
                <w:b w:val="0"/>
                <w:i w:val="0"/>
              </w:rPr>
              <w:t>(vii) — express coverage</w:t>
            </w:r>
          </w:p>
        </w:tc>
      </w:tr>
      <w:tr>
        <w:tc>
          <w:tcPr>
            <w:tcW w:type="dxa" w:w="3249"/>
          </w:tcPr>
          <w:p>
            <w:r/>
            <w:r>
              <w:rPr>
                <w:b w:val="0"/>
                <w:i w:val="0"/>
              </w:rPr>
              <w:t>Design and distribution</w:t>
            </w:r>
          </w:p>
        </w:tc>
        <w:tc>
          <w:tcPr>
            <w:tcW w:type="dxa" w:w="3249"/>
          </w:tcPr>
          <w:p>
            <w:r/>
            <w:r>
              <w:rPr>
                <w:b w:val="0"/>
                <w:i w:val="0"/>
              </w:rPr>
              <w:t>Part 7.8A Corporations Act</w:t>
            </w:r>
          </w:p>
        </w:tc>
        <w:tc>
          <w:tcPr>
            <w:tcW w:type="dxa" w:w="3249"/>
          </w:tcPr>
          <w:p>
            <w:r/>
            <w:hyperlink w:anchor="c_imi_section_pl">
              <w:r>
                <w:rPr>
                  <w:color w:val="2E5C4E"/>
                  <w:u w:val="single"/>
                </w:rPr>
                <w:t xml:space="preserve">The Professional Liability section</w:t>
              </w:r>
            </w:hyperlink>
            <w:r>
              <w:rPr>
                <w:b w:val="0"/>
                <w:i w:val="0"/>
              </w:rPr>
              <w:t xml:space="preserve"> — DDO coverage including ASIC enforcement</w:t>
            </w:r>
          </w:p>
        </w:tc>
      </w:tr>
      <w:tr>
        <w:tc>
          <w:tcPr>
            <w:tcW w:type="dxa" w:w="3249"/>
          </w:tcPr>
          <w:p>
            <w:r/>
            <w:r>
              <w:rPr>
                <w:b w:val="0"/>
                <w:i w:val="0"/>
              </w:rPr>
              <w:t>FAR accountability</w:t>
            </w:r>
          </w:p>
        </w:tc>
        <w:tc>
          <w:tcPr>
            <w:tcW w:type="dxa" w:w="3249"/>
          </w:tcPr>
          <w:p>
            <w:r/>
            <w:r>
              <w:rPr>
                <w:b w:val="0"/>
                <w:i w:val="0"/>
              </w:rPr>
              <w:t>FAR Act 2023</w:t>
            </w:r>
          </w:p>
        </w:tc>
        <w:tc>
          <w:tcPr>
            <w:tcW w:type="dxa" w:w="3249"/>
          </w:tcPr>
          <w:p>
            <w:r/>
            <w:hyperlink w:anchor="c_imi_ext_far_proceeding_costs">
              <w:r>
                <w:rPr>
                  <w:color w:val="2E5C4E"/>
                  <w:u w:val="single"/>
                </w:rPr>
                <w:t xml:space="preserve">The FAR Proceeding Costs extension</w:t>
              </w:r>
            </w:hyperlink>
            <w:r>
              <w:rPr>
                <w:b w:val="0"/>
                <w:i w:val="0"/>
              </w:rPr>
              <w:t xml:space="preserve"> — FAR proceeding costs + deferred remuneration</w:t>
            </w:r>
          </w:p>
        </w:tc>
      </w:tr>
      <w:tr>
        <w:tc>
          <w:tcPr>
            <w:tcW w:type="dxa" w:w="3249"/>
          </w:tcPr>
          <w:p>
            <w:r/>
            <w:r>
              <w:rPr>
                <w:b w:val="0"/>
                <w:i w:val="0"/>
              </w:rPr>
              <w:t>AML/CTF compliance</w:t>
            </w:r>
          </w:p>
        </w:tc>
        <w:tc>
          <w:tcPr>
            <w:tcW w:type="dxa" w:w="3249"/>
          </w:tcPr>
          <w:p>
            <w:r/>
            <w:r>
              <w:rPr>
                <w:b w:val="0"/>
                <w:i w:val="0"/>
              </w:rPr>
              <w:t>AML/CTF Act 2006</w:t>
            </w:r>
          </w:p>
        </w:tc>
        <w:tc>
          <w:tcPr>
            <w:tcW w:type="dxa" w:w="3249"/>
          </w:tcPr>
          <w:p>
            <w:r/>
            <w:hyperlink w:anchor="c_imi_cover_financial_services_liability">
              <w:r>
                <w:rPr>
                  <w:color w:val="2E5C4E"/>
                  <w:u w:val="single"/>
                </w:rPr>
                <w:t xml:space="preserve">The Financial Services Liability clause</w:t>
              </w:r>
            </w:hyperlink>
            <w:r>
              <w:rPr>
                <w:b w:val="0"/>
                <w:i w:val="0"/>
              </w:rPr>
              <w:t>(ix) — AUSTRAC investigations</w:t>
            </w:r>
          </w:p>
        </w:tc>
      </w:tr>
      <w:tr>
        <w:tc>
          <w:tcPr>
            <w:tcW w:type="dxa" w:w="3249"/>
          </w:tcPr>
          <w:p>
            <w:r/>
            <w:r>
              <w:rPr>
                <w:b w:val="0"/>
                <w:i w:val="0"/>
              </w:rPr>
              <w:t>Continuous disclosure (listed funds)</w:t>
            </w:r>
          </w:p>
        </w:tc>
        <w:tc>
          <w:tcPr>
            <w:tcW w:type="dxa" w:w="3249"/>
          </w:tcPr>
          <w:p>
            <w:r/>
            <w:r>
              <w:rPr>
                <w:b w:val="0"/>
                <w:i w:val="0"/>
              </w:rPr>
              <w:t>ASX Listing Rules / s 674</w:t>
            </w:r>
          </w:p>
        </w:tc>
        <w:tc>
          <w:tcPr>
            <w:tcW w:type="dxa" w:w="3249"/>
          </w:tcPr>
          <w:p>
            <w:r/>
            <w:hyperlink w:anchor="c_imi_section_pl">
              <w:r>
                <w:rPr>
                  <w:color w:val="2E5C4E"/>
                  <w:u w:val="single"/>
                </w:rPr>
                <w:t xml:space="preserve">The Professional Liability section</w:t>
              </w:r>
            </w:hyperlink>
            <w:r>
              <w:rPr>
                <w:b w:val="0"/>
                <w:i w:val="0"/>
              </w:rPr>
              <w:t xml:space="preserve"> — continuous disclosure breach</w:t>
            </w:r>
          </w:p>
        </w:tc>
      </w:tr>
      <w:tr>
        <w:tc>
          <w:tcPr>
            <w:tcW w:type="dxa" w:w="3249"/>
          </w:tcPr>
          <w:p>
            <w:r/>
            <w:r>
              <w:rPr>
                <w:b w:val="0"/>
                <w:i w:val="0"/>
              </w:rPr>
              <w:t>Unit pricing and valuations</w:t>
            </w:r>
          </w:p>
        </w:tc>
        <w:tc>
          <w:tcPr>
            <w:tcW w:type="dxa" w:w="3249"/>
          </w:tcPr>
          <w:p>
            <w:r/>
            <w:r>
              <w:rPr>
                <w:b w:val="0"/>
                <w:i w:val="0"/>
              </w:rPr>
              <w:t>ASIC RG 134</w:t>
            </w:r>
          </w:p>
        </w:tc>
        <w:tc>
          <w:tcPr>
            <w:tcW w:type="dxa" w:w="3249"/>
          </w:tcPr>
          <w:p>
            <w:r/>
            <w:hyperlink w:anchor="c_imi_section_pl">
              <w:r>
                <w:rPr>
                  <w:color w:val="2E5C4E"/>
                  <w:u w:val="single"/>
                </w:rPr>
                <w:t xml:space="preserve">The Professional Liability section</w:t>
              </w:r>
            </w:hyperlink>
            <w:r>
              <w:rPr>
                <w:b w:val="0"/>
                <w:i w:val="0"/>
              </w:rPr>
              <w:t xml:space="preserve"> — errors in unit pricing</w:t>
            </w:r>
          </w:p>
        </w:tc>
      </w:tr>
    </w:tbl>
    <w:p>
      <w:bookmarkStart w:id="133" w:name="c_imi_endorsement_library"/>
      <w:r>
        <w:rPr>
          <w:rFonts w:ascii="Georgia" w:hAnsi="Georgia" w:eastAsia="Georgia"/>
          <w:b/>
          <w:i w:val="0"/>
          <w:color w:val="1C1915"/>
          <w:sz w:val="32"/>
        </w:rPr>
        <w:t>Endorsement Library</w:t>
      </w:r>
      <w:bookmarkEnd w:id="133"/>
    </w:p>
    <w:p>
      <w:r>
        <w:rPr>
          <w:b w:val="0"/>
          <w:i w:val="0"/>
        </w:rPr>
        <w:t>An endorsement applies only if its code is shown in the schedule. Each endorsement changes this policy only as it states, and is read together with the variables (sub-limits, excesses, periods, named sections, funds and parties) shown for it in the schedule. Where an endorsement and the rest of this policy conflict, the endorsement applies to the extent of the conflict. If a variable an endorsement needs is not shown in the schedule, the endorsement does not apply until we show the variable in the schedule. These endorsements are for use with version 1.4.x of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US and Canada Jurisdiction Extension</w:t>
            </w:r>
          </w:p>
        </w:tc>
        <w:tc>
          <w:tcPr>
            <w:tcW w:type="dxa" w:w="3249"/>
          </w:tcPr>
          <w:p>
            <w:r/>
            <w:r>
              <w:rPr>
                <w:b w:val="0"/>
                <w:i w:val="0"/>
              </w:rPr>
              <w:t>Writes back the US / Canada Jurisdiction exclusion for the sections and subsidiaries named</w:t>
            </w:r>
          </w:p>
        </w:tc>
      </w:tr>
      <w:tr>
        <w:tc>
          <w:tcPr>
            <w:tcW w:type="dxa" w:w="3249"/>
          </w:tcPr>
          <w:p>
            <w:r/>
            <w:r>
              <w:rPr>
                <w:b w:val="0"/>
                <w:i w:val="0"/>
              </w:rPr>
              <w:t>E02</w:t>
            </w:r>
          </w:p>
        </w:tc>
        <w:tc>
          <w:tcPr>
            <w:tcW w:type="dxa" w:w="3249"/>
          </w:tcPr>
          <w:p>
            <w:r/>
            <w:r>
              <w:rPr>
                <w:b w:val="0"/>
                <w:i w:val="0"/>
              </w:rPr>
              <w:t>Superannuation Trustee — Enhanced</w:t>
            </w:r>
          </w:p>
        </w:tc>
        <w:tc>
          <w:tcPr>
            <w:tcW w:type="dxa" w:w="3249"/>
          </w:tcPr>
          <w:p>
            <w:r/>
            <w:r>
              <w:rPr>
                <w:b w:val="0"/>
                <w:i w:val="0"/>
              </w:rPr>
              <w:t>Extends the superannuation cover for RSE licensees</w:t>
            </w:r>
          </w:p>
        </w:tc>
      </w:tr>
      <w:tr>
        <w:tc>
          <w:tcPr>
            <w:tcW w:type="dxa" w:w="3249"/>
          </w:tcPr>
          <w:p>
            <w:r/>
            <w:r>
              <w:rPr>
                <w:b w:val="0"/>
                <w:i w:val="0"/>
              </w:rPr>
              <w:t>E03</w:t>
            </w:r>
          </w:p>
        </w:tc>
        <w:tc>
          <w:tcPr>
            <w:tcW w:type="dxa" w:w="3249"/>
          </w:tcPr>
          <w:p>
            <w:r/>
            <w:r>
              <w:rPr>
                <w:b w:val="0"/>
                <w:i w:val="0"/>
              </w:rPr>
              <w:t>Responsible Entity — Enhanced</w:t>
            </w:r>
          </w:p>
        </w:tc>
        <w:tc>
          <w:tcPr>
            <w:tcW w:type="dxa" w:w="3249"/>
          </w:tcPr>
          <w:p>
            <w:r/>
            <w:r>
              <w:rPr>
                <w:b w:val="0"/>
                <w:i w:val="0"/>
              </w:rPr>
              <w:t>Extends the cover for responsible entity duties, continuous disclosure and related party transactions</w:t>
            </w:r>
          </w:p>
        </w:tc>
      </w:tr>
      <w:tr>
        <w:tc>
          <w:tcPr>
            <w:tcW w:type="dxa" w:w="3249"/>
          </w:tcPr>
          <w:p>
            <w:r/>
            <w:r>
              <w:rPr>
                <w:b w:val="0"/>
                <w:i w:val="0"/>
              </w:rPr>
              <w:t>E04</w:t>
            </w:r>
          </w:p>
        </w:tc>
        <w:tc>
          <w:tcPr>
            <w:tcW w:type="dxa" w:w="3249"/>
          </w:tcPr>
          <w:p>
            <w:r/>
            <w:r>
              <w:rPr>
                <w:b w:val="0"/>
                <w:i w:val="0"/>
              </w:rPr>
              <w:t>Alternative Strategies</w:t>
            </w:r>
          </w:p>
        </w:tc>
        <w:tc>
          <w:tcPr>
            <w:tcW w:type="dxa" w:w="3249"/>
          </w:tcPr>
          <w:p>
            <w:r/>
            <w:r>
              <w:rPr>
                <w:b w:val="0"/>
                <w:i w:val="0"/>
              </w:rPr>
              <w:t>Extends the cover for performance-fee clawback, side pockets, gates and redemption suspension</w:t>
            </w:r>
          </w:p>
        </w:tc>
      </w:tr>
      <w:tr>
        <w:tc>
          <w:tcPr>
            <w:tcW w:type="dxa" w:w="3249"/>
          </w:tcPr>
          <w:p>
            <w:r/>
            <w:r>
              <w:rPr>
                <w:b w:val="0"/>
                <w:i w:val="0"/>
              </w:rPr>
              <w:t>E05</w:t>
            </w:r>
          </w:p>
        </w:tc>
        <w:tc>
          <w:tcPr>
            <w:tcW w:type="dxa" w:w="3249"/>
          </w:tcPr>
          <w:p>
            <w:r/>
            <w:r>
              <w:rPr>
                <w:b w:val="0"/>
                <w:i w:val="0"/>
              </w:rPr>
              <w:t>Custodian Failure — Enhanced</w:t>
            </w:r>
          </w:p>
        </w:tc>
        <w:tc>
          <w:tcPr>
            <w:tcW w:type="dxa" w:w="3249"/>
          </w:tcPr>
          <w:p>
            <w:r/>
            <w:r>
              <w:rPr>
                <w:b w:val="0"/>
                <w:i w:val="0"/>
              </w:rPr>
              <w:t>Covers claims arising from custodian insolvency or commingling of fund assets, to a sub-limit</w:t>
            </w:r>
          </w:p>
        </w:tc>
      </w:tr>
      <w:tr>
        <w:tc>
          <w:tcPr>
            <w:tcW w:type="dxa" w:w="3249"/>
          </w:tcPr>
          <w:p>
            <w:r/>
            <w:r>
              <w:rPr>
                <w:b w:val="0"/>
                <w:i w:val="0"/>
              </w:rPr>
              <w:t>E06</w:t>
            </w:r>
          </w:p>
        </w:tc>
        <w:tc>
          <w:tcPr>
            <w:tcW w:type="dxa" w:w="3249"/>
          </w:tcPr>
          <w:p>
            <w:r/>
            <w:r>
              <w:rPr>
                <w:b w:val="0"/>
                <w:i w:val="0"/>
              </w:rPr>
              <w:t>ESG and Greenwashing</w:t>
            </w:r>
          </w:p>
        </w:tc>
        <w:tc>
          <w:tcPr>
            <w:tcW w:type="dxa" w:w="3249"/>
          </w:tcPr>
          <w:p>
            <w:r/>
            <w:r>
              <w:rPr>
                <w:b w:val="0"/>
                <w:i w:val="0"/>
              </w:rPr>
              <w:t>Extends the cover for claims about sustainability-related statements and disclosures</w:t>
            </w:r>
          </w:p>
        </w:tc>
      </w:tr>
      <w:tr>
        <w:tc>
          <w:tcPr>
            <w:tcW w:type="dxa" w:w="3249"/>
          </w:tcPr>
          <w:p>
            <w:r/>
            <w:r>
              <w:rPr>
                <w:b w:val="0"/>
                <w:i w:val="0"/>
              </w:rPr>
              <w:t>E07</w:t>
            </w:r>
          </w:p>
        </w:tc>
        <w:tc>
          <w:tcPr>
            <w:tcW w:type="dxa" w:w="3249"/>
          </w:tcPr>
          <w:p>
            <w:r/>
            <w:r>
              <w:rPr>
                <w:b w:val="0"/>
                <w:i w:val="0"/>
              </w:rPr>
              <w:t>Defence Costs in Addition to the Limit</w:t>
            </w:r>
          </w:p>
        </w:tc>
        <w:tc>
          <w:tcPr>
            <w:tcW w:type="dxa" w:w="3249"/>
          </w:tcPr>
          <w:p>
            <w:r/>
            <w:r>
              <w:rPr>
                <w:b w:val="0"/>
                <w:i w:val="0"/>
              </w:rPr>
              <w:t>Pays defence costs in addition to the limit of liability, to a separate defence costs limit</w:t>
            </w:r>
          </w:p>
        </w:tc>
      </w:tr>
      <w:tr>
        <w:tc>
          <w:tcPr>
            <w:tcW w:type="dxa" w:w="3249"/>
          </w:tcPr>
          <w:p>
            <w:r/>
            <w:r>
              <w:rPr>
                <w:b w:val="0"/>
                <w:i w:val="0"/>
              </w:rPr>
              <w:t>E08</w:t>
            </w:r>
          </w:p>
        </w:tc>
        <w:tc>
          <w:tcPr>
            <w:tcW w:type="dxa" w:w="3249"/>
          </w:tcPr>
          <w:p>
            <w:r/>
            <w:r>
              <w:rPr>
                <w:b w:val="0"/>
                <w:i w:val="0"/>
              </w:rPr>
              <w:t>Extended Reporting Period</w:t>
            </w:r>
          </w:p>
        </w:tc>
        <w:tc>
          <w:tcPr>
            <w:tcW w:type="dxa" w:w="3249"/>
          </w:tcPr>
          <w:p>
            <w:r/>
            <w:r>
              <w:rPr>
                <w:b w:val="0"/>
                <w:i w:val="0"/>
              </w:rPr>
              <w:t>Sets a purchased extended reporting period of 12, 24, 36 or 72 months for the liability sections</w:t>
            </w:r>
          </w:p>
        </w:tc>
      </w:tr>
      <w:tr>
        <w:tc>
          <w:tcPr>
            <w:tcW w:type="dxa" w:w="3249"/>
          </w:tcPr>
          <w:p>
            <w:r/>
            <w:r>
              <w:rPr>
                <w:b w:val="0"/>
                <w:i w:val="0"/>
              </w:rPr>
              <w:t>E09</w:t>
            </w:r>
          </w:p>
        </w:tc>
        <w:tc>
          <w:tcPr>
            <w:tcW w:type="dxa" w:w="3249"/>
          </w:tcPr>
          <w:p>
            <w:r/>
            <w:r>
              <w:rPr>
                <w:b w:val="0"/>
                <w:i w:val="0"/>
              </w:rPr>
              <w:t>Run-off Following Change of Control or Cessation of AFSL</w:t>
            </w:r>
          </w:p>
        </w:tc>
        <w:tc>
          <w:tcPr>
            <w:tcW w:type="dxa" w:w="3249"/>
          </w:tcPr>
          <w:p>
            <w:r/>
            <w:r>
              <w:rPr>
                <w:b w:val="0"/>
                <w:i w:val="0"/>
              </w:rPr>
              <w:t>Gives run-off cover for wrongful acts before a change of control or the cessation of the AFSL</w:t>
            </w:r>
          </w:p>
        </w:tc>
      </w:tr>
      <w:tr>
        <w:tc>
          <w:tcPr>
            <w:tcW w:type="dxa" w:w="3249"/>
          </w:tcPr>
          <w:p>
            <w:r/>
            <w:r>
              <w:rPr>
                <w:b w:val="0"/>
                <w:i w:val="0"/>
              </w:rPr>
              <w:t>E10</w:t>
            </w:r>
          </w:p>
        </w:tc>
        <w:tc>
          <w:tcPr>
            <w:tcW w:type="dxa" w:w="3249"/>
          </w:tcPr>
          <w:p>
            <w:r/>
            <w:r>
              <w:rPr>
                <w:b w:val="0"/>
                <w:i w:val="0"/>
              </w:rPr>
              <w:t>Prospectus and PDS Liability — Enhanced</w:t>
            </w:r>
          </w:p>
        </w:tc>
        <w:tc>
          <w:tcPr>
            <w:tcW w:type="dxa" w:w="3249"/>
          </w:tcPr>
          <w:p>
            <w:r/>
            <w:r>
              <w:rPr>
                <w:b w:val="0"/>
                <w:i w:val="0"/>
              </w:rPr>
              <w:t>Extends the cover for claims about disclosure documents for the offers named</w:t>
            </w:r>
          </w:p>
        </w:tc>
      </w:tr>
      <w:tr>
        <w:tc>
          <w:tcPr>
            <w:tcW w:type="dxa" w:w="3249"/>
          </w:tcPr>
          <w:p>
            <w:r/>
            <w:r>
              <w:rPr>
                <w:b w:val="0"/>
                <w:i w:val="0"/>
              </w:rPr>
              <w:t>E11</w:t>
            </w:r>
          </w:p>
        </w:tc>
        <w:tc>
          <w:tcPr>
            <w:tcW w:type="dxa" w:w="3249"/>
          </w:tcPr>
          <w:p>
            <w:r/>
            <w:r>
              <w:rPr>
                <w:b w:val="0"/>
                <w:i w:val="0"/>
              </w:rPr>
              <w:t>Excess Layer</w:t>
            </w:r>
          </w:p>
        </w:tc>
        <w:tc>
          <w:tcPr>
            <w:tcW w:type="dxa" w:w="3249"/>
          </w:tcPr>
          <w:p>
            <w:r/>
            <w:r>
              <w:rPr>
                <w:b w:val="0"/>
                <w:i w:val="0"/>
              </w:rPr>
              <w:t>Attaches this policy excess of an underlying limit shown in the schedule</w:t>
            </w:r>
          </w:p>
        </w:tc>
      </w:tr>
      <w:tr>
        <w:tc>
          <w:tcPr>
            <w:tcW w:type="dxa" w:w="3249"/>
          </w:tcPr>
          <w:p>
            <w:r/>
            <w:r>
              <w:rPr>
                <w:b w:val="0"/>
                <w:i w:val="0"/>
              </w:rPr>
              <w:t>E12</w:t>
            </w:r>
          </w:p>
        </w:tc>
        <w:tc>
          <w:tcPr>
            <w:tcW w:type="dxa" w:w="3249"/>
          </w:tcPr>
          <w:p>
            <w:r/>
            <w:r>
              <w:rPr>
                <w:b w:val="0"/>
                <w:i w:val="0"/>
              </w:rPr>
              <w:t>Employment Practices Liability</w:t>
            </w:r>
          </w:p>
        </w:tc>
        <w:tc>
          <w:tcPr>
            <w:tcW w:type="dxa" w:w="3249"/>
          </w:tcPr>
          <w:p>
            <w:r/>
            <w:r>
              <w:rPr>
                <w:b w:val="0"/>
                <w:i w:val="0"/>
              </w:rPr>
              <w:t>Adds cover for claims by employees about employment practices, to a separate limit</w:t>
            </w:r>
          </w:p>
        </w:tc>
      </w:tr>
      <w:tr>
        <w:tc>
          <w:tcPr>
            <w:tcW w:type="dxa" w:w="3249"/>
          </w:tcPr>
          <w:p>
            <w:r/>
            <w:r>
              <w:rPr>
                <w:b w:val="0"/>
                <w:i w:val="0"/>
              </w:rPr>
              <w:t>E13</w:t>
            </w:r>
          </w:p>
        </w:tc>
        <w:tc>
          <w:tcPr>
            <w:tcW w:type="dxa" w:w="3249"/>
          </w:tcPr>
          <w:p>
            <w:r/>
            <w:r>
              <w:rPr>
                <w:b w:val="0"/>
                <w:i w:val="0"/>
              </w:rPr>
              <w:t>Cryptocurrency and Digital Asset Fund Management</w:t>
            </w:r>
          </w:p>
        </w:tc>
        <w:tc>
          <w:tcPr>
            <w:tcW w:type="dxa" w:w="3249"/>
          </w:tcPr>
          <w:p>
            <w:r/>
            <w:r>
              <w:rPr>
                <w:b w:val="0"/>
                <w:i w:val="0"/>
              </w:rPr>
              <w:t>Sets custody, wallet-security and valuation terms for funds with material digital-asset exposure</w:t>
            </w:r>
          </w:p>
        </w:tc>
      </w:tr>
      <w:tr>
        <w:tc>
          <w:tcPr>
            <w:tcW w:type="dxa" w:w="3249"/>
          </w:tcPr>
          <w:p>
            <w:r/>
            <w:r>
              <w:rPr>
                <w:b w:val="0"/>
                <w:i w:val="0"/>
              </w:rPr>
              <w:t>E14</w:t>
            </w:r>
          </w:p>
        </w:tc>
        <w:tc>
          <w:tcPr>
            <w:tcW w:type="dxa" w:w="3249"/>
          </w:tcPr>
          <w:p>
            <w:r/>
            <w:r>
              <w:rPr>
                <w:b w:val="0"/>
                <w:i w:val="0"/>
              </w:rPr>
              <w:t>Side A Difference in Conditions</w:t>
            </w:r>
          </w:p>
        </w:tc>
        <w:tc>
          <w:tcPr>
            <w:tcW w:type="dxa" w:w="3249"/>
          </w:tcPr>
          <w:p>
            <w:r/>
            <w:r>
              <w:rPr>
                <w:b w:val="0"/>
                <w:i w:val="0"/>
              </w:rPr>
              <w:t>Gives insured persons a separate Side A limit that pays when other insurance does not</w:t>
            </w:r>
          </w:p>
        </w:tc>
      </w:tr>
    </w:tbl>
    <w:p>
      <w:bookmarkStart w:id="134" w:name="c_imi_end_e01"/>
      <w:r>
        <w:rPr>
          <w:rFonts w:ascii="Georgia" w:hAnsi="Georgia" w:eastAsia="Georgia"/>
          <w:b/>
          <w:i w:val="0"/>
          <w:color w:val="2E5C4E"/>
          <w:sz w:val="25"/>
        </w:rPr>
        <w:t>E01 US and Canada Jurisdiction Extension</w:t>
      </w:r>
      <w:bookmarkEnd w:id="134"/>
    </w:p>
    <w:p>
      <w:hyperlink w:anchor="c_imi_excl_us_canada_jurisdiction">
        <w:r>
          <w:rPr>
            <w:color w:val="2E5C4E"/>
            <w:u w:val="single"/>
          </w:rPr>
          <w:t xml:space="preserve">The US / Canada Jurisdiction exclusion</w:t>
        </w:r>
      </w:hyperlink>
      <w:r>
        <w:rPr>
          <w:b w:val="0"/>
          <w:i w:val="0"/>
        </w:rPr>
        <w:t xml:space="preserve"> does not apply to claims brought or maintained in the United States of America or Canada, but only for the sections and subsidiaries shown in the schedule for this endorsement, and only for wrongful acts committed on or after the retroactive date.</w:t>
      </w:r>
    </w:p>
    <w:p>
      <w:r>
        <w:rPr>
          <w:b w:val="0"/>
          <w:i w:val="0"/>
        </w:rPr>
        <w:t>Defence costs for those claims are included within the limit of liability and reduce it, unless Endorsement E07 is operative. Any sub-limit shown in the schedule for this endorsement is the most we will pay for all claims brought or maintained in the United States of America or Canada. It forms part of, and is not in addition to, the limit of liability for the section. Any additional excess shown in the schedule applies to those claims in place of the excess otherwise shown.</w:t>
      </w:r>
    </w:p>
    <w:p>
      <w:r>
        <w:rPr>
          <w:b w:val="0"/>
          <w:i w:val="0"/>
        </w:rPr>
        <w:t>This endorsement does not cover fines, penalties, or punitive, exemplary or multiplied damages that are not insurable at law. [WP REVIEW: whether punitive and exemplary damages awarded in the United States should be excluded outright or only to the extent uninsurable in the jurisdiction of the award]</w:t>
      </w:r>
    </w:p>
    <w:p>
      <w:r>
        <w:rPr>
          <w:b w:val="0"/>
          <w:i w:val="0"/>
        </w:rPr>
        <w:t>Schedule variables: sections and subsidiaries; sub-limit (optional); additional excess (optional).</w:t>
      </w:r>
    </w:p>
    <w:p>
      <w:bookmarkStart w:id="135" w:name="c_imi_end_e02"/>
      <w:r>
        <w:rPr>
          <w:rFonts w:ascii="Georgia" w:hAnsi="Georgia" w:eastAsia="Georgia"/>
          <w:b/>
          <w:i w:val="0"/>
          <w:color w:val="2E5C4E"/>
          <w:sz w:val="25"/>
        </w:rPr>
        <w:t>E02 Superannuation Trustee — Enhanced</w:t>
      </w:r>
      <w:bookmarkEnd w:id="135"/>
    </w:p>
    <w:p>
      <w:r>
        <w:rPr>
          <w:b w:val="0"/>
          <w:i w:val="0"/>
        </w:rPr>
        <w:t xml:space="preserve">This endorsement applies only if the schedule shows an RSE licence number. </w:t>
      </w:r>
      <w:hyperlink w:anchor="c_imi_cover_financial_services_liability">
        <w:r>
          <w:rPr>
            <w:color w:val="2E5C4E"/>
            <w:u w:val="single"/>
          </w:rPr>
          <w:t xml:space="preserve">The Financial Services Liability clause</w:t>
        </w:r>
      </w:hyperlink>
      <w:r>
        <w:rPr>
          <w:b w:val="0"/>
          <w:i w:val="0"/>
        </w:rPr>
        <w:t xml:space="preserve"> extends to any actual or alleged breach by you, as trustee of a registrable superannuation entity shown in the schedule, of:</w:t>
      </w:r>
    </w:p>
    <w:p>
      <w:r>
        <w:rPr>
          <w:b w:val="0"/>
          <w:i w:val="0"/>
        </w:rPr>
        <w:t>(a) the best financial interests duty, the sole purpose test, and the other covenants and duties that apply to a trustee under the Superannuation Industry (Supervision) Act 1993 (Cth);</w:t>
      </w:r>
    </w:p>
    <w:p>
      <w:r>
        <w:rPr>
          <w:b w:val="0"/>
          <w:i w:val="0"/>
        </w:rPr>
        <w:t>(b) the obligations that apply to a MySuper product, including the annual assessment of outcomes for members and the performance test;</w:t>
      </w:r>
    </w:p>
    <w:p>
      <w:r>
        <w:rPr>
          <w:b w:val="0"/>
          <w:i w:val="0"/>
        </w:rPr>
        <w:t>(c) the obligations that apply to a choice product, including the obligations to compare and report on its performance; and</w:t>
      </w:r>
    </w:p>
    <w:p>
      <w:r>
        <w:rPr>
          <w:b w:val="0"/>
          <w:i w:val="0"/>
        </w:rPr>
        <w:t>(d) the obligations that apply on the transfer of a stapled member's account.</w:t>
      </w:r>
    </w:p>
    <w:p>
      <w:r>
        <w:rPr>
          <w:b w:val="0"/>
          <w:i w:val="0"/>
        </w:rPr>
        <w:t>Cover under this endorsement is for loss that is not paid or reimbursed from the assets of the fund. This endorsement does not cover any amount that a trustee is prohibited by law from paying or being reimbursed from the assets of a fund, or any fine or civil penalty that is not insurable at law. [WP REVIEW: the trustee indemnity and insurance restrictions in the Superannuation Industry (Supervision) Act 1993 (Cth), and whether the cover should be limited to defence costs for any civil penalty proceeding]</w:t>
      </w:r>
    </w:p>
    <w:p>
      <w:r>
        <w:rPr>
          <w:b w:val="0"/>
          <w:i w:val="0"/>
        </w:rPr>
        <w:t>Schedule variables: RSE licence number; registrable superannuation entities and MySuper products covered; sub-limit (optional).</w:t>
      </w:r>
    </w:p>
    <w:p>
      <w:bookmarkStart w:id="136" w:name="c_imi_end_e03"/>
      <w:r>
        <w:rPr>
          <w:rFonts w:ascii="Georgia" w:hAnsi="Georgia" w:eastAsia="Georgia"/>
          <w:b/>
          <w:i w:val="0"/>
          <w:color w:val="2E5C4E"/>
          <w:sz w:val="25"/>
        </w:rPr>
        <w:t>E03 Responsible Entity — Enhanced</w:t>
      </w:r>
      <w:bookmarkEnd w:id="136"/>
    </w:p>
    <w:p>
      <w:hyperlink w:anchor="c_imi_cover_financial_services_liability">
        <w:r>
          <w:rPr>
            <w:color w:val="2E5C4E"/>
            <w:u w:val="single"/>
          </w:rPr>
          <w:t xml:space="preserve">The Financial Services Liability clause</w:t>
        </w:r>
      </w:hyperlink>
      <w:r>
        <w:rPr>
          <w:b w:val="0"/>
          <w:i w:val="0"/>
        </w:rPr>
        <w:t xml:space="preserve"> extends to any actual or alleged breach by you, as responsible entity of a registered scheme shown in the schedule for this endorsement, of:</w:t>
      </w:r>
    </w:p>
    <w:p>
      <w:r>
        <w:rPr>
          <w:b w:val="0"/>
          <w:i w:val="0"/>
        </w:rPr>
        <w:t>(a) the duties of a responsible entity under Chapter 5C of the Corporations Act 2001 (Cth), including the duty to act in the best interests of members and to give priority to the interests of members over your own;</w:t>
      </w:r>
    </w:p>
    <w:p>
      <w:r>
        <w:rPr>
          <w:b w:val="0"/>
          <w:i w:val="0"/>
        </w:rPr>
        <w:t>(b) the scheme's constitution and compliance plan;</w:t>
      </w:r>
    </w:p>
    <w:p>
      <w:r>
        <w:rPr>
          <w:b w:val="0"/>
          <w:i w:val="0"/>
        </w:rPr>
        <w:t>(c) the continuous disclosure obligations that apply to a scheme that is a disclosing entity; and</w:t>
      </w:r>
    </w:p>
    <w:p>
      <w:r>
        <w:rPr>
          <w:b w:val="0"/>
          <w:i w:val="0"/>
        </w:rPr>
        <w:t>(d) the requirements that apply to a financial benefit given to you or to a related party of yours from scheme assets.</w:t>
      </w:r>
    </w:p>
    <w:p>
      <w:r>
        <w:rPr>
          <w:b w:val="0"/>
          <w:i w:val="0"/>
        </w:rPr>
        <w:t xml:space="preserve">This endorsement does not cover the return or restitution of any financial benefit that you or a related party received. </w:t>
      </w:r>
      <w:hyperlink w:anchor="c_imi_excl_personal_profit">
        <w:r>
          <w:rPr>
            <w:color w:val="2E5C4E"/>
            <w:u w:val="single"/>
          </w:rPr>
          <w:t xml:space="preserve">The Personal Profit exclusion</w:t>
        </w:r>
      </w:hyperlink>
      <w:r>
        <w:rPr>
          <w:b w:val="0"/>
          <w:i w:val="0"/>
        </w:rPr>
        <w:t xml:space="preserve"> continues to apply.</w:t>
      </w:r>
    </w:p>
    <w:p>
      <w:r>
        <w:rPr>
          <w:b w:val="0"/>
          <w:i w:val="0"/>
        </w:rPr>
        <w:t>Schedule variables: registered schemes covered; sub-limit (optional).</w:t>
      </w:r>
    </w:p>
    <w:p>
      <w:bookmarkStart w:id="137" w:name="c_imi_end_e04"/>
      <w:r>
        <w:rPr>
          <w:rFonts w:ascii="Georgia" w:hAnsi="Georgia" w:eastAsia="Georgia"/>
          <w:b/>
          <w:i w:val="0"/>
          <w:color w:val="2E5C4E"/>
          <w:sz w:val="25"/>
        </w:rPr>
        <w:t>E04 Alternative Strategies</w:t>
      </w:r>
      <w:bookmarkEnd w:id="137"/>
    </w:p>
    <w:p>
      <w:hyperlink w:anchor="c_imi_cover_financial_services_liability">
        <w:r>
          <w:rPr>
            <w:color w:val="2E5C4E"/>
            <w:u w:val="single"/>
          </w:rPr>
          <w:t xml:space="preserve">The Financial Services Liability clause</w:t>
        </w:r>
      </w:hyperlink>
      <w:r>
        <w:rPr>
          <w:b w:val="0"/>
          <w:i w:val="0"/>
        </w:rPr>
        <w:t xml:space="preserve"> extends to any actual or alleged wrongful act in:</w:t>
      </w:r>
    </w:p>
    <w:p>
      <w:r>
        <w:rPr>
          <w:b w:val="0"/>
          <w:i w:val="0"/>
        </w:rPr>
        <w:t>(a) calculating, charging, or recovering a performance fee, including a clawback of a performance fee;</w:t>
      </w:r>
    </w:p>
    <w:p>
      <w:r>
        <w:rPr>
          <w:b w:val="0"/>
          <w:i w:val="0"/>
        </w:rPr>
        <w:t>(b) creating, valuing, or operating a side pocket;</w:t>
      </w:r>
    </w:p>
    <w:p>
      <w:r>
        <w:rPr>
          <w:b w:val="0"/>
          <w:i w:val="0"/>
        </w:rPr>
        <w:t>(c) imposing a gate on redemptions, or suspending redemptions or applications, in a fund shown in the schedule for this endorsement; and</w:t>
      </w:r>
    </w:p>
    <w:p>
      <w:r>
        <w:rPr>
          <w:b w:val="0"/>
          <w:i w:val="0"/>
        </w:rPr>
        <w:t>(d) valuing unlisted assets held by a fund shown in the schedule for this endorsement.</w:t>
      </w:r>
    </w:p>
    <w:p>
      <w:hyperlink w:anchor="c_imi_excl_fund_performance">
        <w:r>
          <w:rPr>
            <w:color w:val="2E5C4E"/>
            <w:u w:val="single"/>
          </w:rPr>
          <w:t xml:space="preserve">The Fund Performance exclusion</w:t>
        </w:r>
      </w:hyperlink>
      <w:r>
        <w:rPr>
          <w:b w:val="0"/>
          <w:i w:val="0"/>
        </w:rPr>
        <w:t xml:space="preserve"> continues to apply, but a claim that alleges a wrongful act of the kind described in (a) to (d) is not a claim that only alleges inadequate performance or return. </w:t>
      </w:r>
      <w:hyperlink w:anchor="c_imi_excl_fees_and_commissions">
        <w:r>
          <w:rPr>
            <w:color w:val="2E5C4E"/>
            <w:u w:val="single"/>
          </w:rPr>
          <w:t xml:space="preserve">The Fees and Commissions exclusion</w:t>
        </w:r>
      </w:hyperlink>
      <w:r>
        <w:rPr>
          <w:b w:val="0"/>
          <w:i w:val="0"/>
        </w:rPr>
        <w:t xml:space="preserve"> continues to apply, except that it does not exclude defence costs.</w:t>
      </w:r>
    </w:p>
    <w:p>
      <w:r>
        <w:rPr>
          <w:b w:val="0"/>
          <w:i w:val="0"/>
        </w:rPr>
        <w:t>Schedule variables: funds covered; sub-limit (optional).</w:t>
      </w:r>
    </w:p>
    <w:p>
      <w:bookmarkStart w:id="138" w:name="c_imi_end_e05"/>
      <w:r>
        <w:rPr>
          <w:rFonts w:ascii="Georgia" w:hAnsi="Georgia" w:eastAsia="Georgia"/>
          <w:b/>
          <w:i w:val="0"/>
          <w:color w:val="2E5C4E"/>
          <w:sz w:val="25"/>
        </w:rPr>
        <w:t>E05 Custodian Failure — Enhanced</w:t>
      </w:r>
      <w:bookmarkEnd w:id="138"/>
    </w:p>
    <w:p>
      <w:r>
        <w:rPr>
          <w:b w:val="0"/>
          <w:i w:val="0"/>
        </w:rPr>
        <w:t xml:space="preserve">The last paragraph of </w:t>
      </w:r>
      <w:hyperlink w:anchor="c_imi_ext_fund_assets_third_party_servic">
        <w:r>
          <w:rPr>
            <w:color w:val="2E5C4E"/>
            <w:u w:val="single"/>
          </w:rPr>
          <w:t xml:space="preserve">the Fund Assets — Third-Party Service Provider Failure extension</w:t>
        </w:r>
      </w:hyperlink>
      <w:r>
        <w:rPr>
          <w:b w:val="0"/>
          <w:i w:val="0"/>
        </w:rPr>
        <w:t xml:space="preserve"> is amended so that it does not exclude a claim made against you arising from the insolvency of a custodian shown in the schedule for this endorsement, or from the commingling by that custodian of fund assets with its own assets or the assets of its other clients. We will pay the amounts described in </w:t>
      </w:r>
      <w:hyperlink w:anchor="c_imi_cover_financial_services_liability">
        <w:r>
          <w:rPr>
            <w:color w:val="2E5C4E"/>
            <w:u w:val="single"/>
          </w:rPr>
          <w:t xml:space="preserve">the Financial Services Liability clause</w:t>
        </w:r>
      </w:hyperlink>
      <w:r>
        <w:rPr>
          <w:b w:val="0"/>
          <w:i w:val="0"/>
        </w:rPr>
        <w:t xml:space="preserve"> for that claim, up to the sub-limit shown in the schedule for this endorsement.</w:t>
      </w:r>
    </w:p>
    <w:p>
      <w:r>
        <w:rPr>
          <w:b w:val="0"/>
          <w:i w:val="0"/>
        </w:rPr>
        <w:t xml:space="preserve">This endorsement applies only if the custodian is engaged under a written contract and you exercised reasonable care in selecting, appointing, and monitoring the custodian. It does not cover the loss of fund assets as such. That loss is covered only to the extent </w:t>
      </w:r>
      <w:hyperlink w:anchor="c_imi_section_crime">
        <w:r>
          <w:rPr>
            <w:color w:val="2E5C4E"/>
            <w:u w:val="single"/>
          </w:rPr>
          <w:t xml:space="preserve">the Crime section</w:t>
        </w:r>
      </w:hyperlink>
      <w:r>
        <w:rPr>
          <w:b w:val="0"/>
          <w:i w:val="0"/>
        </w:rPr>
        <w:t xml:space="preserve"> applies.</w:t>
      </w:r>
    </w:p>
    <w:p>
      <w:r>
        <w:rPr>
          <w:b w:val="0"/>
          <w:i w:val="0"/>
        </w:rPr>
        <w:t>The sub-limit forms part of, and is not in addition to, the limit of liability for the section.</w:t>
      </w:r>
    </w:p>
    <w:p>
      <w:r>
        <w:rPr>
          <w:b w:val="0"/>
          <w:i w:val="0"/>
        </w:rPr>
        <w:t>Schedule variables: custodians covered; sub-limit; additional excess (optional).</w:t>
      </w:r>
    </w:p>
    <w:p>
      <w:bookmarkStart w:id="139" w:name="c_imi_end_e06"/>
      <w:r>
        <w:rPr>
          <w:rFonts w:ascii="Georgia" w:hAnsi="Georgia" w:eastAsia="Georgia"/>
          <w:b/>
          <w:i w:val="0"/>
          <w:color w:val="2E5C4E"/>
          <w:sz w:val="25"/>
        </w:rPr>
        <w:t>E06 ESG and Greenwashing</w:t>
      </w:r>
      <w:bookmarkEnd w:id="139"/>
    </w:p>
    <w:p>
      <w:hyperlink w:anchor="c_imi_cover_financial_services_liability">
        <w:r>
          <w:rPr>
            <w:color w:val="2E5C4E"/>
            <w:u w:val="single"/>
          </w:rPr>
          <w:t xml:space="preserve">The Financial Services Liability clause</w:t>
        </w:r>
      </w:hyperlink>
      <w:r>
        <w:rPr>
          <w:b w:val="0"/>
          <w:i w:val="0"/>
        </w:rPr>
        <w:t xml:space="preserve"> extends to any actual or alleged misleading or deceptive conduct, or negligent misstatement, in a statement or disclosure about the sustainability, environmental, social, governance or climate-related characteristics of a fund shown in the schedule for this endorsement, including a statement in a product disclosure statement, an investor communication, or marketing material.</w:t>
      </w:r>
    </w:p>
    <w:p>
      <w:hyperlink w:anchor="c_imi_cover_defence_of_regulatory_procee">
        <w:r>
          <w:rPr>
            <w:color w:val="2E5C4E"/>
            <w:u w:val="single"/>
          </w:rPr>
          <w:t xml:space="preserve">The Defence of Regulatory Proceedings clause</w:t>
        </w:r>
      </w:hyperlink>
      <w:r>
        <w:rPr>
          <w:b w:val="0"/>
          <w:i w:val="0"/>
        </w:rPr>
        <w:t xml:space="preserve"> applies to an ASIC investigation or proceeding about a statement or disclosure of that kind.</w:t>
      </w:r>
    </w:p>
    <w:p>
      <w:r>
        <w:rPr>
          <w:b w:val="0"/>
          <w:i w:val="0"/>
        </w:rPr>
        <w:t xml:space="preserve">This endorsement does not cover a fine or civil penalty that is not insurable at law. </w:t>
      </w:r>
      <w:hyperlink w:anchor="c_imi_excl_dishonesty_and_fraud">
        <w:r>
          <w:rPr>
            <w:color w:val="2E5C4E"/>
            <w:u w:val="single"/>
          </w:rPr>
          <w:t xml:space="preserve">The Dishonesty and Fraud — Professional Liability and Directors' and Officers' Liability exclusion</w:t>
        </w:r>
      </w:hyperlink>
      <w:r>
        <w:rPr>
          <w:b w:val="0"/>
          <w:i w:val="0"/>
        </w:rPr>
        <w:t xml:space="preserve"> continues to apply. [WP REVIEW: whether civil penalty proceedings for greenwashing are insurable beyond defence costs]</w:t>
      </w:r>
    </w:p>
    <w:p>
      <w:r>
        <w:rPr>
          <w:b w:val="0"/>
          <w:i w:val="0"/>
        </w:rPr>
        <w:t>Schedule variables: funds covered; sub-limit (optional).</w:t>
      </w:r>
    </w:p>
    <w:p>
      <w:bookmarkStart w:id="140" w:name="c_imi_end_e07"/>
      <w:r>
        <w:rPr>
          <w:rFonts w:ascii="Georgia" w:hAnsi="Georgia" w:eastAsia="Georgia"/>
          <w:b/>
          <w:i w:val="0"/>
          <w:color w:val="2E5C4E"/>
          <w:sz w:val="25"/>
        </w:rPr>
        <w:t>E07 Defence Costs in Addition to the Limit</w:t>
      </w:r>
      <w:bookmarkEnd w:id="140"/>
    </w:p>
    <w:p>
      <w:hyperlink w:anchor="c_imi_pay_defence_costs">
        <w:r>
          <w:rPr>
            <w:color w:val="2E5C4E"/>
            <w:u w:val="single"/>
          </w:rPr>
          <w:t xml:space="preserve">The Defence Costs provision</w:t>
        </w:r>
      </w:hyperlink>
      <w:r>
        <w:rPr>
          <w:b w:val="0"/>
          <w:i w:val="0"/>
        </w:rPr>
        <w:t xml:space="preserve"> is replaced by the following for the sections shown in the schedule for this endorsement. Defence costs are paid in addition to the limit of liability, up to the defence costs limit shown in the schedule. We advance defence costs as they are incurred. Payment of defence costs does not reduce the limit of liability available for compensation.</w:t>
      </w:r>
    </w:p>
    <w:p>
      <w:r>
        <w:rPr>
          <w:b w:val="0"/>
          <w:i w:val="0"/>
        </w:rPr>
        <w:t>The defence costs limit is the most we will pay for defence costs for all claims under the section. Once it is exhausted we have no further obligation to pay defence costs. Amounts paid as compensation reduce only the limit of liability.</w:t>
      </w:r>
    </w:p>
    <w:p>
      <w:r>
        <w:rPr>
          <w:b w:val="0"/>
          <w:i w:val="0"/>
        </w:rPr>
        <w:t>Schedule variables: sections; defence costs limit.</w:t>
      </w:r>
    </w:p>
    <w:p>
      <w:bookmarkStart w:id="141" w:name="c_imi_end_e08"/>
      <w:r>
        <w:rPr>
          <w:rFonts w:ascii="Georgia" w:hAnsi="Georgia" w:eastAsia="Georgia"/>
          <w:b/>
          <w:i w:val="0"/>
          <w:color w:val="2E5C4E"/>
          <w:sz w:val="25"/>
        </w:rPr>
        <w:t>E08 Extended Reporting Period</w:t>
      </w:r>
      <w:bookmarkEnd w:id="141"/>
    </w:p>
    <w:p>
      <w:r>
        <w:rPr>
          <w:b w:val="0"/>
          <w:i w:val="0"/>
        </w:rPr>
        <w:t xml:space="preserve">The automatic period in </w:t>
      </w:r>
      <w:hyperlink w:anchor="c_imi_cond_extended_reporting_period">
        <w:r>
          <w:rPr>
            <w:color w:val="2E5C4E"/>
            <w:u w:val="single"/>
          </w:rPr>
          <w:t xml:space="preserve">the Extended Reporting Period condition</w:t>
        </w:r>
      </w:hyperlink>
      <w:r>
        <w:rPr>
          <w:b w:val="0"/>
          <w:i w:val="0"/>
        </w:rPr>
        <w:t xml:space="preserve"> is replaced, for </w:t>
      </w:r>
      <w:hyperlink w:anchor="c_imi_section_pl">
        <w:r>
          <w:rPr>
            <w:color w:val="2E5C4E"/>
            <w:u w:val="single"/>
          </w:rPr>
          <w:t xml:space="preserve">the Professional Liability section</w:t>
        </w:r>
      </w:hyperlink>
      <w:r>
        <w:rPr>
          <w:b w:val="0"/>
          <w:i w:val="0"/>
        </w:rPr>
        <w:t xml:space="preserve"> and </w:t>
      </w:r>
      <w:hyperlink w:anchor="c_imi_section_do">
        <w:r>
          <w:rPr>
            <w:color w:val="2E5C4E"/>
            <w:u w:val="single"/>
          </w:rPr>
          <w:t xml:space="preserve">the Directors' and Officers' Liability section</w:t>
        </w:r>
      </w:hyperlink>
      <w:r>
        <w:rPr>
          <w:b w:val="0"/>
          <w:i w:val="0"/>
        </w:rPr>
        <w:t>, by the extended reporting period shown in the schedule for this endorsement, which must be 12, 24, 36 or 72 months. The period starts at the end of the policy period.</w:t>
      </w:r>
    </w:p>
    <w:p>
      <w:r>
        <w:rPr>
          <w:b w:val="0"/>
          <w:i w:val="0"/>
        </w:rPr>
        <w:t>The extended reporting period applies only if this policy is not renewed for any reason other than replacement by another policy that gives equivalent cover, or is cancelled by you or by us, and the non-renewal or cancellation is not caused by non-payment of premium. You must ask for it, and pay the additional premium shown in the schedule, within 30 days of the end of the policy period.</w:t>
      </w:r>
    </w:p>
    <w:p>
      <w:r>
        <w:rPr>
          <w:b w:val="0"/>
          <w:i w:val="0"/>
        </w:rPr>
        <w:t xml:space="preserve">During the extended reporting period we cover claims first made against an insured, and circumstances notified, in that period, but only for wrongful acts committed before the end of the policy period. The limits of liability that applied at the end of the policy period apply, and are not reinstated. The additional premium is fully earned when the endorsement is attached. </w:t>
      </w:r>
      <w:hyperlink w:anchor="c_imi_section_crime">
        <w:r>
          <w:rPr>
            <w:color w:val="2E5C4E"/>
            <w:u w:val="single"/>
          </w:rPr>
          <w:t xml:space="preserve">The Crime section</w:t>
        </w:r>
      </w:hyperlink>
      <w:r>
        <w:rPr>
          <w:b w:val="0"/>
          <w:i w:val="0"/>
        </w:rPr>
        <w:t xml:space="preserve"> is not affected. It continues to operate under </w:t>
      </w:r>
      <w:hyperlink w:anchor="c_imi_cond_extended_discovery_period_cri">
        <w:r>
          <w:rPr>
            <w:color w:val="2E5C4E"/>
            <w:u w:val="single"/>
          </w:rPr>
          <w:t xml:space="preserve">the Extended Discovery Period — Crime condition</w:t>
        </w:r>
      </w:hyperlink>
      <w:r>
        <w:rPr>
          <w:b w:val="0"/>
          <w:i w:val="0"/>
        </w:rPr>
        <w:t xml:space="preserve"> and </w:t>
      </w:r>
      <w:hyperlink w:anchor="c_imi_obl_notify_losses_crime">
        <w:r>
          <w:rPr>
            <w:color w:val="2E5C4E"/>
            <w:u w:val="single"/>
          </w:rPr>
          <w:t xml:space="preserve">the Notify Losses — Crime obligation</w:t>
        </w:r>
      </w:hyperlink>
      <w:r>
        <w:rPr>
          <w:b w:val="0"/>
          <w:i w:val="0"/>
        </w:rPr>
        <w:t>.</w:t>
      </w:r>
    </w:p>
    <w:p>
      <w:r>
        <w:rPr>
          <w:b w:val="0"/>
          <w:i w:val="0"/>
        </w:rPr>
        <w:t>Schedule variables: extended reporting period (12, 24, 36 or 72 months); additional premium.</w:t>
      </w:r>
    </w:p>
    <w:p>
      <w:bookmarkStart w:id="142" w:name="c_imi_end_e09"/>
      <w:r>
        <w:rPr>
          <w:rFonts w:ascii="Georgia" w:hAnsi="Georgia" w:eastAsia="Georgia"/>
          <w:b/>
          <w:i w:val="0"/>
          <w:color w:val="2E5C4E"/>
          <w:sz w:val="25"/>
        </w:rPr>
        <w:t>E09 Run-off Following Change of Control or Cessation of AFSL</w:t>
      </w:r>
      <w:bookmarkEnd w:id="142"/>
    </w:p>
    <w:p>
      <w:r>
        <w:rPr>
          <w:b w:val="0"/>
          <w:i w:val="0"/>
        </w:rPr>
        <w:t xml:space="preserve">If a person acquires more than 50% of the company's voting rights, or the company's AFSL ceases, </w:t>
      </w:r>
      <w:hyperlink w:anchor="c_imi_cond_change_of_control">
        <w:r>
          <w:rPr>
            <w:color w:val="2E5C4E"/>
            <w:u w:val="single"/>
          </w:rPr>
          <w:t xml:space="preserve">the Change of Control condition</w:t>
        </w:r>
      </w:hyperlink>
      <w:r>
        <w:rPr>
          <w:b w:val="0"/>
          <w:i w:val="0"/>
        </w:rPr>
        <w:t xml:space="preserve"> is extended for the run-off period shown in the schedule for this endorsement. During the run-off period we cover claims first made against an insured, and circumstances notified, but only for wrongful acts committed before the event.</w:t>
      </w:r>
    </w:p>
    <w:p>
      <w:r>
        <w:rPr>
          <w:b w:val="0"/>
          <w:i w:val="0"/>
        </w:rPr>
        <w:t>The run-off period starts on the date of the event. The additional premium shown in the schedule is fully earned when the endorsement is attached. The limits of liability that applied at the date of the event apply and are not reinstated.</w:t>
      </w:r>
    </w:p>
    <w:p>
      <w:hyperlink w:anchor="c_imi_cond_fund_wind_up_run_off">
        <w:r>
          <w:rPr>
            <w:color w:val="2E5C4E"/>
            <w:u w:val="single"/>
          </w:rPr>
          <w:t xml:space="preserve">The Fund Wind-Up Run-Off condition</w:t>
        </w:r>
      </w:hyperlink>
      <w:r>
        <w:rPr>
          <w:b w:val="0"/>
          <w:i w:val="0"/>
        </w:rPr>
        <w:t xml:space="preserve"> applies to a fund-level wind-up, termination or transfer without this endorsement.</w:t>
      </w:r>
    </w:p>
    <w:p>
      <w:r>
        <w:rPr>
          <w:b w:val="0"/>
          <w:i w:val="0"/>
        </w:rPr>
        <w:t>Schedule variables: run-off period; additional premium.</w:t>
      </w:r>
    </w:p>
    <w:p>
      <w:bookmarkStart w:id="143" w:name="c_imi_end_e10"/>
      <w:r>
        <w:rPr>
          <w:rFonts w:ascii="Georgia" w:hAnsi="Georgia" w:eastAsia="Georgia"/>
          <w:b/>
          <w:i w:val="0"/>
          <w:color w:val="2E5C4E"/>
          <w:sz w:val="25"/>
        </w:rPr>
        <w:t>E10 Prospectus and PDS Liability — Enhanced</w:t>
      </w:r>
      <w:bookmarkEnd w:id="143"/>
    </w:p>
    <w:p>
      <w:hyperlink w:anchor="c_imi_cover_financial_services_liability">
        <w:r>
          <w:rPr>
            <w:color w:val="2E5C4E"/>
            <w:u w:val="single"/>
          </w:rPr>
          <w:t xml:space="preserve">The Financial Services Liability clause</w:t>
        </w:r>
      </w:hyperlink>
      <w:r>
        <w:rPr>
          <w:b w:val="0"/>
          <w:i w:val="0"/>
        </w:rPr>
        <w:t xml:space="preserve"> extends to any actual or alleged misleading or deceptive statement in, or omission from, a prospectus, product disclosure statement or other offer document for an offer shown in the schedule for this endorsement, including a claim by a person who acquired a financial product under the offer.</w:t>
      </w:r>
    </w:p>
    <w:p>
      <w:r>
        <w:rPr>
          <w:b w:val="0"/>
          <w:i w:val="0"/>
        </w:rPr>
        <w:t xml:space="preserve">This endorsement does not cover a statement or omission in a document first issued before the retroactive date, or an offer made outside Australia unless Endorsement E01 is operative for that offer. </w:t>
      </w:r>
      <w:hyperlink w:anchor="c_imi_excl_fund_performance">
        <w:r>
          <w:rPr>
            <w:color w:val="2E5C4E"/>
            <w:u w:val="single"/>
          </w:rPr>
          <w:t xml:space="preserve">The Fund Performance exclusion</w:t>
        </w:r>
      </w:hyperlink>
      <w:r>
        <w:rPr>
          <w:b w:val="0"/>
          <w:i w:val="0"/>
        </w:rPr>
        <w:t xml:space="preserve"> continues to apply.</w:t>
      </w:r>
    </w:p>
    <w:p>
      <w:r>
        <w:rPr>
          <w:b w:val="0"/>
          <w:i w:val="0"/>
        </w:rPr>
        <w:t>Schedule variables: offers covered (fund, document, date, offer size); sub-limit (optional).</w:t>
      </w:r>
    </w:p>
    <w:p>
      <w:bookmarkStart w:id="144" w:name="c_imi_end_e11"/>
      <w:r>
        <w:rPr>
          <w:rFonts w:ascii="Georgia" w:hAnsi="Georgia" w:eastAsia="Georgia"/>
          <w:b/>
          <w:i w:val="0"/>
          <w:color w:val="2E5C4E"/>
          <w:sz w:val="25"/>
        </w:rPr>
        <w:t>E11 Excess Layer</w:t>
      </w:r>
      <w:bookmarkEnd w:id="144"/>
    </w:p>
    <w:p>
      <w:r>
        <w:rPr>
          <w:b w:val="0"/>
          <w:i w:val="0"/>
        </w:rPr>
        <w:t>We pay covered loss under this policy only after the underlying limit shown in the schedule for this endorsement has been exhausted by the payment of covered loss. The underlying limit is exhausted only by payment of loss by the underlying insurers or by you. This policy does not drop down if an underlying insurer is unable or refuses to pay, and you bear that part of the loss.</w:t>
      </w:r>
    </w:p>
    <w:p>
      <w:r>
        <w:rPr>
          <w:b w:val="0"/>
          <w:i w:val="0"/>
        </w:rPr>
        <w:t xml:space="preserve">Our limit of liability under this endorsement is the amount shown in the schedule, excess of the underlying limit. Subject to this endorsement, this policy applies to the layer on its own terms. </w:t>
      </w:r>
      <w:hyperlink w:anchor="c_imi_pay_other_insurance">
        <w:r>
          <w:rPr>
            <w:color w:val="2E5C4E"/>
            <w:u w:val="single"/>
          </w:rPr>
          <w:t xml:space="preserve">The Other Insurance provision</w:t>
        </w:r>
      </w:hyperlink>
      <w:r>
        <w:rPr>
          <w:b w:val="0"/>
          <w:i w:val="0"/>
        </w:rPr>
        <w:t xml:space="preserve"> does not apply to the underlying insurance. [WP REVIEW: whether the layer should follow the terms of the underlying policy, as is usual for an excess layer, rather than apply this policy's own terms]</w:t>
      </w:r>
    </w:p>
    <w:p>
      <w:r>
        <w:rPr>
          <w:b w:val="0"/>
          <w:i w:val="0"/>
        </w:rPr>
        <w:t>Schedule variables: underlying insurer and policy; underlying limit; limit of liability of the layer.</w:t>
      </w:r>
    </w:p>
    <w:p>
      <w:bookmarkStart w:id="145" w:name="c_imi_end_e12"/>
      <w:r>
        <w:rPr>
          <w:rFonts w:ascii="Georgia" w:hAnsi="Georgia" w:eastAsia="Georgia"/>
          <w:b/>
          <w:i w:val="0"/>
          <w:color w:val="2E5C4E"/>
          <w:sz w:val="25"/>
        </w:rPr>
        <w:t>E12 Employment Practices Liability</w:t>
      </w:r>
      <w:bookmarkEnd w:id="145"/>
    </w:p>
    <w:p>
      <w:r>
        <w:rPr>
          <w:b w:val="0"/>
          <w:i w:val="0"/>
        </w:rPr>
        <w:t>If a claim is first made against an insured during the policy period by or on behalf of an employee, or a person who applied to be an employee, for an employment practices wrongful act committed on or after the retroactive date, we will pay the amount the insured becomes legally liable to pay as compensation and the insured's defence costs, up to the employment practices limit shown in the schedule for this endorsement.</w:t>
      </w:r>
    </w:p>
    <w:p>
      <w:r>
        <w:rPr>
          <w:b w:val="0"/>
          <w:i w:val="0"/>
        </w:rPr>
        <w:t>An employment practices wrongful act is any actual or alleged unfair or wrongful dismissal, discrimination, harassment, bullying, or breach of an employment contract in the employment of a person.</w:t>
      </w:r>
    </w:p>
    <w:p>
      <w:hyperlink w:anchor="c_imi_excl_employers_liability">
        <w:r>
          <w:rPr>
            <w:color w:val="2E5C4E"/>
            <w:u w:val="single"/>
          </w:rPr>
          <w:t xml:space="preserve">The Employer's Liability exclusion</w:t>
        </w:r>
      </w:hyperlink>
      <w:r>
        <w:rPr>
          <w:b w:val="0"/>
          <w:i w:val="0"/>
        </w:rPr>
        <w:t xml:space="preserve"> does not apply to the extent of this endorsement. This endorsement does not cover: workers compensation benefits or premiums; wages, superannuation contributions, leave or other entitlements that are owed under a contract, an award or the law; the cost of complying with an order to employ or reinstate a person; fines or penalties that are not insurable at law; or any claim arising from industrial action. The employment practices limit forms part of, and is not in addition to, the overall aggregate. [WP REVIEW: whether the employment practices section needs its own definitions, extensions and exclusions as in the Management Liability wording]</w:t>
      </w:r>
    </w:p>
    <w:p>
      <w:r>
        <w:rPr>
          <w:b w:val="0"/>
          <w:i w:val="0"/>
        </w:rPr>
        <w:t>Schedule variables: employment practices limit; excess; number of employees.</w:t>
      </w:r>
    </w:p>
    <w:p>
      <w:bookmarkStart w:id="146" w:name="c_imi_end_e13"/>
      <w:r>
        <w:rPr>
          <w:rFonts w:ascii="Georgia" w:hAnsi="Georgia" w:eastAsia="Georgia"/>
          <w:b/>
          <w:i w:val="0"/>
          <w:color w:val="2E5C4E"/>
          <w:sz w:val="25"/>
        </w:rPr>
        <w:t>E13 Cryptocurrency and Digital Asset Fund Management</w:t>
      </w:r>
      <w:bookmarkEnd w:id="146"/>
    </w:p>
    <w:p>
      <w:hyperlink w:anchor="c_imi_ext_digital_assets_and_cryptocurre">
        <w:r>
          <w:rPr>
            <w:color w:val="2E5C4E"/>
            <w:u w:val="single"/>
          </w:rPr>
          <w:t xml:space="preserve">The Digital Assets and Cryptocurrency extension</w:t>
        </w:r>
      </w:hyperlink>
      <w:r>
        <w:rPr>
          <w:b w:val="0"/>
          <w:i w:val="0"/>
        </w:rPr>
        <w:t xml:space="preserve"> applies to the funds shown in the schedule for this endorsement on the following terms, which apply in addition to that extension and do not remove or narrow it.</w:t>
      </w:r>
    </w:p>
    <w:p>
      <w:r>
        <w:rPr>
          <w:b w:val="0"/>
          <w:i w:val="0"/>
        </w:rPr>
        <w:t>The custody and wallet-security arrangements shown in the schedule apply. If you do not comply with an arrangement, we may reduce what we pay only to the extent that our interests were prejudiced by the non-compliance, as the Insurance Contracts Act 1984 (Cth) allows.</w:t>
      </w:r>
    </w:p>
    <w:p>
      <w:r>
        <w:rPr>
          <w:b w:val="0"/>
          <w:i w:val="0"/>
        </w:rPr>
        <w:t xml:space="preserve">Digital assets are valued at the market price at the time the loss is discovered, taken from the price source shown in the schedule. A fall in the market price of a digital asset is not a loss. </w:t>
      </w:r>
      <w:hyperlink w:anchor="c_imi_excl_trading_losses_crime">
        <w:r>
          <w:rPr>
            <w:color w:val="2E5C4E"/>
            <w:u w:val="single"/>
          </w:rPr>
          <w:t xml:space="preserve">The Trading Losses — Crime exclusion</w:t>
        </w:r>
      </w:hyperlink>
      <w:r>
        <w:rPr>
          <w:b w:val="0"/>
          <w:i w:val="0"/>
        </w:rPr>
        <w:t xml:space="preserve"> continues to apply.</w:t>
      </w:r>
    </w:p>
    <w:p>
      <w:r>
        <w:rPr>
          <w:b w:val="0"/>
          <w:i w:val="0"/>
        </w:rPr>
        <w:t>The sub-limit shown in the schedule is the most we will pay under this endorsement. It forms part of, and is not in addition to, the limit of liability for the section.</w:t>
      </w:r>
    </w:p>
    <w:p>
      <w:r>
        <w:rPr>
          <w:b w:val="0"/>
          <w:i w:val="0"/>
        </w:rPr>
        <w:t>Schedule variables: funds covered; custody and wallet-security arrangements; price source; sub-limit; additional excess (optional).</w:t>
      </w:r>
    </w:p>
    <w:p>
      <w:bookmarkStart w:id="147" w:name="c_imi_end_e14"/>
      <w:r>
        <w:rPr>
          <w:rFonts w:ascii="Georgia" w:hAnsi="Georgia" w:eastAsia="Georgia"/>
          <w:b/>
          <w:i w:val="0"/>
          <w:color w:val="2E5C4E"/>
          <w:sz w:val="25"/>
        </w:rPr>
        <w:t>E14 Side A Difference in Conditions</w:t>
      </w:r>
      <w:bookmarkEnd w:id="147"/>
    </w:p>
    <w:p>
      <w:r>
        <w:rPr>
          <w:b w:val="0"/>
          <w:i w:val="0"/>
        </w:rPr>
        <w:t xml:space="preserve">We will pay an insured person's non-indemnifiable loss, as described in </w:t>
      </w:r>
      <w:hyperlink w:anchor="c_imi_cover_personal_liability_non_indem">
        <w:r>
          <w:rPr>
            <w:color w:val="2E5C4E"/>
            <w:u w:val="single"/>
          </w:rPr>
          <w:t xml:space="preserve">the Personal Liability — Non-Indemnifiable Loss (Side A) clause</w:t>
        </w:r>
      </w:hyperlink>
      <w:r>
        <w:rPr>
          <w:b w:val="0"/>
          <w:i w:val="0"/>
        </w:rPr>
        <w:t>, up to the Side A limit shown in the schedule for this endorsement, if the loss is not paid because:</w:t>
      </w:r>
    </w:p>
    <w:p>
      <w:pPr>
        <w:pStyle w:val="ListBullet"/>
      </w:pPr>
      <w:r>
        <w:rPr>
          <w:b w:val="0"/>
          <w:i w:val="0"/>
        </w:rPr>
        <w:t>the limit of liability of the section has been exhausted by payment; or</w:t>
      </w:r>
    </w:p>
    <w:p>
      <w:pPr>
        <w:pStyle w:val="ListBullet"/>
      </w:pPr>
      <w:r>
        <w:rPr>
          <w:b w:val="0"/>
          <w:i w:val="0"/>
        </w:rPr>
        <w:t>any other directors' and officers' insurance shown in the schedule for this endorsement has been exhausted by payment, or does not pay the loss because the other insurer is insolvent, because the other insurer refuses or fails to pay within 60 days of a written request, or because the other insurance has been cancelled or avoided.</w:t>
      </w:r>
    </w:p>
    <w:p>
      <w:r>
        <w:rPr>
          <w:b w:val="0"/>
          <w:i w:val="0"/>
        </w:rPr>
        <w:t xml:space="preserve">The Side A limit is in addition to the limit of liability of the section and the overall aggregate. It is reduced only by payments under this endorsement. No excess applies. </w:t>
      </w:r>
      <w:hyperlink w:anchor="c_imi_cond_non_rescindable_side_a">
        <w:r>
          <w:rPr>
            <w:color w:val="2E5C4E"/>
            <w:u w:val="single"/>
          </w:rPr>
          <w:t xml:space="preserve">The Non-Avoidance — Side A condition</w:t>
        </w:r>
      </w:hyperlink>
      <w:r>
        <w:rPr>
          <w:b w:val="0"/>
          <w:i w:val="0"/>
        </w:rPr>
        <w:t xml:space="preserve"> applies to it. </w:t>
      </w:r>
      <w:hyperlink w:anchor="c_imi_excl_prior_known_matters">
        <w:r>
          <w:rPr>
            <w:color w:val="2E5C4E"/>
            <w:u w:val="single"/>
          </w:rPr>
          <w:t xml:space="preserve">The Prior Known Matters exclusion</w:t>
        </w:r>
      </w:hyperlink>
      <w:r>
        <w:rPr>
          <w:b w:val="0"/>
          <w:i w:val="0"/>
        </w:rPr>
        <w:t xml:space="preserve"> and </w:t>
      </w:r>
      <w:hyperlink w:anchor="c_imi_excl_insured_versus_insured">
        <w:r>
          <w:rPr>
            <w:color w:val="2E5C4E"/>
            <w:u w:val="single"/>
          </w:rPr>
          <w:t xml:space="preserve">the Insured Versus Insured exclusion</w:t>
        </w:r>
      </w:hyperlink>
      <w:r>
        <w:rPr>
          <w:b w:val="0"/>
          <w:i w:val="0"/>
        </w:rPr>
        <w:t xml:space="preserve"> apply to it as they apply to Side A. </w:t>
      </w:r>
      <w:hyperlink w:anchor="c_imi_pay_priority_of_payment">
        <w:r>
          <w:rPr>
            <w:color w:val="2E5C4E"/>
            <w:u w:val="single"/>
          </w:rPr>
          <w:t xml:space="preserve">The Priority of Payment provision</w:t>
        </w:r>
      </w:hyperlink>
      <w:r>
        <w:rPr>
          <w:b w:val="0"/>
          <w:i w:val="0"/>
        </w:rPr>
        <w:t xml:space="preserve"> does not apply to the Side A limit, which only insured persons may claim against. [WP REVIEW: whether the Side A limit should sit outside the overall aggregate in the Section Limits and Overall Aggregate provision]</w:t>
      </w:r>
    </w:p>
    <w:p>
      <w:r>
        <w:rPr>
          <w:b w:val="0"/>
          <w:i w:val="0"/>
        </w:rPr>
        <w:t>Schedule variables: Side A limit; other directors' and officers' insurance.</w:t>
      </w:r>
    </w:p>
    <w:p>
      <w:bookmarkStart w:id="148" w:name="c_imi_licence_notice"/>
      <w:r>
        <w:rPr>
          <w:rFonts w:ascii="Georgia" w:hAnsi="Georgia" w:eastAsia="Georgia"/>
          <w:b/>
          <w:i w:val="0"/>
          <w:color w:val="1C1915"/>
          <w:sz w:val="32"/>
        </w:rPr>
        <w:t>Licence and Trademark Notice</w:t>
      </w:r>
      <w:bookmarkEnd w:id="148"/>
    </w:p>
    <w:p>
      <w:r>
        <w:rPr>
          <w:b w:val="0"/>
          <w:i w:val="0"/>
        </w:rPr>
        <w:t>Meridian Commons — Open Source Insurance Wording. This wording's TEXT is licensed under Creative Commons BY 4.0. The licence applies to the wording text only: the Cuttleflow name, the Meridian name, the bearing mark, and other Cuttleflow brand assets are excluded from the licence and may not be used by adopters without separate permission. An adopter's own schedules and endorsements built on top of this wording are that adopter's work product; CC BY 4.0 requires only that you attribute the wording text you use.</w:t>
      </w:r>
    </w:p>
    <w:p>
      <w:r>
        <w:rPr>
          <w:b w:val="0"/>
          <w:i w:val="0"/>
        </w:rPr>
        <w:t>Document ref: 2026/IMI/0001 · v1.4.0-DRAFT · November 2026. The version of this wording current at a policy's inception governs that policy for its duration.</w:t>
      </w:r>
    </w:p>
    <w:p>
      <w:r>
        <w:rPr>
          <w:b w:val="0"/>
          <w:i w:val="0"/>
        </w:rPr>
        <w:t>Adopters must obtain their own legal advice before use, must confirm use is approved by their capacity provider, and must not represent this wording as reviewed or approved by Cuttleflow Systems' Wording Partner for their use — the Wording Partner's review letter runs to Cuttleflow Pty Ltd t/a Cuttleflow Systems only.</w:t>
      </w:r>
    </w:p>
    <w:p>
      <w:r>
        <w:rPr>
          <w:b w:val="0"/>
          <w:i w:val="0"/>
        </w:rPr>
        <w:t>Designed for the Australian market under the Insurance Contracts Act 1984 (Cth), Corporations Act 2001 (Cth), and ASIC Act 2001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Remediation following the Claude pre-review of 2 November 2026. It replaces version 1.3.0 (November 2026). Changes from version 1.3.0:</w:t>
      </w:r>
    </w:p>
    <w:p>
      <w:pPr>
        <w:pStyle w:val="ListBullet"/>
      </w:pPr>
      <w:r>
        <w:rPr>
          <w:b w:val="0"/>
          <w:i w:val="0"/>
        </w:rPr>
        <w:t>Company Reimbursement (Side B): now has a claims-made trigger. It applies to a claim first made against an insured person during the policy period for a wrongful act on or after the retroactive date, as Side A does.</w:t>
      </w:r>
    </w:p>
    <w:p>
      <w:pPr>
        <w:pStyle w:val="ListBullet"/>
      </w:pPr>
      <w:r>
        <w:rPr>
          <w:b w:val="0"/>
          <w:i w:val="0"/>
        </w:rPr>
        <w:t>Retroactive Date: new operative condition, and the Defence of Regulatory Proceedings, AFCA Complaints, Side B and Fund Assets — Third-Party Service Provider Failure clauses now state it. Related wrongful acts that began before the retroactive date are treated as committed before it. A stray reference in Item 3 of the schedule is corrected. Where no retroactive date is shown, the prior known matters and prior and pending litigation exclusions run from the start of the policy period. Default set for underwriter confirmation.</w:t>
      </w:r>
    </w:p>
    <w:p>
      <w:pPr>
        <w:pStyle w:val="ListBullet"/>
      </w:pPr>
      <w:r>
        <w:rPr>
          <w:b w:val="0"/>
          <w:i w:val="0"/>
        </w:rPr>
        <w:t>Crime section: each insuring clause now pays the loss of the company or a fund, and each runs on discovery during the policy period. The definition of Discovery follows the Comprehensive Crime wording, and Responsible person has a fallback for entities without those roles. In the Crime section, you and your mean the company only. The Loss definition now has one causation test for Crime.</w:t>
      </w:r>
    </w:p>
    <w:p>
      <w:pPr>
        <w:pStyle w:val="ListBullet"/>
      </w:pPr>
      <w:r>
        <w:rPr>
          <w:b w:val="0"/>
          <w:i w:val="0"/>
        </w:rPr>
        <w:t>New Crime clauses: Prior Discovery, Prior Insurance and Superseded Policies, Valuation and Recoveries, and Extended Discovery Period. The Single Loss extension now refers to superseded policies. Default set for underwriter confirmation.</w:t>
      </w:r>
    </w:p>
    <w:p>
      <w:pPr>
        <w:pStyle w:val="ListBullet"/>
      </w:pPr>
      <w:r>
        <w:rPr>
          <w:b w:val="0"/>
          <w:i w:val="0"/>
        </w:rPr>
        <w:t>Payment to Funds: the company must apply the payment to the fund, the payment discharges us, and the clause is marked for legal review.</w:t>
      </w:r>
    </w:p>
    <w:p>
      <w:pPr>
        <w:pStyle w:val="ListBullet"/>
      </w:pPr>
      <w:r>
        <w:rPr>
          <w:b w:val="0"/>
          <w:i w:val="0"/>
        </w:rPr>
        <w:t>Extended Reporting Period: no longer applies on cancellation for non-payment of premium or where another policy replaces this one, matching the Extended Reporting Period endorsement. Default set for underwriter confirmation. The reference to a discovery notification period in Fund Wind-Up Run-Off now points to the new Extended Discovery Period — Crime.</w:t>
      </w:r>
    </w:p>
    <w:p>
      <w:pPr>
        <w:pStyle w:val="ListBullet"/>
      </w:pPr>
      <w:r>
        <w:rPr>
          <w:b w:val="0"/>
          <w:i w:val="0"/>
        </w:rPr>
        <w:t>Priority of Payment: now applies when a section limit or the overall aggregate is or may be insufficient, and gives discharge for good-faith payments.</w:t>
      </w:r>
    </w:p>
    <w:p>
      <w:pPr>
        <w:pStyle w:val="ListBullet"/>
      </w:pPr>
      <w:r>
        <w:rPr>
          <w:b w:val="0"/>
          <w:i w:val="0"/>
        </w:rPr>
        <w:t>Other Insurance: the policy no longer reduces its payment because of other insurance, except where the schedule or an endorsement names an underlying policy. Fund insurance, the crime and cyber boundary and contribution are stated. Default set for underwriter confirmation.</w:t>
      </w:r>
    </w:p>
    <w:p>
      <w:pPr>
        <w:pStyle w:val="ListBullet"/>
      </w:pPr>
      <w:r>
        <w:rPr>
          <w:b w:val="0"/>
          <w:i w:val="0"/>
        </w:rPr>
        <w:t>Sanctions: now a standalone general condition, removed from the war, terrorism and nuclear exclusion, which is renamed.</w:t>
      </w:r>
    </w:p>
    <w:p>
      <w:pPr>
        <w:pStyle w:val="ListBullet"/>
      </w:pPr>
      <w:r>
        <w:rPr>
          <w:b w:val="0"/>
          <w:i w:val="0"/>
        </w:rPr>
        <w:t>Corporations Act 2001 (Cth), sections 199A and 199B: new condition, marked for legal review, with advance-and-repay defence costs.</w:t>
      </w:r>
    </w:p>
    <w:p>
      <w:pPr>
        <w:pStyle w:val="ListBullet"/>
      </w:pPr>
      <w:r>
        <w:rPr>
          <w:b w:val="0"/>
          <w:i w:val="0"/>
        </w:rPr>
        <w:t>Fines and Penalties: new clause naming the New South Wales, Victoria and Queensland bans on insuring work health and safety penalties and excluding criminal fines. The definition of Loss and the Financial Accountability Regime extension refer to it, and the extension is marked for legal review.</w:t>
      </w:r>
    </w:p>
    <w:p>
      <w:pPr>
        <w:pStyle w:val="ListBullet"/>
      </w:pPr>
      <w:r>
        <w:rPr>
          <w:b w:val="0"/>
          <w:i w:val="0"/>
        </w:rPr>
        <w:t>New definitions of Control group and Final adjudication. Company knowledge is the knowledge of the control group in the duty of disclosure, severability, prior known matters and Non-Avoidance provisions.</w:t>
      </w:r>
    </w:p>
    <w:p>
      <w:pPr>
        <w:pStyle w:val="ListBullet"/>
      </w:pPr>
      <w:r>
        <w:rPr>
          <w:b w:val="0"/>
          <w:i w:val="0"/>
        </w:rPr>
        <w:t>Severability and Non-Imputation: now covers the company and funds as well as insured persons. A fund's knowledge is treated as that of its manager's control group. Default set for underwriter confirmation.</w:t>
      </w:r>
    </w:p>
    <w:p>
      <w:pPr>
        <w:pStyle w:val="ListBullet"/>
      </w:pPr>
      <w:r>
        <w:rPr>
          <w:b w:val="0"/>
          <w:i w:val="0"/>
        </w:rPr>
        <w:t>Non-Avoidance — Side A: renamed from Non-Rescindable — Side A. It now covers non-disclosure as well as misrepresentation, and waives the section 28(3) reduction for every innocent insured person.</w:t>
      </w:r>
    </w:p>
    <w:p>
      <w:pPr>
        <w:pStyle w:val="ListBullet"/>
      </w:pPr>
      <w:r>
        <w:rPr>
          <w:b w:val="0"/>
          <w:i w:val="0"/>
        </w:rPr>
        <w:t>Insurance Contracts Act 1984 (Cth): replaced with a single statement of the Act's prevailing effect and of how section 54 applies to every condition, exclusion, limit and obligation.</w:t>
      </w:r>
    </w:p>
    <w:p>
      <w:pPr>
        <w:pStyle w:val="ListBullet"/>
      </w:pPr>
      <w:r>
        <w:rPr>
          <w:b w:val="0"/>
          <w:i w:val="0"/>
        </w:rPr>
        <w:t>Cancellation: you may cancel at any time and receive a pro-rata refund. Our cancellation requires statutory notice and not less than 30 days (the 30-day period is the library's settled position).</w:t>
      </w:r>
    </w:p>
    <w:p>
      <w:pPr>
        <w:pStyle w:val="ListBullet"/>
      </w:pPr>
      <w:r>
        <w:rPr>
          <w:b w:val="0"/>
          <w:i w:val="0"/>
        </w:rPr>
        <w:t>Side A Difference in Conditions endorsement: the trigger is restated, the other insurance is the insurance shown in the schedule, and Priority of Payment no longer says its payments are made first. The Side A limit is stated to be in addition to the overall aggregate.</w:t>
      </w:r>
    </w:p>
    <w:p>
      <w:pPr>
        <w:pStyle w:val="ListBullet"/>
      </w:pPr>
      <w:r>
        <w:rPr>
          <w:b w:val="0"/>
          <w:i w:val="0"/>
        </w:rPr>
        <w:t>Who This Policy Is For: new statement of the retail client position, with a note on compensation arrangements for licensees.</w:t>
      </w:r>
    </w:p>
    <w:p>
      <w:r>
        <w:rPr>
          <w:b w:val="0"/>
          <w:i/>
          <w:sz w:val="18"/>
        </w:rPr>
        <w:t>Cuttleflow Systems — Open Source Insurance Wording</w:t>
      </w:r>
    </w:p>
    <w:p>
      <w:r>
        <w:rPr>
          <w:rFonts w:ascii="Consolas" w:hAnsi="Consolas" w:eastAsia="Consolas"/>
          <w:b w:val="0"/>
          <w:i w:val="0"/>
          <w:sz w:val="16"/>
        </w:rPr>
        <w:t>2026/IMI/0001 · v1.4.0-DRAFT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2026/IMI/0001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INVESTMENT MANAGERS INDEMNITY INSURANCE · V1.4.0-DRAFT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Managers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