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BUILDING SURVEYORS AND CERTIFIERS</w:t>
      </w:r>
    </w:p>
    <w:p>
      <w:r>
        <w:rPr>
          <w:rFonts w:ascii="Georgia" w:hAnsi="Georgia" w:eastAsia="Georgia"/>
          <w:b/>
          <w:i w:val="0"/>
          <w:sz w:val="60"/>
        </w:rPr>
        <w:t>Building Surveyors and Certifiers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2026/PI/0003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Building Surveyors and Certifiers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building surveying, and the assessment, approval and certification of building work, under a building law of a state or territory;</w:t>
      </w:r>
    </w:p>
    <w:p>
      <w:r>
        <w:rPr>
          <w:b w:val="0"/>
          <w:i w:val="0"/>
        </w:rPr>
        <w:t>(b) the inspection of building work at the stages that building law requires or permits;</w:t>
      </w:r>
    </w:p>
    <w:p>
      <w:r>
        <w:rPr>
          <w:b w:val="0"/>
          <w:i w:val="0"/>
        </w:rPr>
        <w:t>(c) building compliance reports, building condition reports and fire safety reports prepared in connection with the services in (a) and (b); and</w:t>
      </w:r>
    </w:p>
    <w:p>
      <w:r>
        <w:rPr>
          <w:b w:val="0"/>
          <w:i w:val="0"/>
        </w:rPr>
        <w:t>(d) any other service shown in the schedule as a professional service.</w:t>
      </w:r>
    </w:p>
    <w:p>
      <w:r>
        <w:rPr>
          <w:b w:val="0"/>
          <w:i w:val="0"/>
        </w:rPr>
        <w:t>A service in (a), (b) or (c) is a professional service only if the person who provides it holds the registration, licence or accreditation that the building law requires for that function and that class of building, or provides it under the direct control and supervision of such a person to the extent that the law permits.</w:t>
      </w:r>
    </w:p>
    <w:p>
      <w:bookmarkStart w:id="2" w:name="c_end_1"/>
      <w:r>
        <w:rPr>
          <w:rFonts w:ascii="Georgia" w:hAnsi="Georgia" w:eastAsia="Georgia"/>
          <w:b/>
          <w:i w:val="0"/>
          <w:color w:val="1C1915"/>
          <w:sz w:val="32"/>
        </w:rPr>
        <w:t>Added: Cover from First Registration</w:t>
      </w:r>
      <w:bookmarkEnd w:id="2"/>
    </w:p>
    <w:p>
      <w:r>
        <w:rPr>
          <w:b w:val="0"/>
          <w:i w:val="0"/>
        </w:rPr>
        <w:t>The following extension is added to the base wording, after the Subcontractors and Outsourcers extension.</w:t>
      </w:r>
    </w:p>
    <w:p>
      <w:r>
        <w:rPr>
          <w:b/>
          <w:i w:val="0"/>
        </w:rPr>
        <w:t>Cover from First Registration</w:t>
      </w:r>
    </w:p>
    <w:p>
      <w:r>
        <w:rPr>
          <w:b w:val="0"/>
          <w:i w:val="0"/>
        </w:rPr>
        <w:t>Where a law under which you are registered as a building surveyor or certifier requires your insurance to cover liability for work carried out since you were first registered, the retroactive date, for a claim arising from that work, is the date you were first registered under that law, if that date is earlier than the retroactive date shown in the schedule.</w:t>
      </w:r>
    </w:p>
    <w:p>
      <w:r>
        <w:rPr>
          <w:b w:val="0"/>
          <w:i w:val="0"/>
        </w:rPr>
        <w:t xml:space="preserve">This extension does not affect </w:t>
      </w:r>
      <w:hyperlink w:anchor="c_pi_excl_prior_known_circumstances">
        <w:r>
          <w:rPr>
            <w:color w:val="2E5C4E"/>
            <w:u w:val="single"/>
          </w:rPr>
          <w:t xml:space="preserve">the Prior Known Circumstances exclusion</w:t>
        </w:r>
      </w:hyperlink>
      <w:r>
        <w:rPr>
          <w:b w:val="0"/>
          <w:i w:val="0"/>
        </w:rPr>
        <w:t>.</w:t>
      </w:r>
    </w:p>
    <w:p>
      <w:bookmarkStart w:id="3" w:name="c_end_2"/>
      <w:r>
        <w:rPr>
          <w:rFonts w:ascii="Georgia" w:hAnsi="Georgia" w:eastAsia="Georgia"/>
          <w:b/>
          <w:i w:val="0"/>
          <w:color w:val="1C1915"/>
          <w:sz w:val="32"/>
        </w:rPr>
        <w:t>Added: Building Regulator Proceedings</w:t>
      </w:r>
      <w:bookmarkEnd w:id="3"/>
    </w:p>
    <w:p>
      <w:r>
        <w:rPr>
          <w:b w:val="0"/>
          <w:i w:val="0"/>
        </w:rPr>
        <w:t>The following extension is added to the base wording, after the Cover from First Registration extension.</w:t>
      </w:r>
    </w:p>
    <w:p>
      <w:r>
        <w:rPr>
          <w:b/>
          <w:i w:val="0"/>
        </w:rPr>
        <w:t>Building Regulator Proceedings</w:t>
      </w:r>
    </w:p>
    <w:p>
      <w:r>
        <w:rPr>
          <w:b w:val="0"/>
          <w:i w:val="0"/>
        </w:rPr>
        <w:t xml:space="preserve">In </w:t>
      </w:r>
      <w:hyperlink w:anchor="c_pi_def_claim">
        <w:r>
          <w:rPr>
            <w:color w:val="2E5C4E"/>
            <w:u w:val="single"/>
          </w:rPr>
          <w:t xml:space="preserve">the definition of Claim</w:t>
        </w:r>
      </w:hyperlink>
      <w:r>
        <w:rPr>
          <w:b w:val="0"/>
          <w:i w:val="0"/>
        </w:rPr>
        <w:t xml:space="preserve"> and </w:t>
      </w:r>
      <w:hyperlink w:anchor="c_pi_ext_inquiry_costs">
        <w:r>
          <w:rPr>
            <w:color w:val="2E5C4E"/>
            <w:u w:val="single"/>
          </w:rPr>
          <w:t xml:space="preserve">the Inquiry Costs extension</w:t>
        </w:r>
      </w:hyperlink>
      <w:r>
        <w:rPr>
          <w:b w:val="0"/>
          <w:i w:val="0"/>
        </w:rPr>
        <w:t>, a professional disciplinary body and a regulator include any authority of a state or territory that registers, licenses, audits or disciplines building surveyors or certifiers.</w:t>
      </w:r>
    </w:p>
    <w:p>
      <w:r>
        <w:rPr>
          <w:b w:val="0"/>
          <w:i w:val="0"/>
        </w:rPr>
        <w:t>This extension does not cover any fine or penalty, or the cost of complying with an order to carry out or pay for rectification work, except to the extent that the order compensates a third party for loss caused by your negligence.</w:t>
      </w:r>
    </w:p>
    <w:p>
      <w:bookmarkStart w:id="4" w:name="c_end_3"/>
      <w:r>
        <w:rPr>
          <w:rFonts w:ascii="Georgia" w:hAnsi="Georgia" w:eastAsia="Georgia"/>
          <w:b/>
          <w:i w:val="0"/>
          <w:color w:val="1C1915"/>
          <w:sz w:val="32"/>
        </w:rPr>
        <w:t>Added: Construction Work</w:t>
      </w:r>
      <w:bookmarkEnd w:id="4"/>
    </w:p>
    <w:p>
      <w:r>
        <w:rPr>
          <w:b w:val="0"/>
          <w:i w:val="0"/>
        </w:rPr>
        <w:t>The following exclusion is added to the base wording, after the Products exclusion.</w:t>
      </w:r>
    </w:p>
    <w:p>
      <w:r>
        <w:rPr>
          <w:b/>
          <w:i w:val="0"/>
        </w:rPr>
        <w:t>Construction Work</w:t>
      </w:r>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 w:name="c_end_4"/>
      <w:r>
        <w:rPr>
          <w:rFonts w:ascii="Georgia" w:hAnsi="Georgia" w:eastAsia="Georgia"/>
          <w:b/>
          <w:i w:val="0"/>
          <w:color w:val="1C1915"/>
          <w:sz w:val="32"/>
        </w:rPr>
        <w:t>Building Surveyors and Certifiers Endorsements</w:t>
      </w:r>
      <w:bookmarkEnd w:id="5"/>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6" w:name="c_end_5"/>
      <w:r>
        <w:rPr>
          <w:rFonts w:ascii="Georgia" w:hAnsi="Georgia" w:eastAsia="Georgia"/>
          <w:b/>
          <w:i w:val="0"/>
          <w:color w:val="1C1915"/>
          <w:sz w:val="32"/>
        </w:rPr>
        <w:t>External Cladding Exclusion</w:t>
      </w:r>
      <w:bookmarkEnd w:id="6"/>
    </w:p>
    <w:p>
      <w:r>
        <w:rPr>
          <w:b w:val="0"/>
          <w:i w:val="0"/>
        </w:rPr>
        <w:t>We do not cover any claim, loss or liability arising from the use, or proposed use, in a building of external wall cladding that is combustible or that does not comply with the building law that applies to the building, including any assessment, approval, certification or inspection of building work that includes that cladding.</w:t>
      </w:r>
    </w:p>
    <w:p>
      <w:r>
        <w:rPr>
          <w:b w:val="0"/>
          <w:i w:val="0"/>
        </w:rPr>
        <w:t>This endorsement applies to building work in a state or territory only to the extent that, and in the terms in which, the law requiring you to hold this insurance in that state or territory permits such an exclusion. Where that law prescribes the words of a permitted exclusion, those words apply in place of the first paragraph for building work in that state or territory.</w:t>
      </w:r>
    </w:p>
    <w:p>
      <w:r>
        <w:rPr>
          <w:b w:val="0"/>
          <w:i w:val="0"/>
        </w:rPr>
        <w:t>This endorsement does not apply to building work in a state or territory where that law does not permit an exclusion of this kind on the date the policy period starts.</w:t>
      </w:r>
    </w:p>
    <w:p>
      <w:bookmarkStart w:id="7" w:name="c_end_6"/>
      <w:r>
        <w:rPr>
          <w:rFonts w:ascii="Georgia" w:hAnsi="Georgia" w:eastAsia="Georgia"/>
          <w:b/>
          <w:i w:val="0"/>
          <w:color w:val="1C1915"/>
          <w:sz w:val="32"/>
        </w:rPr>
        <w:t>Apartment Buildings Sub-limit</w:t>
      </w:r>
      <w:bookmarkEnd w:id="7"/>
    </w:p>
    <w:p>
      <w:r>
        <w:rPr>
          <w:b w:val="0"/>
          <w:i w:val="0"/>
        </w:rPr>
        <w:t>For all claims arising from services for a Class 2 building under the National Construction Code, or for any building of more than three storeys, the most we will pay in total, including defence costs, is the sub-limit shown in the schedule for this endorsement. The sub-limit is part of, and not in addition to, the limit of liability.</w:t>
      </w:r>
    </w:p>
    <w:p>
      <w:bookmarkStart w:id="8" w:name="c_end_7"/>
      <w:r>
        <w:rPr>
          <w:rFonts w:ascii="Georgia" w:hAnsi="Georgia" w:eastAsia="Georgia"/>
          <w:b/>
          <w:i w:val="0"/>
          <w:color w:val="1C1915"/>
          <w:sz w:val="32"/>
        </w:rPr>
        <w:t>Retirement Run-off</w:t>
      </w:r>
      <w:bookmarkEnd w:id="8"/>
    </w:p>
    <w:p>
      <w:r>
        <w:rPr>
          <w:b w:val="0"/>
          <w:i w:val="0"/>
        </w:rPr>
        <w:t xml:space="preserve">If you permanently cease to practise as a building surveyor or certifier during the policy period, and this endorsement is shown in the schedule, </w:t>
      </w:r>
      <w:hyperlink w:anchor="c_pi_ext_run_off_cover">
        <w:r>
          <w:rPr>
            <w:color w:val="2E5C4E"/>
            <w:u w:val="single"/>
          </w:rPr>
          <w:t xml:space="preserve">the Run-Off Cover extension</w:t>
        </w:r>
      </w:hyperlink>
      <w:r>
        <w:rPr>
          <w:b w:val="0"/>
          <w:i w:val="0"/>
        </w:rPr>
        <w:t xml:space="preserve"> continues for the period shown in the schedule for this endorsement, of up to 10 years after the end of the policy period, on payment of the premium shown in the schedule.</w:t>
      </w:r>
    </w:p>
    <w:p>
      <w:r>
        <w:rPr>
          <w:b w:val="0"/>
          <w:i w:val="0"/>
        </w:rPr>
        <w:t>All other terms of this policy, including the limit of liability, continue to apply to those claims.</w:t>
      </w:r>
    </w:p>
    <w:p>
      <w:bookmarkStart w:id="9" w:name="c_end_8"/>
      <w:r>
        <w:rPr>
          <w:rFonts w:ascii="Georgia" w:hAnsi="Georgia" w:eastAsia="Georgia"/>
          <w:b/>
          <w:i w:val="0"/>
          <w:color w:val="1C1915"/>
          <w:sz w:val="32"/>
        </w:rPr>
        <w:t>Pool Safety Inspections</w:t>
      </w:r>
      <w:bookmarkEnd w:id="9"/>
    </w:p>
    <w:p>
      <w:r>
        <w:rPr>
          <w:b w:val="0"/>
          <w:i w:val="0"/>
        </w:rPr>
        <w:t>The inspection and certification of swimming pool and spa barriers under a law of a state or territory are professional services under this policy, if the person who carries them out holds the licence or accreditation that the law requires.</w:t>
      </w:r>
    </w:p>
    <w:p>
      <w:bookmarkStart w:id="10" w:name="c_end_9"/>
      <w:r>
        <w:rPr>
          <w:rFonts w:ascii="Georgia" w:hAnsi="Georgia" w:eastAsia="Georgia"/>
          <w:b/>
          <w:i w:val="0"/>
          <w:color w:val="1C1915"/>
          <w:sz w:val="32"/>
        </w:rPr>
        <w:t>Fire Performance Solutions Exclusion</w:t>
      </w:r>
      <w:bookmarkEnd w:id="10"/>
    </w:p>
    <w:p>
      <w:r>
        <w:rPr>
          <w:b w:val="0"/>
          <w:i w:val="0"/>
        </w:rPr>
        <w:t>We do not cover any claim, loss or liability arising from your assessment or approval of a performance solution under the National Construction Code that relates to fire safety, unless the performance solution was prepared by a person registered or accredited to prepare it under the law of the state or territory where the building is located.</w:t>
      </w:r>
    </w:p>
    <w:p>
      <w:r>
        <w:rPr>
          <w:b w:val="0"/>
          <w:i/>
          <w:sz w:val="18"/>
        </w:rPr>
        <w:t>Cuttleflow Systems — Open Source Insurance Wording</w:t>
      </w:r>
    </w:p>
    <w:p>
      <w:r>
        <w:rPr>
          <w:rFonts w:ascii="Consolas" w:hAnsi="Consolas" w:eastAsia="Consolas"/>
          <w:b w:val="0"/>
          <w:i w:val="0"/>
          <w:sz w:val="16"/>
        </w:rPr>
        <w:t>2026/PI/0003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2026/PI/0003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BUILDING SURVEYORS AND CERTIFIERS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Surveyors and Certifiers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