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r>
        <w:rPr>
          <w:rFonts w:ascii="Consolas" w:hAnsi="Consolas" w:eastAsia="Consolas"/>
          <w:b w:val="0"/>
          <w:i w:val="0"/>
          <w:sz w:val="24"/>
        </w:rPr>
        <w:t xml:space="preserve">cuttleflow </w:t>
      </w:r>
      <w:r>
        <w:rPr>
          <w:rFonts w:ascii="Consolas" w:hAnsi="Consolas" w:eastAsia="Consolas"/>
          <w:b/>
          <w:i w:val="0"/>
          <w:sz w:val="24"/>
        </w:rPr>
        <w:t>SYSTEMS</w:t>
      </w:r>
    </w:p>
    <w:p>
      <w:r>
        <w:rPr>
          <w:rFonts w:ascii="Consolas" w:hAnsi="Consolas" w:eastAsia="Consolas"/>
          <w:b w:val="0"/>
          <w:i w:val="0"/>
          <w:color w:val="C24E2C"/>
          <w:sz w:val="18"/>
        </w:rPr>
        <w:t>FINANCIAL SERVICES PROFESSIONAL INDEMNITY INSURANCE · CREDIT INTERMEDIARIES</w:t>
      </w:r>
    </w:p>
    <w:p>
      <w:r>
        <w:rPr>
          <w:rFonts w:ascii="Georgia" w:hAnsi="Georgia" w:eastAsia="Georgia"/>
          <w:b/>
          <w:i w:val="0"/>
          <w:sz w:val="60"/>
        </w:rPr>
        <w:t>Credit Intermediaries Professional Indemnity Insurance — Endorsement</w:t>
      </w:r>
    </w:p>
    <w:p>
      <w:r>
        <w:rPr>
          <w:rFonts w:ascii="Georgia" w:hAnsi="Georgia" w:eastAsia="Georgia"/>
          <w:b w:val="0"/>
          <w:i/>
          <w:color w:val="2E5C4E"/>
          <w:sz w:val="28"/>
        </w:rPr>
        <w:t>Policy endorsement</w:t>
      </w:r>
    </w:p>
    <w:p>
      <w:r>
        <w:rPr>
          <w:rFonts w:ascii="Georgia" w:hAnsi="Georgia" w:eastAsia="Georgia"/>
          <w:b w:val="0"/>
          <w:i/>
          <w:color w:val="2E5C4E"/>
          <w:sz w:val="26"/>
        </w:rPr>
        <w:t>Cuttleflow Systems — Open Source Insurance Wording</w:t>
      </w:r>
    </w:p>
    <w:p>
      <w:r>
        <w:rPr>
          <w:rFonts w:ascii="Consolas" w:hAnsi="Consolas" w:eastAsia="Consolas"/>
          <w:b w:val="0"/>
          <w:i w:val="0"/>
          <w:color w:val="2E5C4E"/>
          <w:sz w:val="18"/>
        </w:rPr>
        <w:t>Version 1.0.0-DRAFT · October 2026 · CC BY 4.0 (wording text only)</w:t>
      </w:r>
    </w:p>
    <w:p>
      <w:r>
        <w:rPr>
          <w:rFonts w:ascii="Consolas" w:hAnsi="Consolas" w:eastAsia="Consolas"/>
          <w:b w:val="0"/>
          <w:i w:val="0"/>
          <w:color w:val="2E5C4E"/>
          <w:sz w:val="18"/>
        </w:rPr>
        <w:t>Attaches to base wording fs-base@1.0.0-DRAFT</w:t>
      </w:r>
    </w:p>
    <w:p>
      <w:r>
        <w:rPr>
          <w:rFonts w:ascii="Consolas" w:hAnsi="Consolas" w:eastAsia="Consolas"/>
          <w:b w:val="0"/>
          <w:i w:val="0"/>
          <w:sz w:val="18"/>
        </w:rPr>
        <w:t>Document ref 2026/FS/0003 · CUTTLEFLOW PTY LTD T/A CUTTLEFLOW SYSTEMS</w:t>
      </w:r>
    </w:p>
    <w:p>
      <w:r>
        <w:rPr>
          <w:b/>
          <w:i w:val="0"/>
          <w:color w:val="C24E2C"/>
        </w:rPr>
        <w:t>DRAFT — SUBJECT TO LEGAL REVIEW — NOT FOR USE</w:t>
      </w:r>
    </w:p>
    <w:p/>
    <w:p/>
    <w:p/>
    <w:p/>
    <w:p/>
    <w:p/>
    <w:p/>
    <w:p/>
    <w:p>
      <w:r>
        <w:rPr>
          <w:rFonts w:ascii="Consolas" w:hAnsi="Consolas" w:eastAsia="Consolas"/>
          <w:b w:val="0"/>
          <w:i w:val="0"/>
          <w:sz w:val="16"/>
        </w:rPr>
        <w:t>33°53′S · 151°16′E · Sydney</w:t>
      </w:r>
      <w:r>
        <w:br w:type="page"/>
      </w:r>
    </w:p>
    <w:p>
      <w:bookmarkStart w:id="0" w:name="c_end_application"/>
      <w:r>
        <w:rPr>
          <w:rFonts w:ascii="Georgia" w:hAnsi="Georgia" w:eastAsia="Georgia"/>
          <w:b/>
          <w:i w:val="0"/>
          <w:color w:val="1C1915"/>
          <w:sz w:val="32"/>
        </w:rPr>
        <w:t>Application</w:t>
      </w:r>
      <w:bookmarkEnd w:id="0"/>
    </w:p>
    <w:p>
      <w:r>
        <w:rPr>
          <w:b w:val="0"/>
          <w:i w:val="0"/>
        </w:rPr>
        <w:t>This endorsement attaches to and forms part of the Meridian Financial Services Professional Indemnity Insurance wording, version 1.0.0-DRAFT (document reference 2026/FS/0001), referred to here as the base wording. It changes the base wording only as set out below. All other terms, conditions, exclusions and limits of the base wording continue to apply.</w:t>
      </w:r>
    </w:p>
    <w:p>
      <w:r>
        <w:rPr>
          <w:b w:val="0"/>
          <w:i w:val="0"/>
        </w:rPr>
        <w:t>Words defined in the base wording have the same meaning in this endorsement. Where this endorsement and the base wording conflict, this endorsement applies to the extent of the conflict.</w:t>
      </w:r>
    </w:p>
    <w:p>
      <w:r>
        <w:rPr>
          <w:b w:val="0"/>
          <w:i w:val="0"/>
        </w:rPr>
        <w:t>The same terms are published as a single integrated wording, Credit Intermediaries Professional Indemnity Insurance, version 1.0.0-DRAFT. Both documents are generated from the same source and have the same effect.</w:t>
      </w:r>
    </w:p>
    <w:p>
      <w:bookmarkStart w:id="1" w:name="c_end_0"/>
      <w:r>
        <w:rPr>
          <w:rFonts w:ascii="Georgia" w:hAnsi="Georgia" w:eastAsia="Georgia"/>
          <w:b/>
          <w:i w:val="0"/>
          <w:color w:val="1C1915"/>
          <w:sz w:val="32"/>
        </w:rPr>
        <w:t>Replaced: Professional services</w:t>
      </w:r>
      <w:bookmarkEnd w:id="1"/>
    </w:p>
    <w:p>
      <w:r>
        <w:rPr>
          <w:b w:val="0"/>
          <w:i w:val="0"/>
        </w:rPr>
        <w:t>The definition of Professional services in the base wording is deleted and replaced with the following.</w:t>
      </w:r>
    </w:p>
    <w:p>
      <w:r>
        <w:rPr>
          <w:b/>
          <w:i w:val="0"/>
        </w:rPr>
        <w:t>Professional services</w:t>
      </w:r>
    </w:p>
    <w:p>
      <w:r>
        <w:rPr>
          <w:b w:val="0"/>
          <w:i w:val="0"/>
        </w:rPr>
        <w:t>Credit assistance and other credit activities, to the extent that you are authorised to engage in them under the Australian credit licence shown in the schedule, or as a credit representative of the licensee shown in the schedule, including for residential, investment, commercial and asset finance; and any other service shown in the schedule as a professional service.</w:t>
      </w:r>
    </w:p>
    <w:p>
      <w:bookmarkStart w:id="2" w:name="c_end_1"/>
      <w:r>
        <w:rPr>
          <w:rFonts w:ascii="Georgia" w:hAnsi="Georgia" w:eastAsia="Georgia"/>
          <w:b/>
          <w:i w:val="0"/>
          <w:color w:val="1C1915"/>
          <w:sz w:val="32"/>
        </w:rPr>
        <w:t>Added: Lender Claims and Commission Clawback</w:t>
      </w:r>
      <w:bookmarkEnd w:id="2"/>
    </w:p>
    <w:p>
      <w:r>
        <w:rPr>
          <w:b w:val="0"/>
          <w:i w:val="0"/>
        </w:rPr>
        <w:t>The following exclusion is added to the base wording, after the Investment Performance exclusion.</w:t>
      </w:r>
    </w:p>
    <w:p>
      <w:r>
        <w:rPr>
          <w:b/>
          <w:i w:val="0"/>
        </w:rPr>
        <w:t>Lender Claims and Commission Clawback</w:t>
      </w:r>
    </w:p>
    <w:p>
      <w:r>
        <w:rPr>
          <w:b w:val="0"/>
          <w:i w:val="0"/>
        </w:rPr>
        <w:t>(a) Brought by a credit provider, lender, mortgage manager or aggregator against you, except a claim for contribution or indemnity in respect of a claim by your client; or</w:t>
      </w:r>
    </w:p>
    <w:p>
      <w:r>
        <w:rPr>
          <w:b w:val="0"/>
          <w:i w:val="0"/>
        </w:rPr>
        <w:t>(b) for the repayment or clawback of commission or fees paid to you.</w:t>
      </w:r>
    </w:p>
    <w:p>
      <w:bookmarkStart w:id="3" w:name="c_end_2"/>
      <w:r>
        <w:rPr>
          <w:rFonts w:ascii="Georgia" w:hAnsi="Georgia" w:eastAsia="Georgia"/>
          <w:b/>
          <w:i w:val="0"/>
          <w:color w:val="1C1915"/>
          <w:sz w:val="32"/>
        </w:rPr>
        <w:t>Credit Intermediaries Endorsements</w:t>
      </w:r>
      <w:bookmarkEnd w:id="3"/>
    </w:p>
    <w:p>
      <w:r>
        <w:rPr>
          <w:b w:val="0"/>
          <w:i w:val="0"/>
        </w:rPr>
        <w:t>The following endorsements apply to this policy only when the schedule shows that they apply.</w:t>
      </w:r>
    </w:p>
    <w:p>
      <w:r>
        <w:rPr>
          <w:b w:val="0"/>
          <w:i w:val="0"/>
        </w:rPr>
        <w:t>An endorsement does not apply to the extent that a law, or a requirement of ASIC, requiring you to hold this insurance does not permit the cover it removes to be excluded or limited.</w:t>
      </w:r>
    </w:p>
    <w:p>
      <w:bookmarkStart w:id="4" w:name="c_end_3"/>
      <w:r>
        <w:rPr>
          <w:rFonts w:ascii="Georgia" w:hAnsi="Georgia" w:eastAsia="Georgia"/>
          <w:b/>
          <w:i w:val="0"/>
          <w:color w:val="1C1915"/>
          <w:sz w:val="32"/>
        </w:rPr>
        <w:t>Lender Claims Buy-back</w:t>
      </w:r>
      <w:bookmarkEnd w:id="4"/>
    </w:p>
    <w:p>
      <w:r>
        <w:rPr>
          <w:b w:val="0"/>
          <w:i w:val="0"/>
        </w:rPr>
        <w:t xml:space="preserve">Paragraph (a) of </w:t>
      </w:r>
      <w:hyperlink w:anchor="c_fs_ci_excl_lender_claims">
        <w:r>
          <w:rPr>
            <w:color w:val="2E5C4E"/>
            <w:u w:val="single"/>
          </w:rPr>
          <w:t xml:space="preserve">the Lender Claims and Commission Clawback exclusion</w:t>
        </w:r>
      </w:hyperlink>
      <w:r>
        <w:rPr>
          <w:b w:val="0"/>
          <w:i w:val="0"/>
        </w:rPr>
        <w:t xml:space="preserve"> does not apply. Paragraph (b), for commission clawback, continues to apply.</w:t>
      </w:r>
    </w:p>
    <w:p>
      <w:r>
        <w:rPr>
          <w:b w:val="0"/>
          <w:i w:val="0"/>
        </w:rPr>
        <w:t>For claims by a credit provider, lender, mortgage manager or aggregator, the most we will pay in total, including defence costs, is the sub-limit shown in the schedule for this endorsement, which is part of the limit of liability.</w:t>
      </w:r>
    </w:p>
    <w:p>
      <w:bookmarkStart w:id="5" w:name="c_end_4"/>
      <w:r>
        <w:rPr>
          <w:rFonts w:ascii="Georgia" w:hAnsi="Georgia" w:eastAsia="Georgia"/>
          <w:b/>
          <w:i w:val="0"/>
          <w:color w:val="1C1915"/>
          <w:sz w:val="32"/>
        </w:rPr>
        <w:t>Motor Dealer Finance</w:t>
      </w:r>
      <w:bookmarkEnd w:id="5"/>
    </w:p>
    <w:p>
      <w:r>
        <w:rPr>
          <w:b w:val="0"/>
          <w:i w:val="0"/>
        </w:rPr>
        <w:t>Credit assistance that you provide as a motor vehicle dealer, or as a credit representative of a lender or broker in connection with the sale of vehicles, is a professional service under this policy.</w:t>
      </w:r>
    </w:p>
    <w:p>
      <w:r>
        <w:rPr>
          <w:b w:val="0"/>
          <w:i w:val="0"/>
        </w:rPr>
        <w:t>We do not cover any claim, loss or liability arising from the sale, condition or repair of a vehicle, or from add-on insurance or warranty products sold with it, unless you are authorised to provide those products under a licence shown in the schedule.</w:t>
      </w:r>
    </w:p>
    <w:p>
      <w:bookmarkStart w:id="6" w:name="c_end_5"/>
      <w:r>
        <w:rPr>
          <w:rFonts w:ascii="Georgia" w:hAnsi="Georgia" w:eastAsia="Georgia"/>
          <w:b/>
          <w:i w:val="0"/>
          <w:color w:val="1C1915"/>
          <w:sz w:val="32"/>
        </w:rPr>
        <w:t>Unregulated Commercial Finance</w:t>
      </w:r>
      <w:bookmarkEnd w:id="6"/>
    </w:p>
    <w:p>
      <w:r>
        <w:rPr>
          <w:b w:val="0"/>
          <w:i w:val="0"/>
        </w:rPr>
        <w:t>Arranging finance that is not regulated by the National Consumer Credit Protection Act 2009 (Cth), for borrowers who use it wholly or mainly for business or investment purposes, is a professional service under this policy.</w:t>
      </w:r>
    </w:p>
    <w:p>
      <w:bookmarkStart w:id="7" w:name="c_end_6"/>
      <w:r>
        <w:rPr>
          <w:rFonts w:ascii="Georgia" w:hAnsi="Georgia" w:eastAsia="Georgia"/>
          <w:b/>
          <w:i w:val="0"/>
          <w:color w:val="1C1915"/>
          <w:sz w:val="32"/>
        </w:rPr>
        <w:t>12-Month Automatic Run-off</w:t>
      </w:r>
      <w:bookmarkEnd w:id="7"/>
    </w:p>
    <w:p>
      <w:r>
        <w:rPr>
          <w:b w:val="0"/>
          <w:i w:val="0"/>
        </w:rPr>
        <w:t>If you cease to hold your Australian credit licence, or cease to be a credit representative, during the policy period, this policy continues, without additional premium, for claims first made against you and notified to us within 12 months after the end of the policy period, arising from professional services provided before you ceased.</w:t>
      </w:r>
    </w:p>
    <w:p>
      <w:r>
        <w:rPr>
          <w:b w:val="0"/>
          <w:i w:val="0"/>
        </w:rPr>
        <w:t>All other terms of this policy, including the limit of liability, continue to apply to those claims.</w:t>
      </w:r>
    </w:p>
    <w:p>
      <w:r>
        <w:rPr>
          <w:b w:val="0"/>
          <w:i/>
          <w:sz w:val="18"/>
        </w:rPr>
        <w:t>Cuttleflow Systems — Open Source Insurance Wording</w:t>
      </w:r>
    </w:p>
    <w:p>
      <w:r>
        <w:rPr>
          <w:rFonts w:ascii="Consolas" w:hAnsi="Consolas" w:eastAsia="Consolas"/>
          <w:b w:val="0"/>
          <w:i w:val="0"/>
          <w:sz w:val="16"/>
        </w:rPr>
        <w:t>2026/FS/0003 · v1.0.0-DRAFT · October 2026 · © 2026 Cuttleflow Pty Ltd trading as Cuttleflow Systems</w:t>
      </w:r>
    </w:p>
    <w:p>
      <w:r>
        <w:rPr>
          <w:b w:val="0"/>
          <w:i/>
          <w:sz w:val="18"/>
        </w:rPr>
        <w:t>This document is a draft subject to legal review. It must not be issued, quoted from, or bound until Wording Partner sign-off.</w:t>
      </w:r>
    </w:p>
    <w:sectPr w:rsidR="00FC693F" w:rsidRPr="0006063C" w:rsidSect="00034616">
      <w:headerReference w:type="default" r:id="rId9"/>
      <w:footerReference w:type="default" r:id="rId10"/>
      <w:pgSz w:w="12240" w:h="15840"/>
      <w:pgMar w:top="1134" w:right="1247" w:bottom="1134" w:left="124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Consolas" w:hAnsi="Consolas" w:eastAsia="Consolas"/>
        <w:b w:val="0"/>
        <w:i w:val="0"/>
        <w:sz w:val="16"/>
      </w:rPr>
      <w:t>33°53′S · 151°16′E · Sydney     2026/FS/0003 · CUTTLEFLOW PTY LTD T/A CUTTLEFLOW SYSTEMS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onsolas" w:hAnsi="Consolas" w:eastAsia="Consolas"/>
        <w:b w:val="0"/>
        <w:i w:val="0"/>
        <w:color w:val="2E5C4E"/>
        <w:sz w:val="16"/>
      </w:rPr>
      <w:t>DRAFT — NOT FOR USE · CREDIT INTERMEDIARIES PROFESSIONAL INDEMNITY INSURANCE — ENDORSEMENT · V1.0.0-DRAFT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C1915"/>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Credit Intermediaries Professional Indemnity Insurance — Endorsement</dc:title>
  <dc:subject/>
  <dc:creator>Cuttleflow Pty Ltd trading as Cuttleflow Systems</dc:creator>
  <cp:keywords/>
  <dc:description>generated by python-docx</dc:description>
  <cp:lastModifiedBy/>
  <cp:revision>1</cp:revision>
  <dcterms:created xsi:type="dcterms:W3CDTF">2013-12-23T23:15:00Z</dcterms:created>
  <dcterms:modified xsi:type="dcterms:W3CDTF">2013-12-23T23:15:00Z</dcterms:modified>
  <cp:category/>
</cp:coreProperties>
</file>