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GROUP PERSONAL ACCIDENT AND SICKNESS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sz w:val="18"/>
        </w:rPr>
        <w:t>Document ref 2026/GPA/0001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gpa_about"/>
      <w:r>
        <w:rPr>
          <w:rFonts w:ascii="Georgia" w:hAnsi="Georgia" w:eastAsia="Georgia"/>
          <w:b/>
          <w:i w:val="0"/>
          <w:color w:val="1C1915"/>
          <w:sz w:val="32"/>
        </w:rPr>
        <w:t>About This Policy</w:t>
      </w:r>
      <w:bookmarkEnd w:id="0"/>
    </w:p>
    <w:p>
      <w:r>
        <w:rPr>
          <w:b w:val="0"/>
          <w:i w:val="0"/>
        </w:rPr>
        <w:t xml:space="preserve">This policy pays fixed benefits to the people it covers if they suffer an injury, or (if the schedule shows sickness cover for their category) a sickness, during the policy period. It pays a lump sum for death and for the permanent disablements listed in the </w:t>
      </w:r>
      <w:hyperlink w:anchor="c_gpa_cover_capital_benefits">
        <w:r>
          <w:rPr>
            <w:color w:val="2E5C4E"/>
            <w:u w:val="single"/>
          </w:rPr>
          <w:t xml:space="preserve">Capital Benefits</w:t>
        </w:r>
      </w:hyperlink>
      <w:r>
        <w:rPr>
          <w:b w:val="0"/>
          <w:i w:val="0"/>
        </w:rPr>
        <w:t xml:space="preserve"> clause, and a weekly benefit while a covered person is temporarily disabled and cannot work.</w:t>
      </w:r>
    </w:p>
    <w:p>
      <w:r>
        <w:rPr>
          <w:b w:val="0"/>
          <w:i w:val="0"/>
        </w:rPr>
        <w:t xml:space="preserve">It is bought by an employer, club, association or other organisation (the policyholder) for the categories of people shown in the schedule. The policyholder is the only party to the contract. Each covered person can claim the benefits under this policy directly, as </w:t>
      </w:r>
      <w:hyperlink w:anchor="c_gpa_cond_covered_persons_rights">
        <w:r>
          <w:rPr>
            <w:color w:val="2E5C4E"/>
            <w:u w:val="single"/>
          </w:rPr>
          <w:t xml:space="preserve">the Covered Persons' Rights condition</w:t>
        </w:r>
      </w:hyperlink>
      <w:r>
        <w:rPr>
          <w:b w:val="0"/>
          <w:i w:val="0"/>
        </w:rPr>
        <w:t xml:space="preserve"> explains.</w:t>
      </w:r>
    </w:p>
    <w:p>
      <w:r>
        <w:rPr>
          <w:b w:val="0"/>
          <w:i w:val="0"/>
        </w:rPr>
        <w:t xml:space="preserve">It is a benefit policy, not an indemnity policy. The capital benefits are fixed amounts that do not depend on financial loss. The weekly benefits replace part of a covered person's income and are measured against it, as </w:t>
      </w:r>
      <w:hyperlink w:anchor="c_gpa_pay_weekly_benefit_amount">
        <w:r>
          <w:rPr>
            <w:color w:val="2E5C4E"/>
            <w:u w:val="single"/>
          </w:rPr>
          <w:t xml:space="preserve">the How Much We Pay Each Week provision</w:t>
        </w:r>
      </w:hyperlink>
      <w:r>
        <w:rPr>
          <w:b w:val="0"/>
          <w:i w:val="0"/>
        </w:rPr>
        <w:t xml:space="preserve"> sets out.</w:t>
      </w:r>
    </w:p>
    <w:p>
      <w:r>
        <w:rPr>
          <w:b w:val="0"/>
          <w:i w:val="0"/>
        </w:rPr>
        <w:t xml:space="preserve">It is not workers compensation, life insurance or private health insurance, and it does not replace any of them. It cannot pay any medical expense for which a Medicare benefit is payable (see </w:t>
      </w:r>
      <w:hyperlink w:anchor="c_gpa_pay_medicare">
        <w:r>
          <w:rPr>
            <w:color w:val="2E5C4E"/>
            <w:u w:val="single"/>
          </w:rPr>
          <w:t xml:space="preserve">the What the Law Does Not Allow Us to Pay provision</w:t>
        </w:r>
      </w:hyperlink>
      <w:r>
        <w:rPr>
          <w:b w:val="0"/>
          <w:i w:val="0"/>
        </w:rPr>
        <w:t>).</w:t>
      </w:r>
    </w:p>
    <w:p>
      <w:r>
        <w:rPr>
          <w:b w:val="0"/>
          <w:i w:val="0"/>
        </w:rPr>
        <w:t xml:space="preserve">This policy, together with the schedule, the policyholder's proposal and any endorsements shown in the schedule, forms the contract of insurance between the policyholder and us. Where the schedule and this wording differ, the schedule applies. Words with special meanings are listed in </w:t>
      </w:r>
      <w:hyperlink w:anchor="c_gpa_section_definitions">
        <w:r>
          <w:rPr>
            <w:color w:val="2E5C4E"/>
            <w:u w:val="single"/>
          </w:rPr>
          <w:t xml:space="preserve">the Definitions section</w:t>
        </w:r>
      </w:hyperlink>
      <w:r>
        <w:rPr>
          <w:b w:val="0"/>
          <w:i w:val="0"/>
        </w:rPr>
        <w:t xml:space="preserve">. In this wording "you" means a covered person, as the </w:t>
      </w:r>
      <w:hyperlink w:anchor="c_gpa_def_you_your">
        <w:r>
          <w:rPr>
            <w:color w:val="2E5C4E"/>
            <w:u w:val="single"/>
          </w:rPr>
          <w:t xml:space="preserve">the definition of You, Your</w:t>
        </w:r>
      </w:hyperlink>
      <w:r>
        <w:rPr>
          <w:b w:val="0"/>
          <w:i w:val="0"/>
        </w:rPr>
        <w:t xml:space="preserve"> definition says.</w:t>
      </w:r>
    </w:p>
    <w:p>
      <w:r>
        <w:rPr>
          <w:b w:val="0"/>
          <w:i w:val="0"/>
        </w:rPr>
        <w:t>This wording uses the same definitions, Table of Events, exclusions and conditions as the Meridian Personal Accident and Sickness wording for one person (2026/PA/0001), with group clauses added where a group policy differs.</w:t>
      </w:r>
    </w:p>
    <w:p>
      <w:bookmarkStart w:id="1" w:name="c_gpa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the schedule as current at the start of the policy period applies for the whole policy period, unless the schedule or an endorsement states otherwise.</w:t>
      </w:r>
    </w:p>
    <w:p>
      <w:bookmarkStart w:id="2" w:name="c_gpa_important_information"/>
      <w:r>
        <w:rPr>
          <w:rFonts w:ascii="Georgia" w:hAnsi="Georgia" w:eastAsia="Georgia"/>
          <w:b/>
          <w:i w:val="0"/>
          <w:color w:val="1C1915"/>
          <w:sz w:val="32"/>
        </w:rPr>
        <w:t>Important Information</w:t>
      </w:r>
      <w:bookmarkEnd w:id="2"/>
    </w:p>
    <w:p>
      <w:r>
        <w:rPr>
          <w:b/>
          <w:i w:val="0"/>
        </w:rPr>
        <w:t>Who issues this policy.</w:t>
      </w:r>
      <w:r>
        <w:rPr>
          <w:b w:val="0"/>
          <w:i w:val="0"/>
        </w:rPr>
        <w:t xml:space="preserve"> The insurer, its Australian Financial Services Licence and its contact details are shown in the schedule. Where the insurer subscribes to the General Insurance Code of Practice, the schedule says so.</w:t>
      </w:r>
    </w:p>
    <w:p>
      <w:r>
        <w:rPr>
          <w:b/>
          <w:i w:val="0"/>
        </w:rPr>
        <w:t>The policyholder's duty when it applies.</w:t>
      </w:r>
      <w:r>
        <w:rPr>
          <w:b w:val="0"/>
          <w:i w:val="0"/>
        </w:rPr>
        <w:t xml:space="preserve"> What the policyholder must tell us depends on the kind of contract this is.</w:t>
      </w:r>
    </w:p>
    <w:p>
      <w:pPr>
        <w:pStyle w:val="ListBullet"/>
      </w:pPr>
      <w:r>
        <w:rPr>
          <w:b w:val="0"/>
          <w:i w:val="0"/>
        </w:rPr>
        <w:t>If this policy is a consumer insurance contract (taken out wholly or mainly for the personal, domestic or household purposes of the people it covers), the policyholder has a duty under the Insurance Contracts Act 1984 (Cth) to take reasonable care not to make a misrepresentation to us before the policy is entered into, renewed, extended, varied or reinstated.</w:t>
      </w:r>
    </w:p>
    <w:p>
      <w:pPr>
        <w:pStyle w:val="ListBullet"/>
      </w:pPr>
      <w:r>
        <w:rPr>
          <w:b w:val="0"/>
          <w:i w:val="0"/>
        </w:rPr>
        <w:t>Otherwise, the policyholder has the duty of disclosure in s.21 of that Act. Before the policy is entered into, renewed, extended, varied or reinstated, the policyholder must tell us every matter it knows, or that a reasonable person in its circumstances could be expected to know, that is relevant to our decision whether to insure and on what terms. It need not tell us anything that reduces the risk, that is common knowledge, that we know or should know as an insurer, or that we waive.</w:t>
      </w:r>
    </w:p>
    <w:p>
      <w:r>
        <w:rPr>
          <w:b w:val="0"/>
          <w:i w:val="0"/>
        </w:rPr>
        <w:t>If the policyholder does not comply, we may reduce or refuse a claim, or cancel the policy, as that Act allows. Because covered persons claim under s.48 of that Act, a claim by a covered person can be affected by what the policyholder did or did not tell us. Covered persons do not have to tell us anything when they join, unless the schedule or an endorsement asks for a statement from them.</w:t>
      </w:r>
    </w:p>
    <w:p>
      <w:r>
        <w:rPr>
          <w:b w:val="0"/>
          <w:i w:val="0"/>
        </w:rPr>
        <w:t>[WP REVIEW: confirm whether a group policy bought by an employer for its employees is a consumer insurance contract (s11AB) and therefore under s20B, and how far s48(3) defences based on the policyholder's conduct should be limited.]</w:t>
      </w:r>
    </w:p>
    <w:p>
      <w:r>
        <w:rPr>
          <w:b/>
          <w:i w:val="0"/>
        </w:rPr>
        <w:t>Terms that differ from standard cover.</w:t>
      </w:r>
      <w:r>
        <w:rPr>
          <w:b w:val="0"/>
          <w:i w:val="0"/>
        </w:rPr>
        <w:t xml:space="preserve"> The Insurance Contracts Act 1984 (Cth) sets standard cover for sickness and accident contracts. This policy differs from standard cover. In particular:</w:t>
      </w:r>
    </w:p>
    <w:p>
      <w:pPr>
        <w:pStyle w:val="ListBullet"/>
      </w:pPr>
      <w:r>
        <w:rPr>
          <w:b w:val="0"/>
          <w:i w:val="0"/>
        </w:rPr>
        <w:t xml:space="preserve">it does not cover a pre-existing condition (see </w:t>
      </w:r>
      <w:hyperlink w:anchor="c_gpa_excl_pre_existing_conditions">
        <w:r>
          <w:rPr>
            <w:color w:val="2E5C4E"/>
            <w:u w:val="single"/>
          </w:rPr>
          <w:t xml:space="preserve">the Pre-existing Conditions exclusion</w:t>
        </w:r>
      </w:hyperlink>
      <w:r>
        <w:rPr>
          <w:b w:val="0"/>
          <w:i w:val="0"/>
        </w:rPr>
        <w:t>);</w:t>
      </w:r>
    </w:p>
    <w:p>
      <w:pPr>
        <w:pStyle w:val="ListBullet"/>
      </w:pPr>
      <w:r>
        <w:rPr>
          <w:b w:val="0"/>
          <w:i w:val="0"/>
        </w:rPr>
        <w:t xml:space="preserve">it does not pay weekly sickness benefits for a sickness that first shows itself in the first 30 days of a person's sickness cover, unless the schedule shows otherwise (see </w:t>
      </w:r>
      <w:hyperlink w:anchor="c_gpa_excl_initial_sickness_period">
        <w:r>
          <w:rPr>
            <w:color w:val="2E5C4E"/>
            <w:u w:val="single"/>
          </w:rPr>
          <w:t xml:space="preserve">the First 30 Days of Sickness Cover exclusion</w:t>
        </w:r>
      </w:hyperlink>
      <w:r>
        <w:rPr>
          <w:b w:val="0"/>
          <w:i w:val="0"/>
        </w:rPr>
        <w:t>);</w:t>
      </w:r>
    </w:p>
    <w:p>
      <w:pPr>
        <w:pStyle w:val="ListBullet"/>
      </w:pPr>
      <w:r>
        <w:rPr>
          <w:b w:val="0"/>
          <w:i w:val="0"/>
        </w:rPr>
        <w:t xml:space="preserve">it does not cover normal pregnancy or childbirth (see </w:t>
      </w:r>
      <w:hyperlink w:anchor="c_gpa_excl_pregnancy">
        <w:r>
          <w:rPr>
            <w:color w:val="2E5C4E"/>
            <w:u w:val="single"/>
          </w:rPr>
          <w:t xml:space="preserve">the Pregnancy exclusion</w:t>
        </w:r>
      </w:hyperlink>
      <w:r>
        <w:rPr>
          <w:b w:val="0"/>
          <w:i w:val="0"/>
        </w:rPr>
        <w:t>);</w:t>
      </w:r>
    </w:p>
    <w:p>
      <w:pPr>
        <w:pStyle w:val="ListBullet"/>
      </w:pPr>
      <w:r>
        <w:rPr>
          <w:b w:val="0"/>
          <w:i w:val="0"/>
        </w:rPr>
        <w:t xml:space="preserve">it does not cover the hazardous pursuits listed in </w:t>
      </w:r>
      <w:hyperlink w:anchor="c_gpa_excl_hazardous_pursuits">
        <w:r>
          <w:rPr>
            <w:color w:val="2E5C4E"/>
            <w:u w:val="single"/>
          </w:rPr>
          <w:t xml:space="preserve">the Hazardous Pursuits exclusion</w:t>
        </w:r>
      </w:hyperlink>
      <w:r>
        <w:rPr>
          <w:b w:val="0"/>
          <w:i w:val="0"/>
        </w:rPr>
        <w:t xml:space="preserve">, or service in the armed forces (see </w:t>
      </w:r>
      <w:hyperlink w:anchor="c_gpa_excl_military_service">
        <w:r>
          <w:rPr>
            <w:color w:val="2E5C4E"/>
            <w:u w:val="single"/>
          </w:rPr>
          <w:t xml:space="preserve">the Military Service exclusion</w:t>
        </w:r>
      </w:hyperlink>
      <w:r>
        <w:rPr>
          <w:b w:val="0"/>
          <w:i w:val="0"/>
        </w:rPr>
        <w:t>);</w:t>
      </w:r>
    </w:p>
    <w:p>
      <w:pPr>
        <w:pStyle w:val="ListBullet"/>
      </w:pPr>
      <w:r>
        <w:rPr>
          <w:b w:val="0"/>
          <w:i w:val="0"/>
        </w:rPr>
        <w:t>weekly benefits start only after the waiting period, stop at the end of the benefit period, are limited to a percentage of income, and stop at age 65 unless the schedule shows otherwise;</w:t>
      </w:r>
    </w:p>
    <w:p>
      <w:pPr>
        <w:pStyle w:val="ListBullet"/>
      </w:pPr>
      <w:r>
        <w:rPr>
          <w:b w:val="0"/>
          <w:i w:val="0"/>
        </w:rPr>
        <w:t xml:space="preserve">weekly sickness benefits for a mental illness are limited to 26 weeks for any one sickness (see </w:t>
      </w:r>
      <w:hyperlink w:anchor="c_gpa_pay_mental_illness">
        <w:r>
          <w:rPr>
            <w:color w:val="2E5C4E"/>
            <w:u w:val="single"/>
          </w:rPr>
          <w:t xml:space="preserve">the Mental Illness provision</w:t>
        </w:r>
      </w:hyperlink>
      <w:r>
        <w:rPr>
          <w:b w:val="0"/>
          <w:i w:val="0"/>
        </w:rPr>
        <w:t>);</w:t>
      </w:r>
    </w:p>
    <w:p>
      <w:pPr>
        <w:pStyle w:val="ListBullet"/>
      </w:pPr>
      <w:r>
        <w:rPr>
          <w:b w:val="0"/>
          <w:i w:val="0"/>
        </w:rPr>
        <w:t xml:space="preserve">weekly benefits are reduced by other payments for the same disablement (see </w:t>
      </w:r>
      <w:hyperlink w:anchor="c_gpa_pay_offsets">
        <w:r>
          <w:rPr>
            <w:color w:val="2E5C4E"/>
            <w:u w:val="single"/>
          </w:rPr>
          <w:t xml:space="preserve">the Other Payments for the Same Disablement provision</w:t>
        </w:r>
      </w:hyperlink>
      <w:r>
        <w:rPr>
          <w:b w:val="0"/>
          <w:i w:val="0"/>
        </w:rPr>
        <w:t>);</w:t>
      </w:r>
    </w:p>
    <w:p>
      <w:pPr>
        <w:pStyle w:val="ListBullet"/>
      </w:pPr>
      <w:r>
        <w:rPr>
          <w:b w:val="0"/>
          <w:i w:val="0"/>
        </w:rPr>
        <w:t xml:space="preserve">capital benefits are reduced from age 70, and no benefit is payable for an injury after age 75 (see </w:t>
      </w:r>
      <w:hyperlink w:anchor="c_gpa_pay_age_limits">
        <w:r>
          <w:rPr>
            <w:color w:val="2E5C4E"/>
            <w:u w:val="single"/>
          </w:rPr>
          <w:t xml:space="preserve">the Age Limits provision</w:t>
        </w:r>
      </w:hyperlink>
      <w:r>
        <w:rPr>
          <w:b w:val="0"/>
          <w:i w:val="0"/>
        </w:rPr>
        <w:t>);</w:t>
      </w:r>
    </w:p>
    <w:p>
      <w:pPr>
        <w:pStyle w:val="ListBullet"/>
      </w:pPr>
      <w:r>
        <w:rPr>
          <w:b w:val="0"/>
          <w:i w:val="0"/>
        </w:rPr>
        <w:t xml:space="preserve">all benefits are subject to the aggregate limits (see </w:t>
      </w:r>
      <w:hyperlink w:anchor="c_gpa_pay_aggregate_limits">
        <w:r>
          <w:rPr>
            <w:color w:val="2E5C4E"/>
            <w:u w:val="single"/>
          </w:rPr>
          <w:t xml:space="preserve">the Aggregate Limits provision</w:t>
        </w:r>
      </w:hyperlink>
      <w:r>
        <w:rPr>
          <w:b w:val="0"/>
          <w:i w:val="0"/>
        </w:rPr>
        <w:t>).</w:t>
      </w:r>
    </w:p>
    <w:p>
      <w:r>
        <w:rPr>
          <w:b w:val="0"/>
          <w:i w:val="0"/>
        </w:rPr>
        <w:t>[WP REVIEW: confirm whether standard cover (s35; ICR reg 24) applies to a group contract whose policyholder is a company, and whether this summary, given to the policyholder, and the copy the policyholder makes available to covered persons, clearly inform under s35(2).]</w:t>
      </w:r>
    </w:p>
    <w:p>
      <w:r>
        <w:rPr>
          <w:b/>
          <w:i w:val="0"/>
        </w:rPr>
        <w:t>Copies for covered persons.</w:t>
      </w:r>
      <w:r>
        <w:rPr>
          <w:b w:val="0"/>
          <w:i w:val="0"/>
        </w:rPr>
        <w:t xml:space="preserve"> The policyholder must make a copy of this wording and the relevant part of the schedule available to each covered person.</w:t>
      </w:r>
    </w:p>
    <w:p>
      <w:r>
        <w:rPr>
          <w:b/>
          <w:i w:val="0"/>
        </w:rPr>
        <w:t>Cooling-off period.</w:t>
      </w:r>
      <w:r>
        <w:rPr>
          <w:b w:val="0"/>
          <w:i w:val="0"/>
        </w:rPr>
        <w:t xml:space="preserve"> The policyholder may cancel this policy within 21 days of the date it starts, and within 21 days of each renewal, by telling us in writing. If no claim has been made, we will refund the full premium paid for that period, less any non-refundable government charges we cannot recover.</w:t>
      </w:r>
    </w:p>
    <w:p>
      <w:r>
        <w:rPr>
          <w:b/>
          <w:i w:val="0"/>
        </w:rPr>
        <w:t>Financial Claims Scheme.</w:t>
      </w:r>
      <w:r>
        <w:rPr>
          <w:b w:val="0"/>
          <w:i w:val="0"/>
        </w:rPr>
        <w:t xml:space="preserve"> If the schedule shows the insurer is an APRA-authorised general insurer, covered persons may be entitled to a payment under the Financial Claims Scheme if the insurer becomes insolvent. Information is available at www.fcs.gov.au.</w:t>
      </w:r>
    </w:p>
    <w:p>
      <w:bookmarkStart w:id="3" w:name="c_gpa_schedule"/>
      <w:r>
        <w:rPr>
          <w:rFonts w:ascii="Georgia" w:hAnsi="Georgia" w:eastAsia="Georgia"/>
          <w:b/>
          <w:i w:val="0"/>
          <w:color w:val="1C1915"/>
          <w:sz w:val="32"/>
        </w:rPr>
        <w:t>Schedule</w:t>
      </w:r>
      <w:bookmarkEnd w:id="3"/>
    </w:p>
    <w:p>
      <w:r>
        <w:rPr>
          <w:b w:val="0"/>
          <w:i w:val="0"/>
        </w:rPr>
        <w:t>(Completed separately for each policy.)</w:t>
      </w:r>
    </w:p>
    <w:p>
      <w:r>
        <w:rPr>
          <w:b w:val="0"/>
          <w:i w:val="0"/>
        </w:rPr>
        <w:t>The schedule shows:</w:t>
      </w:r>
    </w:p>
    <w:p>
      <w:r>
        <w:rPr>
          <w:b w:val="0"/>
          <w:i w:val="0"/>
        </w:rPr>
        <w:t xml:space="preserve">- The policyholder, its ABN and address, and the state or territory whose law governs this policy (see </w:t>
      </w:r>
      <w:hyperlink w:anchor="c_gpa_cond_governing_law">
        <w:r>
          <w:rPr>
            <w:color w:val="2E5C4E"/>
            <w:u w:val="single"/>
          </w:rPr>
          <w:t xml:space="preserve">the Governing Law condition</w:t>
        </w:r>
      </w:hyperlink>
      <w:r>
        <w:rPr>
          <w:b w:val="0"/>
          <w:i w:val="0"/>
        </w:rPr>
        <w:t xml:space="preserve">) - The policy period, with its start and end dates - Each category of covered persons, and for each category:   - who is in it, and the number of covered persons (or the declaration basis);   - the occupation class;   - the scope of cover: 24 hours a day, occupational, or non-occupational;   - the capital sum, as a fixed amount or a multiple of annual income, and any maximum;   - whether weekly benefits apply, and if so the percentage of income, the maximum weekly benefit, the waiting period and the benefit period;   - whether weekly sickness benefits apply;   - any age limits that differ from </w:t>
      </w:r>
      <w:hyperlink w:anchor="c_gpa_pay_age_limits">
        <w:r>
          <w:rPr>
            <w:color w:val="2E5C4E"/>
            <w:u w:val="single"/>
          </w:rPr>
          <w:t xml:space="preserve">the Age Limits provision</w:t>
        </w:r>
      </w:hyperlink>
      <w:r>
        <w:rPr>
          <w:b w:val="0"/>
          <w:i w:val="0"/>
        </w:rPr>
        <w:t xml:space="preserve"> - The aggregate limits (see </w:t>
      </w:r>
      <w:hyperlink w:anchor="c_gpa_pay_aggregate_limits">
        <w:r>
          <w:rPr>
            <w:color w:val="2E5C4E"/>
            <w:u w:val="single"/>
          </w:rPr>
          <w:t xml:space="preserve">the Aggregate Limits provision</w:t>
        </w:r>
      </w:hyperlink>
      <w:r>
        <w:rPr>
          <w:b w:val="0"/>
          <w:i w:val="0"/>
        </w:rPr>
        <w:t xml:space="preserve">) and the accumulation limit, if different from the defaults - The limits of the additional benefits, where they differ from the defaults in </w:t>
      </w:r>
      <w:hyperlink w:anchor="c_gpa_section_additional_benefits">
        <w:r>
          <w:rPr>
            <w:color w:val="2E5C4E"/>
            <w:u w:val="single"/>
          </w:rPr>
          <w:t xml:space="preserve">the Additional Benefits section</w:t>
        </w:r>
      </w:hyperlink>
      <w:r>
        <w:rPr>
          <w:b w:val="0"/>
          <w:i w:val="0"/>
        </w:rPr>
        <w:t xml:space="preserve"> - The free cover limit for new covered persons (see </w:t>
      </w:r>
      <w:hyperlink w:anchor="c_gpa_cond_automatic_cover">
        <w:r>
          <w:rPr>
            <w:color w:val="2E5C4E"/>
            <w:u w:val="single"/>
          </w:rPr>
          <w:t xml:space="preserve">the Automatic Cover for New Covered Persons condition</w:t>
        </w:r>
      </w:hyperlink>
      <w:r>
        <w:rPr>
          <w:b w:val="0"/>
          <w:i w:val="0"/>
        </w:rPr>
        <w:t xml:space="preserve">) - The premium basis, the deposit premium, the minimum premium, and the declaration date (see </w:t>
      </w:r>
      <w:hyperlink w:anchor="c_gpa_cond_declarations_and_adjustment">
        <w:r>
          <w:rPr>
            <w:color w:val="2E5C4E"/>
            <w:u w:val="single"/>
          </w:rPr>
          <w:t xml:space="preserve">the Declarations and Premium Adjustment condition</w:t>
        </w:r>
      </w:hyperlink>
      <w:r>
        <w:rPr>
          <w:b w:val="0"/>
          <w:i w:val="0"/>
        </w:rPr>
        <w:t>) - The premium, including stamp duty and GST - The insurer and its licence - The endorsements that apply, by code, with their variables</w:t>
      </w:r>
    </w:p>
    <w:p>
      <w:bookmarkStart w:id="4" w:name="c_gpa_section_definitions"/>
      <w:r>
        <w:rPr>
          <w:rFonts w:ascii="Georgia" w:hAnsi="Georgia" w:eastAsia="Georgia"/>
          <w:b/>
          <w:i w:val="0"/>
          <w:color w:val="1C1915"/>
          <w:sz w:val="32"/>
        </w:rPr>
        <w:t>Definitions</w:t>
      </w:r>
      <w:bookmarkEnd w:id="4"/>
    </w:p>
    <w:p>
      <w:r>
        <w:rPr>
          <w:b w:val="0"/>
          <w:i w:val="0"/>
        </w:rPr>
        <w:t>In this policy, the words below have these meanings wherever they appear, whatever their capitalisation. The singular includes the plural.</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gpa_def_accident"/>
            <w:r>
              <w:rPr>
                <w:b/>
                <w:i w:val="0"/>
              </w:rPr>
              <w:t>Accident</w:t>
            </w:r>
            <w:bookmarkEnd w:id="5"/>
          </w:p>
        </w:tc>
        <w:tc>
          <w:tcPr>
            <w:tcW w:type="dxa" w:w="6803"/>
          </w:tcPr>
          <w:p>
            <w:r>
              <w:rPr>
                <w:b w:val="0"/>
                <w:i w:val="0"/>
              </w:rPr>
              <w:t>A sudden, unexpected and identifiable event that happens to you during the policy period and within the scope of cover.</w:t>
            </w:r>
          </w:p>
        </w:tc>
      </w:tr>
      <w:tr>
        <w:tc>
          <w:tcPr>
            <w:tcW w:type="dxa" w:w="2608"/>
          </w:tcPr>
          <w:p>
            <w:bookmarkStart w:id="6" w:name="c_gpa_def_benefit_period"/>
            <w:r>
              <w:rPr>
                <w:b/>
                <w:i w:val="0"/>
              </w:rPr>
              <w:t>Benefit Period</w:t>
            </w:r>
            <w:bookmarkEnd w:id="6"/>
          </w:p>
        </w:tc>
        <w:tc>
          <w:tcPr>
            <w:tcW w:type="dxa" w:w="6803"/>
          </w:tcPr>
          <w:p>
            <w:r>
              <w:rPr>
                <w:b w:val="0"/>
                <w:i w:val="0"/>
              </w:rPr>
              <w:t>The longest period for which we pay weekly benefits for any one injury or sickness, shown in the schedule as 52, 104 or 260 weeks. The benefit period starts on the first day after the waiting period ends.</w:t>
            </w:r>
          </w:p>
        </w:tc>
      </w:tr>
      <w:tr>
        <w:tc>
          <w:tcPr>
            <w:tcW w:type="dxa" w:w="2608"/>
          </w:tcPr>
          <w:p>
            <w:bookmarkStart w:id="7" w:name="c_gpa_def_capital_sum"/>
            <w:r>
              <w:rPr>
                <w:b/>
                <w:i w:val="0"/>
              </w:rPr>
              <w:t>Capital Sum</w:t>
            </w:r>
            <w:bookmarkEnd w:id="7"/>
          </w:p>
        </w:tc>
        <w:tc>
          <w:tcPr>
            <w:tcW w:type="dxa" w:w="6803"/>
          </w:tcPr>
          <w:p>
            <w:r>
              <w:rPr>
                <w:b w:val="0"/>
                <w:i w:val="0"/>
              </w:rPr>
              <w:t>The amount shown in the schedule as the capital sum for your category. Where the schedule shows the capital sum as a multiple of annual income, it is that multiple of your income for 52 weeks, up to any maximum shown in the schedule.</w:t>
            </w:r>
          </w:p>
        </w:tc>
      </w:tr>
      <w:tr>
        <w:tc>
          <w:tcPr>
            <w:tcW w:type="dxa" w:w="2608"/>
          </w:tcPr>
          <w:p>
            <w:bookmarkStart w:id="8" w:name="c_gpa_def_category"/>
            <w:r>
              <w:rPr>
                <w:b/>
                <w:i w:val="0"/>
              </w:rPr>
              <w:t>Category</w:t>
            </w:r>
            <w:bookmarkEnd w:id="8"/>
          </w:p>
        </w:tc>
        <w:tc>
          <w:tcPr>
            <w:tcW w:type="dxa" w:w="6803"/>
          </w:tcPr>
          <w:p>
            <w:r>
              <w:rPr>
                <w:b w:val="0"/>
                <w:i w:val="0"/>
              </w:rPr>
              <w:t>A category of covered persons shown in the schedule.</w:t>
            </w:r>
          </w:p>
        </w:tc>
      </w:tr>
      <w:tr>
        <w:tc>
          <w:tcPr>
            <w:tcW w:type="dxa" w:w="2608"/>
          </w:tcPr>
          <w:p>
            <w:bookmarkStart w:id="9" w:name="c_gpa_def_covered_person"/>
            <w:r>
              <w:rPr>
                <w:b/>
                <w:i w:val="0"/>
              </w:rPr>
              <w:t>Covered Person</w:t>
            </w:r>
            <w:bookmarkEnd w:id="9"/>
          </w:p>
        </w:tc>
        <w:tc>
          <w:tcPr>
            <w:tcW w:type="dxa" w:w="6803"/>
          </w:tcPr>
          <w:p>
            <w:r>
              <w:rPr>
                <w:b w:val="0"/>
                <w:i w:val="0"/>
              </w:rPr>
              <w:t>A natural person who is within a category, and inside the age limits for that category, at the time of the accident or when the sickness first shows itself. A person stops being a covered person when they leave the category, or when the policy ends or is cancelled, whichever is first.</w:t>
            </w:r>
          </w:p>
        </w:tc>
      </w:tr>
      <w:tr>
        <w:tc>
          <w:tcPr>
            <w:tcW w:type="dxa" w:w="2608"/>
          </w:tcPr>
          <w:p>
            <w:bookmarkStart w:id="10" w:name="c_gpa_def_endorsement"/>
            <w:r>
              <w:rPr>
                <w:b/>
                <w:i w:val="0"/>
              </w:rPr>
              <w:t>Endorsement</w:t>
            </w:r>
            <w:bookmarkEnd w:id="10"/>
          </w:p>
        </w:tc>
        <w:tc>
          <w:tcPr>
            <w:tcW w:type="dxa" w:w="6803"/>
          </w:tcPr>
          <w:p>
            <w:r>
              <w:rPr>
                <w:b w:val="0"/>
                <w:i w:val="0"/>
              </w:rPr>
              <w:t xml:space="preserve">A written change to this policy that we issue and that is shown in the schedule. The available endorsements are listed in the </w:t>
            </w:r>
            <w:hyperlink w:anchor="c_gpa_endorsement_library">
              <w:r>
                <w:rPr>
                  <w:color w:val="2E5C4E"/>
                  <w:u w:val="single"/>
                </w:rPr>
                <w:t xml:space="preserve">Endorsement Library</w:t>
              </w:r>
            </w:hyperlink>
            <w:r>
              <w:rPr>
                <w:b w:val="0"/>
                <w:i w:val="0"/>
              </w:rPr>
              <w:t>.</w:t>
            </w:r>
          </w:p>
        </w:tc>
      </w:tr>
      <w:tr>
        <w:tc>
          <w:tcPr>
            <w:tcW w:type="dxa" w:w="2608"/>
          </w:tcPr>
          <w:p>
            <w:bookmarkStart w:id="11" w:name="c_gpa_def_hazardous_pursuit"/>
            <w:r>
              <w:rPr>
                <w:b/>
                <w:i w:val="0"/>
              </w:rPr>
              <w:t>Hazardous Pursuit</w:t>
            </w:r>
            <w:bookmarkEnd w:id="11"/>
          </w:p>
        </w:tc>
        <w:tc>
          <w:tcPr>
            <w:tcW w:type="dxa" w:w="6803"/>
          </w:tcPr>
          <w:p>
            <w:r>
              <w:rPr>
                <w:b w:val="0"/>
                <w:i w:val="0"/>
              </w:rPr>
              <w:t xml:space="preserve">Any activity listed in </w:t>
            </w:r>
            <w:hyperlink w:anchor="c_gpa_excl_hazardous_pursuits">
              <w:r>
                <w:rPr>
                  <w:color w:val="2E5C4E"/>
                  <w:u w:val="single"/>
                </w:rPr>
                <w:t xml:space="preserve">the Hazardous Pursuits exclusion</w:t>
              </w:r>
            </w:hyperlink>
            <w:r>
              <w:rPr>
                <w:b w:val="0"/>
                <w:i w:val="0"/>
              </w:rPr>
              <w:t>.</w:t>
            </w:r>
          </w:p>
        </w:tc>
      </w:tr>
      <w:tr>
        <w:tc>
          <w:tcPr>
            <w:tcW w:type="dxa" w:w="2608"/>
          </w:tcPr>
          <w:p>
            <w:bookmarkStart w:id="12" w:name="c_gpa_def_income"/>
            <w:r>
              <w:rPr>
                <w:b/>
                <w:i w:val="0"/>
              </w:rPr>
              <w:t>Income</w:t>
            </w:r>
            <w:bookmarkEnd w:id="12"/>
          </w:p>
        </w:tc>
        <w:tc>
          <w:tcPr>
            <w:tcW w:type="dxa" w:w="6803"/>
          </w:tcPr>
          <w:p>
            <w:r>
              <w:rPr>
                <w:b w:val="0"/>
                <w:i w:val="0"/>
              </w:rPr>
              <w:t>Your average weekly income from personal exertion, before tax, over the 12 months before the disablement started, or over the time you have been working if that is shorter.</w:t>
            </w:r>
          </w:p>
          <w:p>
            <w:r>
              <w:rPr>
                <w:b w:val="0"/>
                <w:i w:val="0"/>
              </w:rPr>
              <w:t>If you are an employee, it is your salary or wages, including regular overtime, commissions, shift allowances and bonuses, and the employer superannuation contributions made for you.; If you are self-employed or a working director of your own company, it is the income your personal exertion generated for the business, after deducting the expenses of earning it.</w:t>
            </w:r>
          </w:p>
          <w:p>
            <w:r>
              <w:rPr>
                <w:b w:val="0"/>
                <w:i w:val="0"/>
              </w:rPr>
              <w:t>Income does not include investment income, or income that continues to be paid to you while you are disabled.</w:t>
            </w:r>
          </w:p>
        </w:tc>
      </w:tr>
      <w:tr>
        <w:tc>
          <w:tcPr>
            <w:tcW w:type="dxa" w:w="2608"/>
          </w:tcPr>
          <w:p>
            <w:bookmarkStart w:id="13" w:name="c_gpa_def_injury"/>
            <w:r>
              <w:rPr>
                <w:b/>
                <w:i w:val="0"/>
              </w:rPr>
              <w:t>Injury</w:t>
            </w:r>
            <w:bookmarkEnd w:id="13"/>
          </w:p>
        </w:tc>
        <w:tc>
          <w:tcPr>
            <w:tcW w:type="dxa" w:w="6803"/>
          </w:tcPr>
          <w:p>
            <w:r>
              <w:rPr>
                <w:b w:val="0"/>
                <w:i w:val="0"/>
              </w:rPr>
              <w:t>A bodily injury caused solely and directly by an accident, and not by a sickness or a gradual process. Injury includes a resulting medical condition that first shows itself within 12 months of the accident.</w:t>
            </w:r>
          </w:p>
        </w:tc>
      </w:tr>
      <w:tr>
        <w:tc>
          <w:tcPr>
            <w:tcW w:type="dxa" w:w="2608"/>
          </w:tcPr>
          <w:p>
            <w:bookmarkStart w:id="14" w:name="c_gpa_def_medical_practitioner"/>
            <w:r>
              <w:rPr>
                <w:b/>
                <w:i w:val="0"/>
              </w:rPr>
              <w:t>Medical Practitioner</w:t>
            </w:r>
            <w:bookmarkEnd w:id="14"/>
          </w:p>
        </w:tc>
        <w:tc>
          <w:tcPr>
            <w:tcW w:type="dxa" w:w="6803"/>
          </w:tcPr>
          <w:p>
            <w:r>
              <w:rPr>
                <w:b w:val="0"/>
                <w:i w:val="0"/>
              </w:rPr>
              <w:t>A person registered to practise medicine in Australia, or a person with an equivalent qualification and registration in the country where you are treated, who is not you, a member of your family, your business partner or your employee.</w:t>
            </w:r>
          </w:p>
        </w:tc>
      </w:tr>
      <w:tr>
        <w:tc>
          <w:tcPr>
            <w:tcW w:type="dxa" w:w="2608"/>
          </w:tcPr>
          <w:p>
            <w:bookmarkStart w:id="15" w:name="c_gpa_def_mental_illness"/>
            <w:r>
              <w:rPr>
                <w:b/>
                <w:i w:val="0"/>
              </w:rPr>
              <w:t>Mental Illness</w:t>
            </w:r>
            <w:bookmarkEnd w:id="15"/>
          </w:p>
        </w:tc>
        <w:tc>
          <w:tcPr>
            <w:tcW w:type="dxa" w:w="6803"/>
          </w:tcPr>
          <w:p>
            <w:r>
              <w:rPr>
                <w:b w:val="0"/>
                <w:i w:val="0"/>
              </w:rPr>
              <w:t>A mental or psychiatric disorder, including anxiety, depression, stress, burnout and post-traumatic stress disorder, diagnosed by a psychiatrist or a clinical psychologist.</w:t>
            </w:r>
          </w:p>
        </w:tc>
      </w:tr>
      <w:tr>
        <w:tc>
          <w:tcPr>
            <w:tcW w:type="dxa" w:w="2608"/>
          </w:tcPr>
          <w:p>
            <w:bookmarkStart w:id="16" w:name="c_gpa_def_occupation_class"/>
            <w:r>
              <w:rPr>
                <w:b/>
                <w:i w:val="0"/>
              </w:rPr>
              <w:t>Occupation Class</w:t>
            </w:r>
            <w:bookmarkEnd w:id="16"/>
          </w:p>
        </w:tc>
        <w:tc>
          <w:tcPr>
            <w:tcW w:type="dxa" w:w="6803"/>
          </w:tcPr>
          <w:p>
            <w:r>
              <w:rPr>
                <w:b w:val="0"/>
                <w:i w:val="0"/>
              </w:rPr>
              <w:t>The class from 1 to 5 shown in the schedule for your category, which we used to set the premium.</w:t>
            </w:r>
          </w:p>
        </w:tc>
      </w:tr>
      <w:tr>
        <w:tc>
          <w:tcPr>
            <w:tcW w:type="dxa" w:w="2608"/>
          </w:tcPr>
          <w:p>
            <w:bookmarkStart w:id="17" w:name="c_gpa_def_permanent"/>
            <w:r>
              <w:rPr>
                <w:b/>
                <w:i w:val="0"/>
              </w:rPr>
              <w:t>Permanent</w:t>
            </w:r>
            <w:bookmarkEnd w:id="17"/>
          </w:p>
        </w:tc>
        <w:tc>
          <w:tcPr>
            <w:tcW w:type="dxa" w:w="6803"/>
          </w:tcPr>
          <w:p>
            <w:r>
              <w:rPr>
                <w:b w:val="0"/>
                <w:i w:val="0"/>
              </w:rPr>
              <w:t>Lasting at least 12 months from the date of the injury and, in the opinion of a medical practitioner we accept, beyond hope of improvement at the end of that time.</w:t>
            </w:r>
          </w:p>
        </w:tc>
      </w:tr>
      <w:tr>
        <w:tc>
          <w:tcPr>
            <w:tcW w:type="dxa" w:w="2608"/>
          </w:tcPr>
          <w:p>
            <w:bookmarkStart w:id="18" w:name="c_gpa_def_permanent_total_disablement"/>
            <w:r>
              <w:rPr>
                <w:b/>
                <w:i w:val="0"/>
              </w:rPr>
              <w:t>Permanent Total Disablement</w:t>
            </w:r>
            <w:bookmarkEnd w:id="18"/>
          </w:p>
        </w:tc>
        <w:tc>
          <w:tcPr>
            <w:tcW w:type="dxa" w:w="6803"/>
          </w:tcPr>
          <w:p>
            <w:r>
              <w:rPr>
                <w:b w:val="0"/>
                <w:i w:val="0"/>
              </w:rPr>
              <w:t>Disablement from an injury that has lasted 12 months and that, in the opinion of a medical practitioner we accept, will permanently prevent you from working in any occupation for which you are reasonably suited by education, training or experience.</w:t>
            </w:r>
          </w:p>
        </w:tc>
      </w:tr>
      <w:tr>
        <w:tc>
          <w:tcPr>
            <w:tcW w:type="dxa" w:w="2608"/>
          </w:tcPr>
          <w:p>
            <w:bookmarkStart w:id="19" w:name="c_gpa_def_policy_period"/>
            <w:r>
              <w:rPr>
                <w:b/>
                <w:i w:val="0"/>
              </w:rPr>
              <w:t>Policy Period</w:t>
            </w:r>
            <w:bookmarkEnd w:id="19"/>
          </w:p>
        </w:tc>
        <w:tc>
          <w:tcPr>
            <w:tcW w:type="dxa" w:w="6803"/>
          </w:tcPr>
          <w:p>
            <w:r>
              <w:rPr>
                <w:b w:val="0"/>
                <w:i w:val="0"/>
              </w:rPr>
              <w:t>The period shown in the schedule.</w:t>
            </w:r>
          </w:p>
        </w:tc>
      </w:tr>
      <w:tr>
        <w:tc>
          <w:tcPr>
            <w:tcW w:type="dxa" w:w="2608"/>
          </w:tcPr>
          <w:p>
            <w:bookmarkStart w:id="20" w:name="c_gpa_def_policyholder"/>
            <w:r>
              <w:rPr>
                <w:b/>
                <w:i w:val="0"/>
              </w:rPr>
              <w:t>Policyholder</w:t>
            </w:r>
            <w:bookmarkEnd w:id="20"/>
          </w:p>
        </w:tc>
        <w:tc>
          <w:tcPr>
            <w:tcW w:type="dxa" w:w="6803"/>
          </w:tcPr>
          <w:p>
            <w:r>
              <w:rPr>
                <w:b w:val="0"/>
                <w:i w:val="0"/>
              </w:rPr>
              <w:t>The organisation named in the schedule as the policyholder. It is the only party to this contract with us.</w:t>
            </w:r>
          </w:p>
        </w:tc>
      </w:tr>
      <w:tr>
        <w:tc>
          <w:tcPr>
            <w:tcW w:type="dxa" w:w="2608"/>
          </w:tcPr>
          <w:p>
            <w:bookmarkStart w:id="21" w:name="c_gpa_def_pre_existing_condition"/>
            <w:r>
              <w:rPr>
                <w:b/>
                <w:i w:val="0"/>
              </w:rPr>
              <w:t>Pre-existing Condition</w:t>
            </w:r>
            <w:bookmarkEnd w:id="21"/>
          </w:p>
        </w:tc>
        <w:tc>
          <w:tcPr>
            <w:tcW w:type="dxa" w:w="6803"/>
          </w:tcPr>
          <w:p>
            <w:r>
              <w:rPr>
                <w:b w:val="0"/>
                <w:i w:val="0"/>
              </w:rPr>
              <w:t>A condition, illness or injury:</w:t>
            </w:r>
          </w:p>
          <w:p>
            <w:r>
              <w:rPr>
                <w:b w:val="0"/>
                <w:i w:val="0"/>
              </w:rPr>
              <w:t>for which you received treatment, medication or advice from a medical practitioner in the 12 months before the date you first became a covered person; or; whose symptoms you were aware of, or a reasonable person in your circumstances would have been aware of, in the 3 months before that date.</w:t>
            </w:r>
          </w:p>
          <w:p>
            <w:r>
              <w:rPr>
                <w:b w:val="0"/>
                <w:i w:val="0"/>
              </w:rPr>
              <w:t>A condition that we have accepted in writing for you, and that is shown in the schedule, is not a pre-existing condition.</w:t>
            </w:r>
          </w:p>
        </w:tc>
      </w:tr>
      <w:tr>
        <w:tc>
          <w:tcPr>
            <w:tcW w:type="dxa" w:w="2608"/>
          </w:tcPr>
          <w:p>
            <w:bookmarkStart w:id="22" w:name="c_gpa_def_scope_of_cover"/>
            <w:r>
              <w:rPr>
                <w:b/>
                <w:i w:val="0"/>
              </w:rPr>
              <w:t>Scope of Cover</w:t>
            </w:r>
            <w:bookmarkEnd w:id="22"/>
          </w:p>
        </w:tc>
        <w:tc>
          <w:tcPr>
            <w:tcW w:type="dxa" w:w="6803"/>
          </w:tcPr>
          <w:p>
            <w:r>
              <w:rPr>
                <w:b w:val="0"/>
                <w:i w:val="0"/>
              </w:rPr>
              <w:t>The times when this policy covers you, shown in the schedule for your category:</w:t>
            </w:r>
          </w:p>
          <w:p>
            <w:r>
              <w:rPr>
                <w:b/>
                <w:i w:val="0"/>
              </w:rPr>
              <w:t>24 hours a day:</w:t>
            </w:r>
            <w:r>
              <w:rPr>
                <w:b w:val="0"/>
                <w:i w:val="0"/>
              </w:rPr>
              <w:t xml:space="preserve"> at all times, anywhere in the world, subject to </w:t>
            </w:r>
            <w:hyperlink w:anchor="c_gpa_obl_residence_and_travel">
              <w:r>
                <w:rPr>
                  <w:color w:val="2E5C4E"/>
                  <w:u w:val="single"/>
                </w:rPr>
                <w:t xml:space="preserve">the Living and Travelling Overseas obligation</w:t>
              </w:r>
            </w:hyperlink>
            <w:r>
              <w:rPr>
                <w:b w:val="0"/>
                <w:i w:val="0"/>
              </w:rPr>
              <w:t xml:space="preserve">;; </w:t>
            </w:r>
            <w:r>
              <w:rPr>
                <w:b/>
                <w:i w:val="0"/>
              </w:rPr>
              <w:t>occupational:</w:t>
            </w:r>
            <w:r>
              <w:rPr>
                <w:b w:val="0"/>
                <w:i w:val="0"/>
              </w:rPr>
              <w:t xml:space="preserve"> while you are working for the policyholder, or engaged in an activity the policyholder has authorised, and while travelling directly between your home and that work or activity;; </w:t>
            </w:r>
            <w:r>
              <w:rPr>
                <w:b/>
                <w:i w:val="0"/>
              </w:rPr>
              <w:t>non-occupational:</w:t>
            </w:r>
            <w:r>
              <w:rPr>
                <w:b w:val="0"/>
                <w:i w:val="0"/>
              </w:rPr>
              <w:t xml:space="preserve"> at all times except while you are working, and except while travelling directly between your home and your place of work.</w:t>
            </w:r>
          </w:p>
          <w:p>
            <w:r>
              <w:rPr>
                <w:b w:val="0"/>
                <w:i w:val="0"/>
              </w:rPr>
              <w:t>If the schedule shows no scope of cover for your category, 24 hours a day applies.</w:t>
            </w:r>
          </w:p>
        </w:tc>
      </w:tr>
      <w:tr>
        <w:tc>
          <w:tcPr>
            <w:tcW w:type="dxa" w:w="2608"/>
          </w:tcPr>
          <w:p>
            <w:bookmarkStart w:id="23" w:name="c_gpa_def_sickness"/>
            <w:r>
              <w:rPr>
                <w:b/>
                <w:i w:val="0"/>
              </w:rPr>
              <w:t>Sickness</w:t>
            </w:r>
            <w:bookmarkEnd w:id="23"/>
          </w:p>
        </w:tc>
        <w:tc>
          <w:tcPr>
            <w:tcW w:type="dxa" w:w="6803"/>
          </w:tcPr>
          <w:p>
            <w:r>
              <w:rPr>
                <w:b w:val="0"/>
                <w:i w:val="0"/>
              </w:rPr>
              <w:t>An illness or disease that first shows itself during the policy period. Sickness does not include an injury.</w:t>
            </w:r>
          </w:p>
        </w:tc>
      </w:tr>
      <w:tr>
        <w:tc>
          <w:tcPr>
            <w:tcW w:type="dxa" w:w="2608"/>
          </w:tcPr>
          <w:p>
            <w:bookmarkStart w:id="24" w:name="c_gpa_def_temporary_partial_disablement"/>
            <w:r>
              <w:rPr>
                <w:b/>
                <w:i w:val="0"/>
              </w:rPr>
              <w:t>Temporary Partial Disablement</w:t>
            </w:r>
            <w:bookmarkEnd w:id="24"/>
          </w:p>
        </w:tc>
        <w:tc>
          <w:tcPr>
            <w:tcW w:type="dxa" w:w="6803"/>
          </w:tcPr>
          <w:p>
            <w:r>
              <w:rPr>
                <w:b w:val="0"/>
                <w:i w:val="0"/>
              </w:rPr>
              <w:t>Disablement from an injury or sickness that follows a period of temporary total disablement and that prevents you from doing one or more of the important duties of your usual occupation, or from working your usual hours, while you can do some of them.</w:t>
            </w:r>
          </w:p>
        </w:tc>
      </w:tr>
      <w:tr>
        <w:tc>
          <w:tcPr>
            <w:tcW w:type="dxa" w:w="2608"/>
          </w:tcPr>
          <w:p>
            <w:bookmarkStart w:id="25" w:name="c_gpa_def_temporary_total_disablement"/>
            <w:r>
              <w:rPr>
                <w:b/>
                <w:i w:val="0"/>
              </w:rPr>
              <w:t>Temporary Total Disablement</w:t>
            </w:r>
            <w:bookmarkEnd w:id="25"/>
          </w:p>
        </w:tc>
        <w:tc>
          <w:tcPr>
            <w:tcW w:type="dxa" w:w="6803"/>
          </w:tcPr>
          <w:p>
            <w:r>
              <w:rPr>
                <w:b w:val="0"/>
                <w:i w:val="0"/>
              </w:rPr>
              <w:t>Disablement from an injury or sickness that wholly prevents you from doing every important duty of your usual occupation, for which you are under the regular care of a medical practitioner and following their advice.</w:t>
            </w:r>
          </w:p>
        </w:tc>
      </w:tr>
      <w:tr>
        <w:tc>
          <w:tcPr>
            <w:tcW w:type="dxa" w:w="2608"/>
          </w:tcPr>
          <w:p>
            <w:bookmarkStart w:id="26" w:name="c_gpa_def_waiting_period"/>
            <w:r>
              <w:rPr>
                <w:b/>
                <w:i w:val="0"/>
              </w:rPr>
              <w:t>Waiting Period</w:t>
            </w:r>
            <w:bookmarkEnd w:id="26"/>
          </w:p>
        </w:tc>
        <w:tc>
          <w:tcPr>
            <w:tcW w:type="dxa" w:w="6803"/>
          </w:tcPr>
          <w:p>
            <w:r>
              <w:rPr>
                <w:b w:val="0"/>
                <w:i w:val="0"/>
              </w:rPr>
              <w:t>The number of days, shown in the schedule, at the start of a period of temporary total disablement for which we do not pay a weekly benefit.</w:t>
            </w:r>
          </w:p>
        </w:tc>
      </w:tr>
      <w:tr>
        <w:tc>
          <w:tcPr>
            <w:tcW w:type="dxa" w:w="2608"/>
          </w:tcPr>
          <w:p>
            <w:bookmarkStart w:id="27" w:name="c_gpa_def_we_us_our"/>
            <w:r>
              <w:rPr>
                <w:b/>
                <w:i w:val="0"/>
              </w:rPr>
              <w:t>We, Us, Our</w:t>
            </w:r>
            <w:bookmarkEnd w:id="27"/>
          </w:p>
        </w:tc>
        <w:tc>
          <w:tcPr>
            <w:tcW w:type="dxa" w:w="6803"/>
          </w:tcPr>
          <w:p>
            <w:r>
              <w:rPr>
                <w:b w:val="0"/>
                <w:i w:val="0"/>
              </w:rPr>
              <w:t>The insurer named in the schedule.</w:t>
            </w:r>
          </w:p>
        </w:tc>
      </w:tr>
      <w:tr>
        <w:tc>
          <w:tcPr>
            <w:tcW w:type="dxa" w:w="2608"/>
          </w:tcPr>
          <w:p>
            <w:bookmarkStart w:id="28" w:name="c_gpa_def_weekly_benefit"/>
            <w:r>
              <w:rPr>
                <w:b/>
                <w:i w:val="0"/>
              </w:rPr>
              <w:t>Weekly Benefit</w:t>
            </w:r>
            <w:bookmarkEnd w:id="28"/>
          </w:p>
        </w:tc>
        <w:tc>
          <w:tcPr>
            <w:tcW w:type="dxa" w:w="6803"/>
          </w:tcPr>
          <w:p>
            <w:r>
              <w:rPr>
                <w:b w:val="0"/>
                <w:i w:val="0"/>
              </w:rPr>
              <w:t>The maximum weekly benefit shown in the schedule for your category.</w:t>
            </w:r>
          </w:p>
        </w:tc>
      </w:tr>
      <w:tr>
        <w:tc>
          <w:tcPr>
            <w:tcW w:type="dxa" w:w="2608"/>
          </w:tcPr>
          <w:p>
            <w:bookmarkStart w:id="29" w:name="c_gpa_def_you_your"/>
            <w:r>
              <w:rPr>
                <w:b/>
                <w:i w:val="0"/>
              </w:rPr>
              <w:t>You, Your</w:t>
            </w:r>
            <w:bookmarkEnd w:id="29"/>
          </w:p>
        </w:tc>
        <w:tc>
          <w:tcPr>
            <w:tcW w:type="dxa" w:w="6803"/>
          </w:tcPr>
          <w:p>
            <w:r>
              <w:rPr>
                <w:b w:val="0"/>
                <w:i w:val="0"/>
              </w:rPr>
              <w:t>A covered person.</w:t>
            </w:r>
          </w:p>
        </w:tc>
      </w:tr>
    </w:tbl>
    <w:p>
      <w:bookmarkStart w:id="30" w:name="c_gpa_section_cover"/>
      <w:r>
        <w:rPr>
          <w:rFonts w:ascii="Georgia" w:hAnsi="Georgia" w:eastAsia="Georgia"/>
          <w:b/>
          <w:i w:val="0"/>
          <w:color w:val="1C1915"/>
          <w:sz w:val="32"/>
        </w:rPr>
        <w:t>What Is Covered</w:t>
      </w:r>
      <w:bookmarkEnd w:id="30"/>
    </w:p>
    <w:p>
      <w:bookmarkStart w:id="31" w:name="c_gpa_cover_capital_benefits"/>
      <w:r>
        <w:rPr>
          <w:rFonts w:ascii="Georgia" w:hAnsi="Georgia" w:eastAsia="Georgia"/>
          <w:b/>
          <w:i w:val="0"/>
          <w:color w:val="2E5C4E"/>
          <w:sz w:val="25"/>
        </w:rPr>
        <w:t>Capital Benefits</w:t>
      </w:r>
      <w:bookmarkEnd w:id="31"/>
    </w:p>
    <w:p>
      <w:r>
        <w:rPr>
          <w:b w:val="0"/>
          <w:i w:val="0"/>
        </w:rPr>
        <w:t>If you suffer an injury during the policy period and within the scope of cover, and within 12 months of the accident the injury results in one of the events in this table, we will pay the percentage of the capital sum shown against that event.</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Event</w:t>
            </w:r>
          </w:p>
        </w:tc>
        <w:tc>
          <w:tcPr>
            <w:tcW w:type="dxa" w:w="3249"/>
          </w:tcPr>
          <w:p>
            <w:r/>
          </w:p>
        </w:tc>
        <w:tc>
          <w:tcPr>
            <w:tcW w:type="dxa" w:w="3249"/>
          </w:tcPr>
          <w:p>
            <w:r/>
            <w:r>
              <w:rPr>
                <w:b w:val="0"/>
                <w:i w:val="0"/>
              </w:rPr>
              <w:t>Percentage of the capital sum</w:t>
            </w:r>
          </w:p>
        </w:tc>
      </w:tr>
      <w:tr>
        <w:tc>
          <w:tcPr>
            <w:tcW w:type="dxa" w:w="3249"/>
          </w:tcPr>
          <w:p>
            <w:r/>
            <w:r>
              <w:rPr>
                <w:b w:val="0"/>
                <w:i w:val="0"/>
              </w:rPr>
              <w:t>Event 1</w:t>
            </w:r>
          </w:p>
        </w:tc>
        <w:tc>
          <w:tcPr>
            <w:tcW w:type="dxa" w:w="3249"/>
          </w:tcPr>
          <w:p>
            <w:r/>
            <w:r>
              <w:rPr>
                <w:b w:val="0"/>
                <w:i w:val="0"/>
              </w:rPr>
              <w:t>Death</w:t>
            </w:r>
          </w:p>
        </w:tc>
        <w:tc>
          <w:tcPr>
            <w:tcW w:type="dxa" w:w="3249"/>
          </w:tcPr>
          <w:p>
            <w:r/>
            <w:r>
              <w:rPr>
                <w:b w:val="0"/>
                <w:i w:val="0"/>
              </w:rPr>
              <w:t>100%</w:t>
            </w:r>
          </w:p>
        </w:tc>
      </w:tr>
      <w:tr>
        <w:tc>
          <w:tcPr>
            <w:tcW w:type="dxa" w:w="3249"/>
          </w:tcPr>
          <w:p>
            <w:r/>
            <w:r>
              <w:rPr>
                <w:b w:val="0"/>
                <w:i w:val="0"/>
              </w:rPr>
              <w:t>Event 2</w:t>
            </w:r>
          </w:p>
        </w:tc>
        <w:tc>
          <w:tcPr>
            <w:tcW w:type="dxa" w:w="3249"/>
          </w:tcPr>
          <w:p>
            <w:r/>
            <w:r>
              <w:rPr>
                <w:b w:val="0"/>
                <w:i w:val="0"/>
              </w:rPr>
              <w:t>Permanent total disablement</w:t>
            </w:r>
          </w:p>
        </w:tc>
        <w:tc>
          <w:tcPr>
            <w:tcW w:type="dxa" w:w="3249"/>
          </w:tcPr>
          <w:p>
            <w:r/>
            <w:r>
              <w:rPr>
                <w:b w:val="0"/>
                <w:i w:val="0"/>
              </w:rPr>
              <w:t>100%</w:t>
            </w:r>
          </w:p>
        </w:tc>
      </w:tr>
      <w:tr>
        <w:tc>
          <w:tcPr>
            <w:tcW w:type="dxa" w:w="3249"/>
          </w:tcPr>
          <w:p>
            <w:r/>
            <w:r>
              <w:rPr>
                <w:b w:val="0"/>
                <w:i w:val="0"/>
              </w:rPr>
              <w:t>Event 3</w:t>
            </w:r>
          </w:p>
        </w:tc>
        <w:tc>
          <w:tcPr>
            <w:tcW w:type="dxa" w:w="3249"/>
          </w:tcPr>
          <w:p>
            <w:r/>
            <w:r>
              <w:rPr>
                <w:b w:val="0"/>
                <w:i w:val="0"/>
              </w:rPr>
              <w:t>Permanent paraplegia or quadriplegia</w:t>
            </w:r>
          </w:p>
        </w:tc>
        <w:tc>
          <w:tcPr>
            <w:tcW w:type="dxa" w:w="3249"/>
          </w:tcPr>
          <w:p>
            <w:r/>
            <w:r>
              <w:rPr>
                <w:b w:val="0"/>
                <w:i w:val="0"/>
              </w:rPr>
              <w:t>100%</w:t>
            </w:r>
          </w:p>
        </w:tc>
      </w:tr>
      <w:tr>
        <w:tc>
          <w:tcPr>
            <w:tcW w:type="dxa" w:w="3249"/>
          </w:tcPr>
          <w:p>
            <w:r/>
            <w:r>
              <w:rPr>
                <w:b w:val="0"/>
                <w:i w:val="0"/>
              </w:rPr>
              <w:t>Event 4</w:t>
            </w:r>
          </w:p>
        </w:tc>
        <w:tc>
          <w:tcPr>
            <w:tcW w:type="dxa" w:w="3249"/>
          </w:tcPr>
          <w:p>
            <w:r/>
            <w:r>
              <w:rPr>
                <w:b w:val="0"/>
                <w:i w:val="0"/>
              </w:rPr>
              <w:t>Permanent total loss of sight in both eyes</w:t>
            </w:r>
          </w:p>
        </w:tc>
        <w:tc>
          <w:tcPr>
            <w:tcW w:type="dxa" w:w="3249"/>
          </w:tcPr>
          <w:p>
            <w:r/>
            <w:r>
              <w:rPr>
                <w:b w:val="0"/>
                <w:i w:val="0"/>
              </w:rPr>
              <w:t>100%</w:t>
            </w:r>
          </w:p>
        </w:tc>
      </w:tr>
      <w:tr>
        <w:tc>
          <w:tcPr>
            <w:tcW w:type="dxa" w:w="3249"/>
          </w:tcPr>
          <w:p>
            <w:r/>
            <w:r>
              <w:rPr>
                <w:b w:val="0"/>
                <w:i w:val="0"/>
              </w:rPr>
              <w:t>Event 5</w:t>
            </w:r>
          </w:p>
        </w:tc>
        <w:tc>
          <w:tcPr>
            <w:tcW w:type="dxa" w:w="3249"/>
          </w:tcPr>
          <w:p>
            <w:r/>
            <w:r>
              <w:rPr>
                <w:b w:val="0"/>
                <w:i w:val="0"/>
              </w:rPr>
              <w:t>Permanent total loss of sight in one eye</w:t>
            </w:r>
          </w:p>
        </w:tc>
        <w:tc>
          <w:tcPr>
            <w:tcW w:type="dxa" w:w="3249"/>
          </w:tcPr>
          <w:p>
            <w:r/>
            <w:r>
              <w:rPr>
                <w:b w:val="0"/>
                <w:i w:val="0"/>
              </w:rPr>
              <w:t>100%</w:t>
            </w:r>
          </w:p>
        </w:tc>
      </w:tr>
      <w:tr>
        <w:tc>
          <w:tcPr>
            <w:tcW w:type="dxa" w:w="3249"/>
          </w:tcPr>
          <w:p>
            <w:r/>
            <w:r>
              <w:rPr>
                <w:b w:val="0"/>
                <w:i w:val="0"/>
              </w:rPr>
              <w:t>Event 6</w:t>
            </w:r>
          </w:p>
        </w:tc>
        <w:tc>
          <w:tcPr>
            <w:tcW w:type="dxa" w:w="3249"/>
          </w:tcPr>
          <w:p>
            <w:r/>
            <w:r>
              <w:rPr>
                <w:b w:val="0"/>
                <w:i w:val="0"/>
              </w:rPr>
              <w:t>Permanent total loss of use of two or more limbs</w:t>
            </w:r>
          </w:p>
        </w:tc>
        <w:tc>
          <w:tcPr>
            <w:tcW w:type="dxa" w:w="3249"/>
          </w:tcPr>
          <w:p>
            <w:r/>
            <w:r>
              <w:rPr>
                <w:b w:val="0"/>
                <w:i w:val="0"/>
              </w:rPr>
              <w:t>100%</w:t>
            </w:r>
          </w:p>
        </w:tc>
      </w:tr>
      <w:tr>
        <w:tc>
          <w:tcPr>
            <w:tcW w:type="dxa" w:w="3249"/>
          </w:tcPr>
          <w:p>
            <w:r/>
            <w:r>
              <w:rPr>
                <w:b w:val="0"/>
                <w:i w:val="0"/>
              </w:rPr>
              <w:t>Event 7</w:t>
            </w:r>
          </w:p>
        </w:tc>
        <w:tc>
          <w:tcPr>
            <w:tcW w:type="dxa" w:w="3249"/>
          </w:tcPr>
          <w:p>
            <w:r/>
            <w:r>
              <w:rPr>
                <w:b w:val="0"/>
                <w:i w:val="0"/>
              </w:rPr>
              <w:t>Permanent total loss of use of one limb</w:t>
            </w:r>
          </w:p>
        </w:tc>
        <w:tc>
          <w:tcPr>
            <w:tcW w:type="dxa" w:w="3249"/>
          </w:tcPr>
          <w:p>
            <w:r/>
            <w:r>
              <w:rPr>
                <w:b w:val="0"/>
                <w:i w:val="0"/>
              </w:rPr>
              <w:t>100%</w:t>
            </w:r>
          </w:p>
        </w:tc>
      </w:tr>
      <w:tr>
        <w:tc>
          <w:tcPr>
            <w:tcW w:type="dxa" w:w="3249"/>
          </w:tcPr>
          <w:p>
            <w:r/>
            <w:r>
              <w:rPr>
                <w:b w:val="0"/>
                <w:i w:val="0"/>
              </w:rPr>
              <w:t>Event 8</w:t>
            </w:r>
          </w:p>
        </w:tc>
        <w:tc>
          <w:tcPr>
            <w:tcW w:type="dxa" w:w="3249"/>
          </w:tcPr>
          <w:p>
            <w:r/>
            <w:r>
              <w:rPr>
                <w:b w:val="0"/>
                <w:i w:val="0"/>
              </w:rPr>
              <w:t>Permanent total loss of hearing in both ears</w:t>
            </w:r>
          </w:p>
        </w:tc>
        <w:tc>
          <w:tcPr>
            <w:tcW w:type="dxa" w:w="3249"/>
          </w:tcPr>
          <w:p>
            <w:r/>
            <w:r>
              <w:rPr>
                <w:b w:val="0"/>
                <w:i w:val="0"/>
              </w:rPr>
              <w:t>80%</w:t>
            </w:r>
          </w:p>
        </w:tc>
      </w:tr>
      <w:tr>
        <w:tc>
          <w:tcPr>
            <w:tcW w:type="dxa" w:w="3249"/>
          </w:tcPr>
          <w:p>
            <w:r/>
            <w:r>
              <w:rPr>
                <w:b w:val="0"/>
                <w:i w:val="0"/>
              </w:rPr>
              <w:t>Event 9</w:t>
            </w:r>
          </w:p>
        </w:tc>
        <w:tc>
          <w:tcPr>
            <w:tcW w:type="dxa" w:w="3249"/>
          </w:tcPr>
          <w:p>
            <w:r/>
            <w:r>
              <w:rPr>
                <w:b w:val="0"/>
                <w:i w:val="0"/>
              </w:rPr>
              <w:t>Permanent total loss of hearing in one ear</w:t>
            </w:r>
          </w:p>
        </w:tc>
        <w:tc>
          <w:tcPr>
            <w:tcW w:type="dxa" w:w="3249"/>
          </w:tcPr>
          <w:p>
            <w:r/>
            <w:r>
              <w:rPr>
                <w:b w:val="0"/>
                <w:i w:val="0"/>
              </w:rPr>
              <w:t>20%</w:t>
            </w:r>
          </w:p>
        </w:tc>
      </w:tr>
      <w:tr>
        <w:tc>
          <w:tcPr>
            <w:tcW w:type="dxa" w:w="3249"/>
          </w:tcPr>
          <w:p>
            <w:r/>
            <w:r>
              <w:rPr>
                <w:b w:val="0"/>
                <w:i w:val="0"/>
              </w:rPr>
              <w:t>Event 10</w:t>
            </w:r>
          </w:p>
        </w:tc>
        <w:tc>
          <w:tcPr>
            <w:tcW w:type="dxa" w:w="3249"/>
          </w:tcPr>
          <w:p>
            <w:r/>
            <w:r>
              <w:rPr>
                <w:b w:val="0"/>
                <w:i w:val="0"/>
              </w:rPr>
              <w:t>Permanent total loss of speech</w:t>
            </w:r>
          </w:p>
        </w:tc>
        <w:tc>
          <w:tcPr>
            <w:tcW w:type="dxa" w:w="3249"/>
          </w:tcPr>
          <w:p>
            <w:r/>
            <w:r>
              <w:rPr>
                <w:b w:val="0"/>
                <w:i w:val="0"/>
              </w:rPr>
              <w:t>80%</w:t>
            </w:r>
          </w:p>
        </w:tc>
      </w:tr>
      <w:tr>
        <w:tc>
          <w:tcPr>
            <w:tcW w:type="dxa" w:w="3249"/>
          </w:tcPr>
          <w:p>
            <w:r/>
            <w:r>
              <w:rPr>
                <w:b w:val="0"/>
                <w:i w:val="0"/>
              </w:rPr>
              <w:t>Event 11</w:t>
            </w:r>
          </w:p>
        </w:tc>
        <w:tc>
          <w:tcPr>
            <w:tcW w:type="dxa" w:w="3249"/>
          </w:tcPr>
          <w:p>
            <w:r/>
            <w:r>
              <w:rPr>
                <w:b w:val="0"/>
                <w:i w:val="0"/>
              </w:rPr>
              <w:t>Permanent total loss of the lens of one eye</w:t>
            </w:r>
          </w:p>
        </w:tc>
        <w:tc>
          <w:tcPr>
            <w:tcW w:type="dxa" w:w="3249"/>
          </w:tcPr>
          <w:p>
            <w:r/>
            <w:r>
              <w:rPr>
                <w:b w:val="0"/>
                <w:i w:val="0"/>
              </w:rPr>
              <w:t>50%</w:t>
            </w:r>
          </w:p>
        </w:tc>
      </w:tr>
      <w:tr>
        <w:tc>
          <w:tcPr>
            <w:tcW w:type="dxa" w:w="3249"/>
          </w:tcPr>
          <w:p>
            <w:r/>
            <w:r>
              <w:rPr>
                <w:b w:val="0"/>
                <w:i w:val="0"/>
              </w:rPr>
              <w:t>Event 12</w:t>
            </w:r>
          </w:p>
        </w:tc>
        <w:tc>
          <w:tcPr>
            <w:tcW w:type="dxa" w:w="3249"/>
          </w:tcPr>
          <w:p>
            <w:r/>
            <w:r>
              <w:rPr>
                <w:b w:val="0"/>
                <w:i w:val="0"/>
              </w:rPr>
              <w:t>Third-degree burns to 40% or more of the body surface</w:t>
            </w:r>
          </w:p>
        </w:tc>
        <w:tc>
          <w:tcPr>
            <w:tcW w:type="dxa" w:w="3249"/>
          </w:tcPr>
          <w:p>
            <w:r/>
            <w:r>
              <w:rPr>
                <w:b w:val="0"/>
                <w:i w:val="0"/>
              </w:rPr>
              <w:t>50%</w:t>
            </w:r>
          </w:p>
        </w:tc>
      </w:tr>
      <w:tr>
        <w:tc>
          <w:tcPr>
            <w:tcW w:type="dxa" w:w="3249"/>
          </w:tcPr>
          <w:p>
            <w:r/>
            <w:r>
              <w:rPr>
                <w:b w:val="0"/>
                <w:i w:val="0"/>
              </w:rPr>
              <w:t>Event 13</w:t>
            </w:r>
          </w:p>
        </w:tc>
        <w:tc>
          <w:tcPr>
            <w:tcW w:type="dxa" w:w="3249"/>
          </w:tcPr>
          <w:p>
            <w:r/>
            <w:r>
              <w:rPr>
                <w:b w:val="0"/>
                <w:i w:val="0"/>
              </w:rPr>
              <w:t>Permanent total loss of use of four fingers and the thumb of one hand</w:t>
            </w:r>
          </w:p>
        </w:tc>
        <w:tc>
          <w:tcPr>
            <w:tcW w:type="dxa" w:w="3249"/>
          </w:tcPr>
          <w:p>
            <w:r/>
            <w:r>
              <w:rPr>
                <w:b w:val="0"/>
                <w:i w:val="0"/>
              </w:rPr>
              <w:t>75%</w:t>
            </w:r>
          </w:p>
        </w:tc>
      </w:tr>
      <w:tr>
        <w:tc>
          <w:tcPr>
            <w:tcW w:type="dxa" w:w="3249"/>
          </w:tcPr>
          <w:p>
            <w:r/>
            <w:r>
              <w:rPr>
                <w:b w:val="0"/>
                <w:i w:val="0"/>
              </w:rPr>
              <w:t>Event 14</w:t>
            </w:r>
          </w:p>
        </w:tc>
        <w:tc>
          <w:tcPr>
            <w:tcW w:type="dxa" w:w="3249"/>
          </w:tcPr>
          <w:p>
            <w:r/>
            <w:r>
              <w:rPr>
                <w:b w:val="0"/>
                <w:i w:val="0"/>
              </w:rPr>
              <w:t>Permanent total loss of use of four fingers of one hand</w:t>
            </w:r>
          </w:p>
        </w:tc>
        <w:tc>
          <w:tcPr>
            <w:tcW w:type="dxa" w:w="3249"/>
          </w:tcPr>
          <w:p>
            <w:r/>
            <w:r>
              <w:rPr>
                <w:b w:val="0"/>
                <w:i w:val="0"/>
              </w:rPr>
              <w:t>40%</w:t>
            </w:r>
          </w:p>
        </w:tc>
      </w:tr>
      <w:tr>
        <w:tc>
          <w:tcPr>
            <w:tcW w:type="dxa" w:w="3249"/>
          </w:tcPr>
          <w:p>
            <w:r/>
            <w:r>
              <w:rPr>
                <w:b w:val="0"/>
                <w:i w:val="0"/>
              </w:rPr>
              <w:t>Event 15</w:t>
            </w:r>
          </w:p>
        </w:tc>
        <w:tc>
          <w:tcPr>
            <w:tcW w:type="dxa" w:w="3249"/>
          </w:tcPr>
          <w:p>
            <w:r/>
            <w:r>
              <w:rPr>
                <w:b w:val="0"/>
                <w:i w:val="0"/>
              </w:rPr>
              <w:t>Permanent total loss of use of a thumb: both joints / one joint</w:t>
            </w:r>
          </w:p>
        </w:tc>
        <w:tc>
          <w:tcPr>
            <w:tcW w:type="dxa" w:w="3249"/>
          </w:tcPr>
          <w:p>
            <w:r/>
            <w:r>
              <w:rPr>
                <w:b w:val="0"/>
                <w:i w:val="0"/>
              </w:rPr>
              <w:t>30% / 15%</w:t>
            </w:r>
          </w:p>
        </w:tc>
      </w:tr>
      <w:tr>
        <w:tc>
          <w:tcPr>
            <w:tcW w:type="dxa" w:w="3249"/>
          </w:tcPr>
          <w:p>
            <w:r/>
            <w:r>
              <w:rPr>
                <w:b w:val="0"/>
                <w:i w:val="0"/>
              </w:rPr>
              <w:t>Event 16</w:t>
            </w:r>
          </w:p>
        </w:tc>
        <w:tc>
          <w:tcPr>
            <w:tcW w:type="dxa" w:w="3249"/>
          </w:tcPr>
          <w:p>
            <w:r/>
            <w:r>
              <w:rPr>
                <w:b w:val="0"/>
                <w:i w:val="0"/>
              </w:rPr>
              <w:t>Permanent total loss of use of a finger: three joints / two joints / one joint</w:t>
            </w:r>
          </w:p>
        </w:tc>
        <w:tc>
          <w:tcPr>
            <w:tcW w:type="dxa" w:w="3249"/>
          </w:tcPr>
          <w:p>
            <w:r/>
            <w:r>
              <w:rPr>
                <w:b w:val="0"/>
                <w:i w:val="0"/>
              </w:rPr>
              <w:t>15% / 10% / 5%</w:t>
            </w:r>
          </w:p>
        </w:tc>
      </w:tr>
      <w:tr>
        <w:tc>
          <w:tcPr>
            <w:tcW w:type="dxa" w:w="3249"/>
          </w:tcPr>
          <w:p>
            <w:r/>
            <w:r>
              <w:rPr>
                <w:b w:val="0"/>
                <w:i w:val="0"/>
              </w:rPr>
              <w:t>Event 17</w:t>
            </w:r>
          </w:p>
        </w:tc>
        <w:tc>
          <w:tcPr>
            <w:tcW w:type="dxa" w:w="3249"/>
          </w:tcPr>
          <w:p>
            <w:r/>
            <w:r>
              <w:rPr>
                <w:b w:val="0"/>
                <w:i w:val="0"/>
              </w:rPr>
              <w:t>Permanent total loss of use of all toes of one foot / the big toe, both joints / the big toe, one joint / any other toe, each</w:t>
            </w:r>
          </w:p>
        </w:tc>
        <w:tc>
          <w:tcPr>
            <w:tcW w:type="dxa" w:w="3249"/>
          </w:tcPr>
          <w:p>
            <w:r/>
            <w:r>
              <w:rPr>
                <w:b w:val="0"/>
                <w:i w:val="0"/>
              </w:rPr>
              <w:t>15% / 5% / 3% / 1%</w:t>
            </w:r>
          </w:p>
        </w:tc>
      </w:tr>
      <w:tr>
        <w:tc>
          <w:tcPr>
            <w:tcW w:type="dxa" w:w="3249"/>
          </w:tcPr>
          <w:p>
            <w:r/>
            <w:r>
              <w:rPr>
                <w:b w:val="0"/>
                <w:i w:val="0"/>
              </w:rPr>
              <w:t>Event 18</w:t>
            </w:r>
          </w:p>
        </w:tc>
        <w:tc>
          <w:tcPr>
            <w:tcW w:type="dxa" w:w="3249"/>
          </w:tcPr>
          <w:p>
            <w:r/>
            <w:r>
              <w:rPr>
                <w:b w:val="0"/>
                <w:i w:val="0"/>
              </w:rPr>
              <w:t>Permanent partial disablement not listed above</w:t>
            </w:r>
          </w:p>
        </w:tc>
        <w:tc>
          <w:tcPr>
            <w:tcW w:type="dxa" w:w="3249"/>
          </w:tcPr>
          <w:p>
            <w:r/>
            <w:r>
              <w:rPr>
                <w:b w:val="0"/>
                <w:i w:val="0"/>
              </w:rPr>
              <w:t>The percentage of permanent loss of whole-body function, assessed under the edition of the American Medical Association Guides to the Evaluation of Permanent Impairment that we use at the time, up to 75%</w:t>
            </w:r>
          </w:p>
        </w:tc>
      </w:tr>
    </w:tbl>
    <w:p>
      <w:r>
        <w:rPr>
          <w:b w:val="0"/>
          <w:i w:val="0"/>
        </w:rPr>
        <w:t>In this table, loss of use of a limb includes loss of the hand or foot, and loss of a limb, hand, finger or toe includes its physical separation.</w:t>
      </w:r>
    </w:p>
    <w:p>
      <w:r>
        <w:rPr>
          <w:b w:val="0"/>
          <w:i w:val="0"/>
        </w:rPr>
        <w:t>[WP REVIEW: confirm Event 18 may rely on the AMA Guides by reference, or whether the edition must be fixed in the wording.]</w:t>
      </w:r>
    </w:p>
    <w:p>
      <w:bookmarkStart w:id="32" w:name="c_gpa_cover_weekly_injury"/>
      <w:r>
        <w:rPr>
          <w:rFonts w:ascii="Georgia" w:hAnsi="Georgia" w:eastAsia="Georgia"/>
          <w:b/>
          <w:i w:val="0"/>
          <w:color w:val="2E5C4E"/>
          <w:sz w:val="25"/>
        </w:rPr>
        <w:t>Weekly Benefits for Injury</w:t>
      </w:r>
      <w:bookmarkEnd w:id="32"/>
    </w:p>
    <w:p>
      <w:r>
        <w:rPr>
          <w:b w:val="0"/>
          <w:i w:val="0"/>
        </w:rPr>
        <w:t>If the schedule shows weekly benefits for your category, and you suffer an injury during the policy period and within the scope of cover that results in temporary total disablement starting within 12 months of the accident, we will pay you the weekly benefit after the waiting period, for as long as the temporary total disablement continues, up to the benefit period.</w:t>
      </w:r>
    </w:p>
    <w:p>
      <w:r>
        <w:rPr>
          <w:b w:val="0"/>
          <w:i w:val="0"/>
        </w:rPr>
        <w:t>If temporary total disablement is followed by temporary partial disablement, we will pay you the weekly benefit less what you earn in each week of the temporary partial disablement, for the rest of the benefit period. If a medical practitioner certifies you can return to work in a reduced capacity, and you choose not to, we will pay 25% of the weekly benefit for up to 4 weeks.</w:t>
      </w:r>
    </w:p>
    <w:p>
      <w:r>
        <w:rPr>
          <w:b w:val="0"/>
          <w:i w:val="0"/>
        </w:rPr>
        <w:t xml:space="preserve">How much we pay each week is set by </w:t>
      </w:r>
      <w:hyperlink w:anchor="c_gpa_pay_weekly_benefit_amount">
        <w:r>
          <w:rPr>
            <w:color w:val="2E5C4E"/>
            <w:u w:val="single"/>
          </w:rPr>
          <w:t xml:space="preserve">the How Much We Pay Each Week provision</w:t>
        </w:r>
      </w:hyperlink>
      <w:r>
        <w:rPr>
          <w:b w:val="0"/>
          <w:i w:val="0"/>
        </w:rPr>
        <w:t>.</w:t>
      </w:r>
    </w:p>
    <w:p>
      <w:bookmarkStart w:id="33" w:name="c_gpa_cover_weekly_sickness"/>
      <w:r>
        <w:rPr>
          <w:rFonts w:ascii="Georgia" w:hAnsi="Georgia" w:eastAsia="Georgia"/>
          <w:b/>
          <w:i w:val="0"/>
          <w:color w:val="2E5C4E"/>
          <w:sz w:val="25"/>
        </w:rPr>
        <w:t>Weekly Benefits for Sickness</w:t>
      </w:r>
      <w:bookmarkEnd w:id="33"/>
    </w:p>
    <w:p>
      <w:r>
        <w:rPr>
          <w:b w:val="0"/>
          <w:i w:val="0"/>
        </w:rPr>
        <w:t>This clause applies only if the schedule shows weekly sickness benefits for your category.</w:t>
      </w:r>
    </w:p>
    <w:p>
      <w:r>
        <w:rPr>
          <w:b w:val="0"/>
          <w:i w:val="0"/>
        </w:rPr>
        <w:t>If you suffer a sickness during the policy period that results in temporary total disablement, we will pay you the weekly benefit after the waiting period, for as long as the temporary total disablement continues, up to the benefit period.</w:t>
      </w:r>
    </w:p>
    <w:p>
      <w:r>
        <w:rPr>
          <w:b w:val="0"/>
          <w:i w:val="0"/>
        </w:rPr>
        <w:t xml:space="preserve">Temporary partial disablement from a sickness is paid on the same terms as in </w:t>
      </w:r>
      <w:hyperlink w:anchor="c_gpa_cover_weekly_injury">
        <w:r>
          <w:rPr>
            <w:color w:val="2E5C4E"/>
            <w:u w:val="single"/>
          </w:rPr>
          <w:t xml:space="preserve">the Weekly Benefits for Injury clause</w:t>
        </w:r>
      </w:hyperlink>
      <w:r>
        <w:rPr>
          <w:b w:val="0"/>
          <w:i w:val="0"/>
        </w:rPr>
        <w:t>.</w:t>
      </w:r>
    </w:p>
    <w:p>
      <w:r>
        <w:rPr>
          <w:b w:val="0"/>
          <w:i w:val="0"/>
        </w:rPr>
        <w:t>The scope of cover does not limit this clause: a sickness is covered whenever it first shows itself during the policy period.</w:t>
      </w:r>
    </w:p>
    <w:p>
      <w:bookmarkStart w:id="34" w:name="c_gpa_section_additional_benefits"/>
      <w:r>
        <w:rPr>
          <w:rFonts w:ascii="Georgia" w:hAnsi="Georgia" w:eastAsia="Georgia"/>
          <w:b/>
          <w:i w:val="0"/>
          <w:color w:val="1C1915"/>
          <w:sz w:val="32"/>
        </w:rPr>
        <w:t>Additional Benefits</w:t>
      </w:r>
      <w:bookmarkEnd w:id="34"/>
    </w:p>
    <w:p>
      <w:r>
        <w:rPr>
          <w:b w:val="0"/>
          <w:i w:val="0"/>
        </w:rPr>
        <w:t>These benefits are paid in addition to the capital sum and the weekly benefit, unless a clause says otherwise. Their limits apply to each covered person, and are shown in each clause unless the schedule shows a different amount.</w:t>
      </w:r>
    </w:p>
    <w:p>
      <w:bookmarkStart w:id="35" w:name="c_gpa_ext_exposure_and_disappearance"/>
      <w:r>
        <w:rPr>
          <w:rFonts w:ascii="Georgia" w:hAnsi="Georgia" w:eastAsia="Georgia"/>
          <w:b/>
          <w:i w:val="0"/>
          <w:color w:val="2E5C4E"/>
          <w:sz w:val="25"/>
        </w:rPr>
        <w:t>Exposure and Disappearance</w:t>
      </w:r>
      <w:bookmarkEnd w:id="35"/>
    </w:p>
    <w:p>
      <w:r>
        <w:rPr>
          <w:b w:val="0"/>
          <w:i w:val="0"/>
        </w:rPr>
        <w:t xml:space="preserve">If you suffer an event in the </w:t>
      </w:r>
      <w:hyperlink w:anchor="c_gpa_cover_capital_benefits">
        <w:r>
          <w:rPr>
            <w:color w:val="2E5C4E"/>
            <w:u w:val="single"/>
          </w:rPr>
          <w:t xml:space="preserve">Capital Benefits</w:t>
        </w:r>
      </w:hyperlink>
      <w:r>
        <w:rPr>
          <w:b w:val="0"/>
          <w:i w:val="0"/>
        </w:rPr>
        <w:t xml:space="preserve"> table because you were exposed to the elements after an accident, we will treat it as caused by injury.</w:t>
      </w:r>
    </w:p>
    <w:p>
      <w:r>
        <w:rPr>
          <w:b w:val="0"/>
          <w:i w:val="0"/>
        </w:rPr>
        <w:t>If you disappear after the conveyance you were travelling in is wrecked, sinks or disappears, and you are not found within 12 months, we will pay the Event 1 benefit. Before we pay, your legal personal representative must give us a signed undertaking to repay it if you are later found alive.</w:t>
      </w:r>
    </w:p>
    <w:p>
      <w:bookmarkStart w:id="36" w:name="c_gpa_ext_funeral_expenses"/>
      <w:r>
        <w:rPr>
          <w:rFonts w:ascii="Georgia" w:hAnsi="Georgia" w:eastAsia="Georgia"/>
          <w:b/>
          <w:i w:val="0"/>
          <w:color w:val="2E5C4E"/>
          <w:sz w:val="25"/>
        </w:rPr>
        <w:t>Funeral Expenses</w:t>
      </w:r>
      <w:bookmarkEnd w:id="36"/>
    </w:p>
    <w:p>
      <w:r>
        <w:rPr>
          <w:b w:val="0"/>
          <w:i w:val="0"/>
        </w:rPr>
        <w:t>If we pay the Event 1 benefit, we will also pay the reasonable funeral, cremation or burial expenses incurred, and the cost of returning your remains to your home in Australia. Unless the schedule shows otherwise, the limit is $15,000 for any one injury.</w:t>
      </w:r>
    </w:p>
    <w:p>
      <w:bookmarkStart w:id="37" w:name="c_gpa_ext_dependent_children"/>
      <w:r>
        <w:rPr>
          <w:rFonts w:ascii="Georgia" w:hAnsi="Georgia" w:eastAsia="Georgia"/>
          <w:b/>
          <w:i w:val="0"/>
          <w:color w:val="2E5C4E"/>
          <w:sz w:val="25"/>
        </w:rPr>
        <w:t>Dependent Children</w:t>
      </w:r>
      <w:bookmarkEnd w:id="37"/>
    </w:p>
    <w:p>
      <w:r>
        <w:rPr>
          <w:b w:val="0"/>
          <w:i w:val="0"/>
        </w:rPr>
        <w:t>If we pay the Event 1 benefit, we will also pay a benefit for each child under 18 years of age, or under 25 years of age and studying full time, who was wholly or mainly dependent on you. Unless the schedule shows otherwise, the benefit is $10,000 for each child, and no more than $50,000 in total.</w:t>
      </w:r>
    </w:p>
    <w:p>
      <w:bookmarkStart w:id="38" w:name="c_gpa_ext_spouse_retraining"/>
      <w:r>
        <w:rPr>
          <w:rFonts w:ascii="Georgia" w:hAnsi="Georgia" w:eastAsia="Georgia"/>
          <w:b/>
          <w:i w:val="0"/>
          <w:color w:val="2E5C4E"/>
          <w:sz w:val="25"/>
        </w:rPr>
        <w:t>Spouse or Partner Retraining</w:t>
      </w:r>
      <w:bookmarkEnd w:id="38"/>
    </w:p>
    <w:p>
      <w:r>
        <w:rPr>
          <w:b w:val="0"/>
          <w:i w:val="0"/>
        </w:rPr>
        <w:t>If we pay the Event 1 or Event 2 benefit, we will also reimburse the cost of a course of training your spouse or partner takes within 2 years to gain or improve qualifications for paid work. Unless the schedule shows otherwise, the limit is $15,000.</w:t>
      </w:r>
    </w:p>
    <w:p>
      <w:bookmarkStart w:id="39" w:name="c_gpa_ext_coma"/>
      <w:r>
        <w:rPr>
          <w:rFonts w:ascii="Georgia" w:hAnsi="Georgia" w:eastAsia="Georgia"/>
          <w:b/>
          <w:i w:val="0"/>
          <w:color w:val="2E5C4E"/>
          <w:sz w:val="25"/>
        </w:rPr>
        <w:t>Coma</w:t>
      </w:r>
      <w:bookmarkEnd w:id="39"/>
    </w:p>
    <w:p>
      <w:r>
        <w:rPr>
          <w:b w:val="0"/>
          <w:i w:val="0"/>
        </w:rPr>
        <w:t>If an injury causes you to be in a coma for more than 7 consecutive days, we will pay a daily benefit from the first day of the coma. Unless the schedule shows otherwise, the benefit is $100 a day for up to 90 days. This benefit is paid in addition to any other benefit for the same injury.</w:t>
      </w:r>
    </w:p>
    <w:p>
      <w:bookmarkStart w:id="40" w:name="c_gpa_ext_broken_bones"/>
      <w:r>
        <w:rPr>
          <w:rFonts w:ascii="Georgia" w:hAnsi="Georgia" w:eastAsia="Georgia"/>
          <w:b/>
          <w:i w:val="0"/>
          <w:color w:val="2E5C4E"/>
          <w:sz w:val="25"/>
        </w:rPr>
        <w:t>Broken Bones</w:t>
      </w:r>
      <w:bookmarkEnd w:id="40"/>
    </w:p>
    <w:p>
      <w:r>
        <w:rPr>
          <w:b w:val="0"/>
          <w:i w:val="0"/>
        </w:rPr>
        <w:t>If an injury causes you to fracture a bone, and a medical practitioner confirms the fracture by X-ray or other imaging, we will pay the percentage below of the broken bones limit. Unless the schedule shows otherwise, the broken bones limit is $7,500.</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Bone</w:t>
            </w:r>
          </w:p>
        </w:tc>
        <w:tc>
          <w:tcPr>
            <w:tcW w:type="dxa" w:w="4873"/>
          </w:tcPr>
          <w:p>
            <w:r/>
            <w:r>
              <w:rPr>
                <w:b w:val="0"/>
                <w:i w:val="0"/>
              </w:rPr>
              <w:t>Percentage</w:t>
            </w:r>
          </w:p>
        </w:tc>
      </w:tr>
      <w:tr>
        <w:tc>
          <w:tcPr>
            <w:tcW w:type="dxa" w:w="4873"/>
          </w:tcPr>
          <w:p>
            <w:r/>
            <w:r>
              <w:rPr>
                <w:b w:val="0"/>
                <w:i w:val="0"/>
              </w:rPr>
              <w:t>Skull, neck or spine (excluding the coccyx)</w:t>
            </w:r>
          </w:p>
        </w:tc>
        <w:tc>
          <w:tcPr>
            <w:tcW w:type="dxa" w:w="4873"/>
          </w:tcPr>
          <w:p>
            <w:r/>
            <w:r>
              <w:rPr>
                <w:b w:val="0"/>
                <w:i w:val="0"/>
              </w:rPr>
              <w:t>100%</w:t>
            </w:r>
          </w:p>
        </w:tc>
      </w:tr>
      <w:tr>
        <w:tc>
          <w:tcPr>
            <w:tcW w:type="dxa" w:w="4873"/>
          </w:tcPr>
          <w:p>
            <w:r/>
            <w:r>
              <w:rPr>
                <w:b w:val="0"/>
                <w:i w:val="0"/>
              </w:rPr>
              <w:t>Pelvis or thigh bone</w:t>
            </w:r>
          </w:p>
        </w:tc>
        <w:tc>
          <w:tcPr>
            <w:tcW w:type="dxa" w:w="4873"/>
          </w:tcPr>
          <w:p>
            <w:r/>
            <w:r>
              <w:rPr>
                <w:b w:val="0"/>
                <w:i w:val="0"/>
              </w:rPr>
              <w:t>50%</w:t>
            </w:r>
          </w:p>
        </w:tc>
      </w:tr>
      <w:tr>
        <w:tc>
          <w:tcPr>
            <w:tcW w:type="dxa" w:w="4873"/>
          </w:tcPr>
          <w:p>
            <w:r/>
            <w:r>
              <w:rPr>
                <w:b w:val="0"/>
                <w:i w:val="0"/>
              </w:rPr>
              <w:t>Arm, leg, collarbone, shoulder blade, jaw or kneecap</w:t>
            </w:r>
          </w:p>
        </w:tc>
        <w:tc>
          <w:tcPr>
            <w:tcW w:type="dxa" w:w="4873"/>
          </w:tcPr>
          <w:p>
            <w:r/>
            <w:r>
              <w:rPr>
                <w:b w:val="0"/>
                <w:i w:val="0"/>
              </w:rPr>
              <w:t>25%</w:t>
            </w:r>
          </w:p>
        </w:tc>
      </w:tr>
      <w:tr>
        <w:tc>
          <w:tcPr>
            <w:tcW w:type="dxa" w:w="4873"/>
          </w:tcPr>
          <w:p>
            <w:r/>
            <w:r>
              <w:rPr>
                <w:b w:val="0"/>
                <w:i w:val="0"/>
              </w:rPr>
              <w:t>Ribs, hand, wrist, foot, ankle, coccyx or breastbone</w:t>
            </w:r>
          </w:p>
        </w:tc>
        <w:tc>
          <w:tcPr>
            <w:tcW w:type="dxa" w:w="4873"/>
          </w:tcPr>
          <w:p>
            <w:r/>
            <w:r>
              <w:rPr>
                <w:b w:val="0"/>
                <w:i w:val="0"/>
              </w:rPr>
              <w:t>10%</w:t>
            </w:r>
          </w:p>
        </w:tc>
      </w:tr>
      <w:tr>
        <w:tc>
          <w:tcPr>
            <w:tcW w:type="dxa" w:w="4873"/>
          </w:tcPr>
          <w:p>
            <w:r/>
            <w:r>
              <w:rPr>
                <w:b w:val="0"/>
                <w:i w:val="0"/>
              </w:rPr>
              <w:t>Finger, toe or nose</w:t>
            </w:r>
          </w:p>
        </w:tc>
        <w:tc>
          <w:tcPr>
            <w:tcW w:type="dxa" w:w="4873"/>
          </w:tcPr>
          <w:p>
            <w:r/>
            <w:r>
              <w:rPr>
                <w:b w:val="0"/>
                <w:i w:val="0"/>
              </w:rPr>
              <w:t>5%</w:t>
            </w:r>
          </w:p>
        </w:tc>
      </w:tr>
    </w:tbl>
    <w:p>
      <w:r>
        <w:rPr>
          <w:b w:val="0"/>
          <w:i w:val="0"/>
        </w:rPr>
        <w:t>We pay for the highest-percentage bone only for any one injury. We do not pay this benefit if we pay a capital benefit for the same injury.</w:t>
      </w:r>
    </w:p>
    <w:p>
      <w:bookmarkStart w:id="41" w:name="c_gpa_ext_non_medicare_medical"/>
      <w:r>
        <w:rPr>
          <w:rFonts w:ascii="Georgia" w:hAnsi="Georgia" w:eastAsia="Georgia"/>
          <w:b/>
          <w:i w:val="0"/>
          <w:color w:val="2E5C4E"/>
          <w:sz w:val="25"/>
        </w:rPr>
        <w:t>Non-Medicare Medical Expenses</w:t>
      </w:r>
      <w:bookmarkEnd w:id="41"/>
    </w:p>
    <w:p>
      <w:r>
        <w:rPr>
          <w:b w:val="0"/>
          <w:i w:val="0"/>
        </w:rPr>
        <w:t>If an injury requires treatment within 12 months of the accident, we will pay 85% of the reasonable cost of treatment by a medical practitioner, physiotherapist, chiropractor, osteopath, dentist or ambulance service, after any amount you recover or could recover from a private health insurer or any other source. Unless the schedule shows otherwise, the limit is $10,000 for any one injury.</w:t>
      </w:r>
    </w:p>
    <w:p>
      <w:r>
        <w:rPr>
          <w:b w:val="0"/>
          <w:i w:val="0"/>
        </w:rPr>
        <w:t xml:space="preserve">This benefit is subject to </w:t>
      </w:r>
      <w:hyperlink w:anchor="c_gpa_pay_medicare">
        <w:r>
          <w:rPr>
            <w:color w:val="2E5C4E"/>
            <w:u w:val="single"/>
          </w:rPr>
          <w:t xml:space="preserve">the What the Law Does Not Allow Us to Pay provision</w:t>
        </w:r>
      </w:hyperlink>
      <w:r>
        <w:rPr>
          <w:b w:val="0"/>
          <w:i w:val="0"/>
        </w:rPr>
        <w:t>. It does not pay for any treatment for which a Medicare benefit is payable, any gap between a Medicare benefit and the fee charged, or any hospital treatment or general treatment within the meaning of the Private Health Insurance Act 2007 (Cth).</w:t>
      </w:r>
    </w:p>
    <w:p>
      <w:r>
        <w:rPr>
          <w:b w:val="0"/>
          <w:i w:val="0"/>
        </w:rPr>
        <w:t>[WP REVIEW: confirm the benefit as drafted stays outside health insurance business under s121-20 of the Private Health Insurance Act 2007 (Cth) and rule 13 of the Private Health Insurance (Health Insurance Business) Rules, in particular for dental and allied health treatment provided in Australia.]</w:t>
      </w:r>
    </w:p>
    <w:p>
      <w:bookmarkStart w:id="42" w:name="c_gpa_ext_rehabilitation"/>
      <w:r>
        <w:rPr>
          <w:rFonts w:ascii="Georgia" w:hAnsi="Georgia" w:eastAsia="Georgia"/>
          <w:b/>
          <w:i w:val="0"/>
          <w:color w:val="2E5C4E"/>
          <w:sz w:val="25"/>
        </w:rPr>
        <w:t>Rehabilitation</w:t>
      </w:r>
      <w:bookmarkEnd w:id="42"/>
    </w:p>
    <w:p>
      <w:r>
        <w:rPr>
          <w:b w:val="0"/>
          <w:i w:val="0"/>
        </w:rPr>
        <w:t>If you are receiving weekly benefits, we will pay the cost of a rehabilitation or return-to-work program that we agree beforehand is likely to help you return to work sooner. Unless the schedule shows otherwise, the limit is $10,000 for any one injury or sickness. Taking part does not reduce your weekly benefit.</w:t>
      </w:r>
    </w:p>
    <w:p>
      <w:bookmarkStart w:id="43" w:name="c_gpa_ext_home_and_vehicle_modification"/>
      <w:r>
        <w:rPr>
          <w:rFonts w:ascii="Georgia" w:hAnsi="Georgia" w:eastAsia="Georgia"/>
          <w:b/>
          <w:i w:val="0"/>
          <w:color w:val="2E5C4E"/>
          <w:sz w:val="25"/>
        </w:rPr>
        <w:t>Home and Vehicle Modification</w:t>
      </w:r>
      <w:bookmarkEnd w:id="43"/>
    </w:p>
    <w:p>
      <w:r>
        <w:rPr>
          <w:b w:val="0"/>
          <w:i w:val="0"/>
        </w:rPr>
        <w:t>If we pay the Event 2, Event 3 or Event 6 benefit, we will also reimburse the reasonable cost of modifying your home or vehicle that a medical practitioner certifies is necessary because of the injury. Unless the schedule shows otherwise, the limit is $30,000.</w:t>
      </w:r>
    </w:p>
    <w:p>
      <w:bookmarkStart w:id="44" w:name="c_gpa_ext_transport_to_work"/>
      <w:r>
        <w:rPr>
          <w:rFonts w:ascii="Georgia" w:hAnsi="Georgia" w:eastAsia="Georgia"/>
          <w:b/>
          <w:i w:val="0"/>
          <w:color w:val="2E5C4E"/>
          <w:sz w:val="25"/>
        </w:rPr>
        <w:t>Transport to Work</w:t>
      </w:r>
      <w:bookmarkEnd w:id="44"/>
    </w:p>
    <w:p>
      <w:r>
        <w:rPr>
          <w:b w:val="0"/>
          <w:i w:val="0"/>
        </w:rPr>
        <w:t>If, because of an injury, a medical practitioner certifies that you cannot drive yourself or use public transport, but you are able to work, we will reimburse the reasonable cost of transport between your home and your place of work. Unless the schedule shows otherwise, the limit is $2,500 for any one injury.</w:t>
      </w:r>
    </w:p>
    <w:p>
      <w:bookmarkStart w:id="45" w:name="c_gpa_ext_escalation"/>
      <w:r>
        <w:rPr>
          <w:rFonts w:ascii="Georgia" w:hAnsi="Georgia" w:eastAsia="Georgia"/>
          <w:b/>
          <w:i w:val="0"/>
          <w:color w:val="2E5C4E"/>
          <w:sz w:val="25"/>
        </w:rPr>
        <w:t>Escalation of Weekly Benefits</w:t>
      </w:r>
      <w:bookmarkEnd w:id="45"/>
    </w:p>
    <w:p>
      <w:r>
        <w:rPr>
          <w:b w:val="0"/>
          <w:i w:val="0"/>
        </w:rPr>
        <w:t>If we have paid weekly benefits for the same period of disablement continuously for 12 months, we will increase the weekly benefit by 5% on each anniversary of the first day it was paid, for the rest of the benefit period.</w:t>
      </w:r>
    </w:p>
    <w:p>
      <w:bookmarkStart w:id="46" w:name="c_gpa_section_payment"/>
      <w:r>
        <w:rPr>
          <w:rFonts w:ascii="Georgia" w:hAnsi="Georgia" w:eastAsia="Georgia"/>
          <w:b/>
          <w:i w:val="0"/>
          <w:color w:val="1C1915"/>
          <w:sz w:val="32"/>
        </w:rPr>
        <w:t>How We Pay Benefits</w:t>
      </w:r>
      <w:bookmarkEnd w:id="46"/>
    </w:p>
    <w:p>
      <w:bookmarkStart w:id="47" w:name="c_gpa_pay_weekly_benefit_amount"/>
      <w:r>
        <w:rPr>
          <w:rFonts w:ascii="Georgia" w:hAnsi="Georgia" w:eastAsia="Georgia"/>
          <w:b/>
          <w:i w:val="0"/>
          <w:color w:val="2E5C4E"/>
          <w:sz w:val="25"/>
        </w:rPr>
        <w:t>How Much We Pay Each Week</w:t>
      </w:r>
      <w:bookmarkEnd w:id="47"/>
    </w:p>
    <w:p>
      <w:r>
        <w:rPr>
          <w:b w:val="0"/>
          <w:i w:val="0"/>
        </w:rPr>
        <w:t>Each week we pay the lower of:</w:t>
      </w:r>
    </w:p>
    <w:p>
      <w:pPr>
        <w:pStyle w:val="ListBullet"/>
      </w:pPr>
      <w:r>
        <w:rPr>
          <w:b w:val="0"/>
          <w:i w:val="0"/>
        </w:rPr>
        <w:t>the weekly benefit for your category; and</w:t>
      </w:r>
    </w:p>
    <w:p>
      <w:pPr>
        <w:pStyle w:val="ListBullet"/>
      </w:pPr>
      <w:r>
        <w:rPr>
          <w:b w:val="0"/>
          <w:i w:val="0"/>
        </w:rPr>
        <w:t>the percentage of your income shown in the schedule for your category. Unless the schedule shows otherwise, it is 85%.</w:t>
      </w:r>
    </w:p>
    <w:p>
      <w:r>
        <w:rPr>
          <w:b w:val="0"/>
          <w:i w:val="0"/>
        </w:rPr>
        <w:t>We pay weekly benefits fortnightly in arrears, for each day of disablement at one-seventh of the weekly amount. We pay no weekly benefit for the waiting period.</w:t>
      </w:r>
    </w:p>
    <w:p>
      <w:bookmarkStart w:id="48" w:name="c_gpa_pay_recurrence"/>
      <w:r>
        <w:rPr>
          <w:rFonts w:ascii="Georgia" w:hAnsi="Georgia" w:eastAsia="Georgia"/>
          <w:b/>
          <w:i w:val="0"/>
          <w:color w:val="2E5C4E"/>
          <w:sz w:val="25"/>
        </w:rPr>
        <w:t>Recurring Disablement</w:t>
      </w:r>
      <w:bookmarkEnd w:id="48"/>
    </w:p>
    <w:p>
      <w:r>
        <w:rPr>
          <w:b w:val="0"/>
          <w:i w:val="0"/>
        </w:rPr>
        <w:t>If you return to work and, within 6 months, you are again disabled from the same or a related injury or sickness, we treat it as a continuation of the earlier disablement. No new waiting period applies, and the benefit period already used counts towards the benefit period.</w:t>
      </w:r>
    </w:p>
    <w:p>
      <w:r>
        <w:rPr>
          <w:b w:val="0"/>
          <w:i w:val="0"/>
        </w:rPr>
        <w:t>If you have worked full time in your usual occupation for 6 consecutive months, a further disablement is a new claim.</w:t>
      </w:r>
    </w:p>
    <w:p>
      <w:bookmarkStart w:id="49" w:name="c_gpa_pay_one_capital_event"/>
      <w:r>
        <w:rPr>
          <w:rFonts w:ascii="Georgia" w:hAnsi="Georgia" w:eastAsia="Georgia"/>
          <w:b/>
          <w:i w:val="0"/>
          <w:color w:val="2E5C4E"/>
          <w:sz w:val="25"/>
        </w:rPr>
        <w:t>One Capital Benefit for Each Injury</w:t>
      </w:r>
      <w:bookmarkEnd w:id="49"/>
    </w:p>
    <w:p>
      <w:r>
        <w:rPr>
          <w:b w:val="0"/>
          <w:i w:val="0"/>
        </w:rPr>
        <w:t xml:space="preserve">For any one injury, we pay only one of Events 1 to 18 in the </w:t>
      </w:r>
      <w:hyperlink w:anchor="c_gpa_cover_capital_benefits">
        <w:r>
          <w:rPr>
            <w:color w:val="2E5C4E"/>
            <w:u w:val="single"/>
          </w:rPr>
          <w:t xml:space="preserve">Capital Benefits</w:t>
        </w:r>
      </w:hyperlink>
      <w:r>
        <w:rPr>
          <w:b w:val="0"/>
          <w:i w:val="0"/>
        </w:rPr>
        <w:t xml:space="preserve"> table, the one with the highest percentage. Where an injury causes more than one of Events 8 to 18, we add their percentages together, up to 100% of the capital sum.</w:t>
      </w:r>
    </w:p>
    <w:p>
      <w:r>
        <w:rPr>
          <w:b w:val="0"/>
          <w:i w:val="0"/>
        </w:rPr>
        <w:t xml:space="preserve">Once we have paid 100% of the capital sum for you for one or more injuries, your cover under </w:t>
      </w:r>
      <w:hyperlink w:anchor="c_gpa_cover_capital_benefits">
        <w:r>
          <w:rPr>
            <w:color w:val="2E5C4E"/>
            <w:u w:val="single"/>
          </w:rPr>
          <w:t xml:space="preserve">the Capital Benefits clause</w:t>
        </w:r>
      </w:hyperlink>
      <w:r>
        <w:rPr>
          <w:b w:val="0"/>
          <w:i w:val="0"/>
        </w:rPr>
        <w:t xml:space="preserve"> ends. The rest of this policy continues for you.</w:t>
      </w:r>
    </w:p>
    <w:p>
      <w:bookmarkStart w:id="50" w:name="c_gpa_pay_weekly_and_capital"/>
      <w:r>
        <w:rPr>
          <w:rFonts w:ascii="Georgia" w:hAnsi="Georgia" w:eastAsia="Georgia"/>
          <w:b/>
          <w:i w:val="0"/>
          <w:color w:val="2E5C4E"/>
          <w:sz w:val="25"/>
        </w:rPr>
        <w:t>Weekly Benefits Before a Capital Benefit</w:t>
      </w:r>
      <w:bookmarkEnd w:id="50"/>
    </w:p>
    <w:p>
      <w:r>
        <w:rPr>
          <w:b w:val="0"/>
          <w:i w:val="0"/>
        </w:rPr>
        <w:t>If we pay a capital benefit for an injury, we deduct from it the weekly benefits we have already paid for the same injury, except where the capital benefit is for Event 1 or for Events 8 to 18. We then stop paying weekly benefits for that injury.</w:t>
      </w:r>
    </w:p>
    <w:p>
      <w:r>
        <w:rPr>
          <w:b w:val="0"/>
          <w:i w:val="0"/>
        </w:rPr>
        <w:t>If you die from a cause unrelated to the injury before a capital benefit for Events 2 to 18 is assessed, we will pay the amount we reasonably consider would have been payable.</w:t>
      </w:r>
    </w:p>
    <w:p>
      <w:bookmarkStart w:id="51" w:name="c_gpa_pay_offsets"/>
      <w:r>
        <w:rPr>
          <w:rFonts w:ascii="Georgia" w:hAnsi="Georgia" w:eastAsia="Georgia"/>
          <w:b/>
          <w:i w:val="0"/>
          <w:color w:val="2E5C4E"/>
          <w:sz w:val="25"/>
        </w:rPr>
        <w:t>Other Payments for the Same Disablement</w:t>
      </w:r>
      <w:bookmarkEnd w:id="51"/>
    </w:p>
    <w:p>
      <w:r>
        <w:rPr>
          <w:b w:val="0"/>
          <w:i w:val="0"/>
        </w:rPr>
        <w:t>We reduce the weekly benefit by any weekly payment you receive, or are entitled to receive, for the same period of disablement from:</w:t>
      </w:r>
    </w:p>
    <w:p>
      <w:pPr>
        <w:pStyle w:val="ListBullet"/>
      </w:pPr>
      <w:r>
        <w:rPr>
          <w:b w:val="0"/>
          <w:i w:val="0"/>
        </w:rPr>
        <w:t>a workers compensation or transport accident scheme, or any other statutory compensation scheme;</w:t>
      </w:r>
    </w:p>
    <w:p>
      <w:pPr>
        <w:pStyle w:val="ListBullet"/>
      </w:pPr>
      <w:r>
        <w:rPr>
          <w:b w:val="0"/>
          <w:i w:val="0"/>
        </w:rPr>
        <w:t>sick leave or other pay from your employer or your business that continues while you are disabled; and</w:t>
      </w:r>
    </w:p>
    <w:p>
      <w:pPr>
        <w:pStyle w:val="ListBullet"/>
      </w:pPr>
      <w:r>
        <w:rPr>
          <w:b w:val="0"/>
          <w:i w:val="0"/>
        </w:rPr>
        <w:t>any other personal accident, sickness, income protection or disability income insurance,</w:t>
      </w:r>
    </w:p>
    <w:p>
      <w:r>
        <w:rPr>
          <w:b w:val="0"/>
          <w:i w:val="0"/>
        </w:rPr>
        <w:t>so that the total of all those payments and our weekly benefit is no more than your income. If Endorsement E11 applies to your category, the weekly benefit tops up workers compensation as that endorsement says.</w:t>
      </w:r>
    </w:p>
    <w:p>
      <w:r>
        <w:rPr>
          <w:b w:val="0"/>
          <w:i w:val="0"/>
        </w:rPr>
        <w:t xml:space="preserve">We do not reduce capital benefits, or the benefits in </w:t>
      </w:r>
      <w:hyperlink w:anchor="c_gpa_section_additional_benefits">
        <w:r>
          <w:rPr>
            <w:color w:val="2E5C4E"/>
            <w:u w:val="single"/>
          </w:rPr>
          <w:t xml:space="preserve">the Additional Benefits section</w:t>
        </w:r>
      </w:hyperlink>
      <w:r>
        <w:rPr>
          <w:b w:val="0"/>
          <w:i w:val="0"/>
        </w:rPr>
        <w:t>, for any other payment.</w:t>
      </w:r>
    </w:p>
    <w:p>
      <w:r>
        <w:rPr>
          <w:b w:val="0"/>
          <w:i w:val="0"/>
        </w:rPr>
        <w:t>[WP REVIEW: confirm the reduction for other insurance operates as a benefit measure, not as an "other insurance" provision caught by s45 of the Insurance Contracts Act 1984 (Cth).]</w:t>
      </w:r>
    </w:p>
    <w:p>
      <w:bookmarkStart w:id="52" w:name="c_gpa_pay_mental_illness"/>
      <w:r>
        <w:rPr>
          <w:rFonts w:ascii="Georgia" w:hAnsi="Georgia" w:eastAsia="Georgia"/>
          <w:b/>
          <w:i w:val="0"/>
          <w:color w:val="2E5C4E"/>
          <w:sz w:val="25"/>
        </w:rPr>
        <w:t>Mental Illness</w:t>
      </w:r>
      <w:bookmarkEnd w:id="52"/>
    </w:p>
    <w:p>
      <w:r>
        <w:rPr>
          <w:b w:val="0"/>
          <w:i w:val="0"/>
        </w:rPr>
        <w:t>For temporary total disablement or temporary partial disablement from a mental illness, we pay weekly sickness benefits for no more than 26 weeks for any one sickness, even if the benefit period is longer. This limit does not apply to a mental illness that results from an injury.</w:t>
      </w:r>
    </w:p>
    <w:p>
      <w:r>
        <w:rPr>
          <w:b w:val="0"/>
          <w:i w:val="0"/>
        </w:rPr>
        <w:t>[WP REVIEW: confirm the 26-week limit is supportable under the Disability Discrimination Act 1992 (Cth) s46 on actuarial or statistical data, and is not an unfair term for a consumer or small business contract.]</w:t>
      </w:r>
    </w:p>
    <w:p>
      <w:bookmarkStart w:id="53" w:name="c_gpa_pay_age_limits"/>
      <w:r>
        <w:rPr>
          <w:rFonts w:ascii="Georgia" w:hAnsi="Georgia" w:eastAsia="Georgia"/>
          <w:b/>
          <w:i w:val="0"/>
          <w:color w:val="2E5C4E"/>
          <w:sz w:val="25"/>
        </w:rPr>
        <w:t>Age Limits</w:t>
      </w:r>
      <w:bookmarkEnd w:id="53"/>
    </w:p>
    <w:p>
      <w:r>
        <w:rPr>
          <w:b w:val="0"/>
          <w:i w:val="0"/>
        </w:rPr>
        <w:t>We do not pay weekly benefits for any period after your 65th birthday, unless Endorsement E09 applies.</w:t>
      </w:r>
    </w:p>
    <w:p>
      <w:r>
        <w:rPr>
          <w:b w:val="0"/>
          <w:i w:val="0"/>
        </w:rPr>
        <w:t>If you are 70 or older on the date of the accident, the capital sum for that injury is 50% of the amount shown in the schedule, and the most we pay for Event 2 is $250,000 unless the schedule shows otherwise.</w:t>
      </w:r>
    </w:p>
    <w:p>
      <w:r>
        <w:rPr>
          <w:b w:val="0"/>
          <w:i w:val="0"/>
        </w:rPr>
        <w:t>We do not pay any benefit for an injury or sickness that happens after your 75th birthday.</w:t>
      </w:r>
    </w:p>
    <w:p>
      <w:r>
        <w:rPr>
          <w:b w:val="0"/>
          <w:i w:val="0"/>
        </w:rPr>
        <w:t>Where the schedule shows different age limits for your category, those apply instead.</w:t>
      </w:r>
    </w:p>
    <w:p>
      <w:bookmarkStart w:id="54" w:name="c_gpa_pay_accumulation"/>
      <w:r>
        <w:rPr>
          <w:rFonts w:ascii="Georgia" w:hAnsi="Georgia" w:eastAsia="Georgia"/>
          <w:b/>
          <w:i w:val="0"/>
          <w:color w:val="2E5C4E"/>
          <w:sz w:val="25"/>
        </w:rPr>
        <w:t>Accumulation Limit</w:t>
      </w:r>
      <w:bookmarkEnd w:id="54"/>
    </w:p>
    <w:p>
      <w:r>
        <w:rPr>
          <w:b w:val="0"/>
          <w:i w:val="0"/>
        </w:rPr>
        <w:t>The most we will pay in capital benefits for any one injury, under this policy and every other personal accident policy we have issued that covers you, is the accumulation limit. Unless the schedule shows otherwise, the accumulation limit is $2,000,000. If the total would be more, we reduce the benefit under each policy in proportion.</w:t>
      </w:r>
    </w:p>
    <w:p>
      <w:bookmarkStart w:id="55" w:name="c_gpa_pay_aggregate_limits"/>
      <w:r>
        <w:rPr>
          <w:rFonts w:ascii="Georgia" w:hAnsi="Georgia" w:eastAsia="Georgia"/>
          <w:b/>
          <w:i w:val="0"/>
          <w:color w:val="2E5C4E"/>
          <w:sz w:val="25"/>
        </w:rPr>
        <w:t>Aggregate Limits</w:t>
      </w:r>
      <w:bookmarkEnd w:id="55"/>
    </w:p>
    <w:p>
      <w:r>
        <w:rPr>
          <w:b w:val="0"/>
          <w:i w:val="0"/>
        </w:rPr>
        <w:t>The most we will pay for all claims under this policy arising from any one occurrence is the aggregate limit for any one occurrence shown in the schedule. Unless the schedule shows otherwise, it is $10,000,000. An occurrence is one event, or a series of related events from one original cause, and includes every covered person affected by it.</w:t>
      </w:r>
    </w:p>
    <w:p>
      <w:r>
        <w:rPr>
          <w:b w:val="0"/>
          <w:i w:val="0"/>
        </w:rPr>
        <w:t>The most we will pay for all claims arising from any one occurrence involving air travel other than as a fare-paying passenger on a regular scheduled airline or licensed charter service is the non-scheduled air travel limit shown in the schedule. Unless the schedule shows otherwise, it is $2,000,000.</w:t>
      </w:r>
    </w:p>
    <w:p>
      <w:r>
        <w:rPr>
          <w:b w:val="0"/>
          <w:i w:val="0"/>
        </w:rPr>
        <w:t>The most we will pay for all claims in any one policy period is the policy period aggregate shown in the schedule. Unless the schedule shows otherwise, it is $20,000,000.</w:t>
      </w:r>
    </w:p>
    <w:p>
      <w:r>
        <w:rPr>
          <w:b w:val="0"/>
          <w:i w:val="0"/>
        </w:rPr>
        <w:t>If the claims for one occurrence, or for the policy period, exceed a limit, we reduce each covered person's benefit in the same proportion so that the total paid equals the limit.</w:t>
      </w:r>
    </w:p>
    <w:p>
      <w:bookmarkStart w:id="56" w:name="c_gpa_pay_medicare"/>
      <w:r>
        <w:rPr>
          <w:rFonts w:ascii="Georgia" w:hAnsi="Georgia" w:eastAsia="Georgia"/>
          <w:b/>
          <w:i w:val="0"/>
          <w:color w:val="2E5C4E"/>
          <w:sz w:val="25"/>
        </w:rPr>
        <w:t>What the Law Does Not Allow Us to Pay</w:t>
      </w:r>
      <w:bookmarkEnd w:id="56"/>
    </w:p>
    <w:p>
      <w:r>
        <w:rPr>
          <w:b w:val="0"/>
          <w:i w:val="0"/>
        </w:rPr>
        <w:t>The Health Insurance Act 1973 (Cth), the National Health Act 1953 (Cth) and the Private Health Insurance Act 2007 (Cth) do not allow us to pay:</w:t>
      </w:r>
    </w:p>
    <w:p>
      <w:pPr>
        <w:pStyle w:val="ListBullet"/>
      </w:pPr>
      <w:r>
        <w:rPr>
          <w:b w:val="0"/>
          <w:i w:val="0"/>
        </w:rPr>
        <w:t>any medical expense for which a Medicare benefit is payable, or any gap between the Medicare benefit and the fee charged; or</w:t>
      </w:r>
    </w:p>
    <w:p>
      <w:pPr>
        <w:pStyle w:val="ListBullet"/>
      </w:pPr>
      <w:r>
        <w:rPr>
          <w:b w:val="0"/>
          <w:i w:val="0"/>
        </w:rPr>
        <w:t>any amount that would make this policy health insurance business under those Acts.</w:t>
      </w:r>
    </w:p>
    <w:p>
      <w:r>
        <w:rPr>
          <w:b w:val="0"/>
          <w:i w:val="0"/>
        </w:rPr>
        <w:t>We will not pay any benefit, or part of a benefit, to the extent that paying it would breach those Acts.</w:t>
      </w:r>
    </w:p>
    <w:p>
      <w:bookmarkStart w:id="57" w:name="c_gpa_pay_who_we_pay"/>
      <w:r>
        <w:rPr>
          <w:rFonts w:ascii="Georgia" w:hAnsi="Georgia" w:eastAsia="Georgia"/>
          <w:b/>
          <w:i w:val="0"/>
          <w:color w:val="2E5C4E"/>
          <w:sz w:val="25"/>
        </w:rPr>
        <w:t>Who We Pay</w:t>
      </w:r>
      <w:bookmarkEnd w:id="57"/>
    </w:p>
    <w:p>
      <w:r>
        <w:rPr>
          <w:b w:val="0"/>
          <w:i w:val="0"/>
        </w:rPr>
        <w:t>We pay every benefit to you, except that the Event 1 benefit and the benefits that follow it are paid to your legal personal representative. If you are unable to manage your affairs, we may pay a person legally entitled to act for you.</w:t>
      </w:r>
    </w:p>
    <w:p>
      <w:r>
        <w:rPr>
          <w:b w:val="0"/>
          <w:i w:val="0"/>
        </w:rPr>
        <w:t>If the policyholder has continued to pay you while you are disabled, we may pay the weekly benefit for that period to the policyholder instead, but only with your written consent.</w:t>
      </w:r>
    </w:p>
    <w:p>
      <w:r>
        <w:rPr>
          <w:b w:val="0"/>
          <w:i w:val="0"/>
        </w:rPr>
        <w:t>Payment as this clause allows discharges our liability for the amount paid.</w:t>
      </w:r>
    </w:p>
    <w:p>
      <w:bookmarkStart w:id="58" w:name="c_gpa_section_exclusions"/>
      <w:r>
        <w:rPr>
          <w:rFonts w:ascii="Georgia" w:hAnsi="Georgia" w:eastAsia="Georgia"/>
          <w:b/>
          <w:i w:val="0"/>
          <w:color w:val="1C1915"/>
          <w:sz w:val="32"/>
        </w:rPr>
        <w:t>What Is Not Covered</w:t>
      </w:r>
      <w:bookmarkEnd w:id="58"/>
    </w:p>
    <w:p>
      <w:r>
        <w:rPr>
          <w:b w:val="0"/>
          <w:i w:val="0"/>
        </w:rPr>
        <w:t>The exclusions below apply to every benefit under this policy, unless an exclusion says otherwise.</w:t>
      </w:r>
    </w:p>
    <w:p>
      <w:bookmarkStart w:id="59" w:name="c_gpa_excl_intentional_self_injury"/>
      <w:r>
        <w:rPr>
          <w:rFonts w:ascii="Georgia" w:hAnsi="Georgia" w:eastAsia="Georgia"/>
          <w:b/>
          <w:i w:val="0"/>
          <w:color w:val="2E5C4E"/>
          <w:sz w:val="25"/>
        </w:rPr>
        <w:t>Intentional Self-Injury</w:t>
      </w:r>
      <w:bookmarkEnd w:id="59"/>
    </w:p>
    <w:p>
      <w:r>
        <w:rPr>
          <w:b w:val="0"/>
          <w:i w:val="0"/>
        </w:rPr>
        <w:t>We do not pay any benefit for your intentional self-injury, suicide or attempted suicide.</w:t>
      </w:r>
    </w:p>
    <w:p>
      <w:bookmarkStart w:id="60" w:name="c_gpa_excl_war"/>
      <w:r>
        <w:rPr>
          <w:rFonts w:ascii="Georgia" w:hAnsi="Georgia" w:eastAsia="Georgia"/>
          <w:b/>
          <w:i w:val="0"/>
          <w:color w:val="2E5C4E"/>
          <w:sz w:val="25"/>
        </w:rPr>
        <w:t>War</w:t>
      </w:r>
      <w:bookmarkEnd w:id="60"/>
    </w:p>
    <w:p>
      <w:r>
        <w:rPr>
          <w:b w:val="0"/>
          <w:i w:val="0"/>
        </w:rPr>
        <w:t>We do not pay any benefit for an injury or sickness caused by war, invasion, act of a foreign enemy, hostilities (whether war is declared or not), civil war, rebellion, revolution or insurrection.</w:t>
      </w:r>
    </w:p>
    <w:p>
      <w:r>
        <w:rPr>
          <w:b w:val="0"/>
          <w:i w:val="0"/>
        </w:rPr>
        <w:t>This exclusion does not apply to an act of terrorism, unless you took part in it.</w:t>
      </w:r>
    </w:p>
    <w:p>
      <w:bookmarkStart w:id="61" w:name="c_gpa_excl_nuclear"/>
      <w:r>
        <w:rPr>
          <w:rFonts w:ascii="Georgia" w:hAnsi="Georgia" w:eastAsia="Georgia"/>
          <w:b/>
          <w:i w:val="0"/>
          <w:color w:val="2E5C4E"/>
          <w:sz w:val="25"/>
        </w:rPr>
        <w:t>Nuclear</w:t>
      </w:r>
      <w:bookmarkEnd w:id="61"/>
    </w:p>
    <w:p>
      <w:r>
        <w:rPr>
          <w:b w:val="0"/>
          <w:i w:val="0"/>
        </w:rPr>
        <w:t>We do not pay any benefit for an injury or sickness caused by ionising radiation, or contamination by radioactivity, from any nuclear fuel, nuclear waste or nuclear weapon.</w:t>
      </w:r>
    </w:p>
    <w:p>
      <w:bookmarkStart w:id="62" w:name="c_gpa_excl_intoxication"/>
      <w:r>
        <w:rPr>
          <w:rFonts w:ascii="Georgia" w:hAnsi="Georgia" w:eastAsia="Georgia"/>
          <w:b/>
          <w:i w:val="0"/>
          <w:color w:val="2E5C4E"/>
          <w:sz w:val="25"/>
        </w:rPr>
        <w:t>Alcohol and Drugs</w:t>
      </w:r>
      <w:bookmarkEnd w:id="62"/>
    </w:p>
    <w:p>
      <w:r>
        <w:rPr>
          <w:b w:val="0"/>
          <w:i w:val="0"/>
        </w:rPr>
        <w:t>We do not pay any benefit for an injury that happens while:</w:t>
      </w:r>
    </w:p>
    <w:p>
      <w:pPr>
        <w:pStyle w:val="ListBullet"/>
      </w:pPr>
      <w:r>
        <w:rPr>
          <w:b w:val="0"/>
          <w:i w:val="0"/>
        </w:rPr>
        <w:t>you are driving or in charge of a motor vehicle with a blood alcohol concentration above the legal limit where you are driving;</w:t>
      </w:r>
    </w:p>
    <w:p>
      <w:pPr>
        <w:pStyle w:val="ListBullet"/>
      </w:pPr>
      <w:r>
        <w:rPr>
          <w:b w:val="0"/>
          <w:i w:val="0"/>
        </w:rPr>
        <w:t>at any other time, your blood alcohol concentration is above 0.10 grams per 100 millilitres; or</w:t>
      </w:r>
    </w:p>
    <w:p>
      <w:pPr>
        <w:pStyle w:val="ListBullet"/>
      </w:pPr>
      <w:r>
        <w:rPr>
          <w:b w:val="0"/>
          <w:i w:val="0"/>
        </w:rPr>
        <w:t>you are under the influence of a drug that a medical practitioner did not prescribe for you, or that you did not take as prescribed,</w:t>
      </w:r>
    </w:p>
    <w:p>
      <w:r>
        <w:rPr>
          <w:b w:val="0"/>
          <w:i w:val="0"/>
        </w:rPr>
        <w:t>unless you prove the alcohol or drug did not cause or contribute to the injury.</w:t>
      </w:r>
    </w:p>
    <w:p>
      <w:r>
        <w:rPr>
          <w:b w:val="0"/>
          <w:i w:val="0"/>
        </w:rPr>
        <w:t>We do not pay any benefit for a sickness that results from your addiction to alcohol or a drug.</w:t>
      </w:r>
    </w:p>
    <w:p>
      <w:bookmarkStart w:id="63" w:name="c_gpa_excl_criminal_acts"/>
      <w:r>
        <w:rPr>
          <w:rFonts w:ascii="Georgia" w:hAnsi="Georgia" w:eastAsia="Georgia"/>
          <w:b/>
          <w:i w:val="0"/>
          <w:color w:val="2E5C4E"/>
          <w:sz w:val="25"/>
        </w:rPr>
        <w:t>Criminal and Malicious Acts</w:t>
      </w:r>
      <w:bookmarkEnd w:id="63"/>
    </w:p>
    <w:p>
      <w:r>
        <w:rPr>
          <w:b w:val="0"/>
          <w:i w:val="0"/>
        </w:rPr>
        <w:t>We do not pay any benefit for an injury that happens while you are committing, or attempting to commit, a criminal offence punishable by imprisonment, or acting maliciously.</w:t>
      </w:r>
    </w:p>
    <w:p>
      <w:bookmarkStart w:id="64" w:name="c_gpa_excl_professional_sport"/>
      <w:r>
        <w:rPr>
          <w:rFonts w:ascii="Georgia" w:hAnsi="Georgia" w:eastAsia="Georgia"/>
          <w:b/>
          <w:i w:val="0"/>
          <w:color w:val="2E5C4E"/>
          <w:sz w:val="25"/>
        </w:rPr>
        <w:t>Professional Sport</w:t>
      </w:r>
      <w:bookmarkEnd w:id="64"/>
    </w:p>
    <w:p>
      <w:r>
        <w:rPr>
          <w:b w:val="0"/>
          <w:i w:val="0"/>
        </w:rPr>
        <w:t>We do not pay any benefit for an injury that happens while you are taking part in, training for, coaching or officiating in any sport for which you receive, or are entitled to receive, a fee, sponsorship or prize money that is more than your reasonable expenses.</w:t>
      </w:r>
    </w:p>
    <w:p>
      <w:bookmarkStart w:id="65" w:name="c_gpa_excl_flying"/>
      <w:r>
        <w:rPr>
          <w:rFonts w:ascii="Georgia" w:hAnsi="Georgia" w:eastAsia="Georgia"/>
          <w:b/>
          <w:i w:val="0"/>
          <w:color w:val="2E5C4E"/>
          <w:sz w:val="25"/>
        </w:rPr>
        <w:t>Flying</w:t>
      </w:r>
      <w:bookmarkEnd w:id="65"/>
    </w:p>
    <w:p>
      <w:r>
        <w:rPr>
          <w:b w:val="0"/>
          <w:i w:val="0"/>
        </w:rPr>
        <w:t>We do not pay any benefit for an injury that happens while you are in or on an aircraft, other than as a passenger in an aircraft that is licensed to carry passengers and is operated by a person licensed to fly it.</w:t>
      </w:r>
    </w:p>
    <w:p>
      <w:r>
        <w:rPr>
          <w:b w:val="0"/>
          <w:i w:val="0"/>
        </w:rPr>
        <w:t>This exclusion does not apply to flying shown in the schedule under Endorsement E05.</w:t>
      </w:r>
    </w:p>
    <w:p>
      <w:bookmarkStart w:id="66" w:name="c_gpa_excl_hazardous_pursuits"/>
      <w:r>
        <w:rPr>
          <w:rFonts w:ascii="Georgia" w:hAnsi="Georgia" w:eastAsia="Georgia"/>
          <w:b/>
          <w:i w:val="0"/>
          <w:color w:val="2E5C4E"/>
          <w:sz w:val="25"/>
        </w:rPr>
        <w:t>Hazardous Pursuits</w:t>
      </w:r>
      <w:bookmarkEnd w:id="66"/>
    </w:p>
    <w:p>
      <w:r>
        <w:rPr>
          <w:b w:val="0"/>
          <w:i w:val="0"/>
        </w:rPr>
        <w:t>We do not pay any benefit for an injury that happens while you are taking part in:</w:t>
      </w:r>
    </w:p>
    <w:p>
      <w:pPr>
        <w:pStyle w:val="ListBullet"/>
      </w:pPr>
      <w:r>
        <w:rPr>
          <w:b w:val="0"/>
          <w:i w:val="0"/>
        </w:rPr>
        <w:t>parachuting, skydiving, hang-gliding, paragliding, BASE jumping or ballooning;</w:t>
      </w:r>
    </w:p>
    <w:p>
      <w:pPr>
        <w:pStyle w:val="ListBullet"/>
      </w:pPr>
      <w:r>
        <w:rPr>
          <w:b w:val="0"/>
          <w:i w:val="0"/>
        </w:rPr>
        <w:t>a race, rally or speed trial in or on any motor vehicle or motorcycle, other than a road vehicle event that tests regularity and is not timed for speed;</w:t>
      </w:r>
    </w:p>
    <w:p>
      <w:pPr>
        <w:pStyle w:val="ListBullet"/>
      </w:pPr>
      <w:r>
        <w:rPr>
          <w:b w:val="0"/>
          <w:i w:val="0"/>
        </w:rPr>
        <w:t>scuba diving below 30 metres, or scuba diving without a qualification from a recognised training body unless under the supervision of a qualified instructor;</w:t>
      </w:r>
    </w:p>
    <w:p>
      <w:pPr>
        <w:pStyle w:val="ListBullet"/>
      </w:pPr>
      <w:r>
        <w:rPr>
          <w:b w:val="0"/>
          <w:i w:val="0"/>
        </w:rPr>
        <w:t>mountaineering above 4,000 metres; or</w:t>
      </w:r>
    </w:p>
    <w:p>
      <w:pPr>
        <w:pStyle w:val="ListBullet"/>
      </w:pPr>
      <w:r>
        <w:rPr>
          <w:b w:val="0"/>
          <w:i w:val="0"/>
        </w:rPr>
        <w:t>rodeo, bull riding, or horse racing (including harness racing and steeplechase).</w:t>
      </w:r>
    </w:p>
    <w:p>
      <w:r>
        <w:rPr>
          <w:b w:val="0"/>
          <w:i w:val="0"/>
        </w:rPr>
        <w:t>This exclusion does not apply to a pursuit shown in the schedule under Endorsement E05.</w:t>
      </w:r>
    </w:p>
    <w:p>
      <w:bookmarkStart w:id="67" w:name="c_gpa_excl_military_service"/>
      <w:r>
        <w:rPr>
          <w:rFonts w:ascii="Georgia" w:hAnsi="Georgia" w:eastAsia="Georgia"/>
          <w:b/>
          <w:i w:val="0"/>
          <w:color w:val="2E5C4E"/>
          <w:sz w:val="25"/>
        </w:rPr>
        <w:t>Military Service</w:t>
      </w:r>
      <w:bookmarkEnd w:id="67"/>
    </w:p>
    <w:p>
      <w:r>
        <w:rPr>
          <w:b w:val="0"/>
          <w:i w:val="0"/>
        </w:rPr>
        <w:t>We do not pay any benefit for an injury that happens while you are serving full time, or on operational deployment as a reservist, in the armed forces of any country or of an international organisation.</w:t>
      </w:r>
    </w:p>
    <w:p>
      <w:bookmarkStart w:id="68" w:name="c_gpa_excl_pre_existing_conditions"/>
      <w:r>
        <w:rPr>
          <w:rFonts w:ascii="Georgia" w:hAnsi="Georgia" w:eastAsia="Georgia"/>
          <w:b/>
          <w:i w:val="0"/>
          <w:color w:val="2E5C4E"/>
          <w:sz w:val="25"/>
        </w:rPr>
        <w:t>Pre-existing Conditions</w:t>
      </w:r>
      <w:bookmarkEnd w:id="68"/>
    </w:p>
    <w:p>
      <w:r>
        <w:rPr>
          <w:b w:val="0"/>
          <w:i w:val="0"/>
        </w:rPr>
        <w:t>We do not pay weekly sickness benefits for disablement caused by a pre-existing condition. We do not pay any benefit for an injury to the extent that a pre-existing condition caused or contributed to the disablement or event.</w:t>
      </w:r>
    </w:p>
    <w:p>
      <w:r>
        <w:rPr>
          <w:b w:val="0"/>
          <w:i w:val="0"/>
        </w:rPr>
        <w:t>This exclusion stops applying to a pre-existing condition once you have been continuously covered for 24 months. Continuous cover includes time immediately before you became a covered person during which you were covered for the same kind of benefit under the policyholder's previous group personal accident policy, with any insurer.</w:t>
      </w:r>
    </w:p>
    <w:p>
      <w:r>
        <w:rPr>
          <w:b w:val="0"/>
          <w:i w:val="0"/>
        </w:rPr>
        <w:t>This exclusion is subject to s.47 of the Insurance Contracts Act 1984 (Cth): we will not rely on it for a condition that you were not aware of, and that a reasonable person in your circumstances could not have been expected to be aware of, when you became a covered person.</w:t>
      </w:r>
    </w:p>
    <w:p>
      <w:bookmarkStart w:id="69" w:name="c_gpa_excl_initial_sickness_period"/>
      <w:r>
        <w:rPr>
          <w:rFonts w:ascii="Georgia" w:hAnsi="Georgia" w:eastAsia="Georgia"/>
          <w:b/>
          <w:i w:val="0"/>
          <w:color w:val="2E5C4E"/>
          <w:sz w:val="25"/>
        </w:rPr>
        <w:t>First 30 Days of Sickness Cover</w:t>
      </w:r>
      <w:bookmarkEnd w:id="69"/>
    </w:p>
    <w:p>
      <w:r>
        <w:rPr>
          <w:b w:val="0"/>
          <w:i w:val="0"/>
        </w:rPr>
        <w:t>We do not pay weekly sickness benefits for a sickness that first shows itself in the first 30 days after you first become covered for weekly sickness benefits under this policy. This exclusion does not apply on renewal, to a sickness that results from an injury, or if you were covered for weekly sickness benefits under the policyholder's previous group personal accident policy immediately before you became a covered person.</w:t>
      </w:r>
    </w:p>
    <w:p>
      <w:bookmarkStart w:id="70" w:name="c_gpa_excl_pregnancy"/>
      <w:r>
        <w:rPr>
          <w:rFonts w:ascii="Georgia" w:hAnsi="Georgia" w:eastAsia="Georgia"/>
          <w:b/>
          <w:i w:val="0"/>
          <w:color w:val="2E5C4E"/>
          <w:sz w:val="25"/>
        </w:rPr>
        <w:t>Pregnancy</w:t>
      </w:r>
      <w:bookmarkEnd w:id="70"/>
    </w:p>
    <w:p>
      <w:r>
        <w:rPr>
          <w:b w:val="0"/>
          <w:i w:val="0"/>
        </w:rPr>
        <w:t>We do not pay weekly sickness benefits for disablement caused by pregnancy, childbirth or miscarriage, except a complication that a medical practitioner certifies is not a normal part of pregnancy or childbirth. We pay weekly sickness benefits for such a complication as a sickness, from the first day of the 26th week of pregnancy at the earliest.</w:t>
      </w:r>
    </w:p>
    <w:p>
      <w:r>
        <w:rPr>
          <w:b w:val="0"/>
          <w:i w:val="0"/>
        </w:rPr>
        <w:t>[WP REVIEW: confirm the 26th-week start is supportable under the Sex Discrimination Act 1984 (Cth) s41, or remove it.]</w:t>
      </w:r>
    </w:p>
    <w:p>
      <w:bookmarkStart w:id="71" w:name="c_gpa_excl_elective_treatment"/>
      <w:r>
        <w:rPr>
          <w:rFonts w:ascii="Georgia" w:hAnsi="Georgia" w:eastAsia="Georgia"/>
          <w:b/>
          <w:i w:val="0"/>
          <w:color w:val="2E5C4E"/>
          <w:sz w:val="25"/>
        </w:rPr>
        <w:t>Elective Treatment</w:t>
      </w:r>
      <w:bookmarkEnd w:id="71"/>
    </w:p>
    <w:p>
      <w:r>
        <w:rPr>
          <w:b w:val="0"/>
          <w:i w:val="0"/>
        </w:rPr>
        <w:t>We do not pay any benefit for disablement caused by cosmetic or elective surgery or treatment, unless it is needed because of an injury or sickness covered by this policy.</w:t>
      </w:r>
    </w:p>
    <w:p>
      <w:bookmarkStart w:id="72" w:name="c_gpa_section_obligations"/>
      <w:r>
        <w:rPr>
          <w:rFonts w:ascii="Georgia" w:hAnsi="Georgia" w:eastAsia="Georgia"/>
          <w:b/>
          <w:i w:val="0"/>
          <w:color w:val="1C1915"/>
          <w:sz w:val="32"/>
        </w:rPr>
        <w:t>Your Obligations</w:t>
      </w:r>
      <w:bookmarkEnd w:id="72"/>
    </w:p>
    <w:p>
      <w:r>
        <w:rPr>
          <w:b w:val="0"/>
          <w:i w:val="0"/>
        </w:rPr>
        <w:t xml:space="preserve">Each obligation is subject to </w:t>
      </w:r>
      <w:hyperlink w:anchor="c_gpa_cond_insurance_contracts_act">
        <w:r>
          <w:rPr>
            <w:color w:val="2E5C4E"/>
            <w:u w:val="single"/>
          </w:rPr>
          <w:t xml:space="preserve">the Insurance Contracts Act condition</w:t>
        </w:r>
      </w:hyperlink>
      <w:r>
        <w:rPr>
          <w:b w:val="0"/>
          <w:i w:val="0"/>
        </w:rPr>
        <w:t>.</w:t>
      </w:r>
    </w:p>
    <w:p>
      <w:bookmarkStart w:id="73" w:name="c_gpa_obl_tell_us_about_claims"/>
      <w:r>
        <w:rPr>
          <w:rFonts w:ascii="Georgia" w:hAnsi="Georgia" w:eastAsia="Georgia"/>
          <w:b/>
          <w:i w:val="0"/>
          <w:color w:val="2E5C4E"/>
          <w:sz w:val="25"/>
        </w:rPr>
        <w:t>Tell Us About Claims</w:t>
      </w:r>
      <w:bookmarkEnd w:id="73"/>
    </w:p>
    <w:p>
      <w:r>
        <w:rPr>
          <w:b w:val="0"/>
          <w:i w:val="0"/>
        </w:rPr>
        <w:t>You, or the policyholder for you, must tell us as soon as reasonably practicable after an accident, injury or sickness that may lead to a claim. For weekly benefits, give us a medical certificate covering the start of the disablement, and further certificates when we reasonably ask for them.</w:t>
      </w:r>
    </w:p>
    <w:p>
      <w:r>
        <w:rPr>
          <w:b w:val="0"/>
          <w:i w:val="0"/>
        </w:rPr>
        <w:t xml:space="preserve">Give us the information and documents we reasonably need to assess the claim, including evidence of your income and of other payments under </w:t>
      </w:r>
      <w:hyperlink w:anchor="c_gpa_pay_offsets">
        <w:r>
          <w:rPr>
            <w:color w:val="2E5C4E"/>
            <w:u w:val="single"/>
          </w:rPr>
          <w:t xml:space="preserve">the Other Payments for the Same Disablement provision</w:t>
        </w:r>
      </w:hyperlink>
      <w:r>
        <w:rPr>
          <w:b w:val="0"/>
          <w:i w:val="0"/>
        </w:rPr>
        <w:t>, at your own cost. The policyholder must give us any record it holds that we reasonably need, such as your income, your category and the dates you were covered.</w:t>
      </w:r>
    </w:p>
    <w:p>
      <w:bookmarkStart w:id="74" w:name="c_gpa_obl_medical_care_and_examination"/>
      <w:r>
        <w:rPr>
          <w:rFonts w:ascii="Georgia" w:hAnsi="Georgia" w:eastAsia="Georgia"/>
          <w:b/>
          <w:i w:val="0"/>
          <w:color w:val="2E5C4E"/>
          <w:sz w:val="25"/>
        </w:rPr>
        <w:t>Medical Care and Examination</w:t>
      </w:r>
      <w:bookmarkEnd w:id="74"/>
    </w:p>
    <w:p>
      <w:r>
        <w:rPr>
          <w:b w:val="0"/>
          <w:i w:val="0"/>
        </w:rPr>
        <w:t>Get treatment from a medical practitioner as soon as reasonably practicable after an injury or the start of a sickness, and follow their reasonable advice.</w:t>
      </w:r>
    </w:p>
    <w:p>
      <w:r>
        <w:rPr>
          <w:b w:val="0"/>
          <w:i w:val="0"/>
        </w:rPr>
        <w:t>You must attend an examination by a medical practitioner or other health professional we choose, as often as we reasonably require while a claim is open. We pay for it. If you die, we may ask for a post-mortem examination at our expense, where the law allows it.</w:t>
      </w:r>
    </w:p>
    <w:p>
      <w:bookmarkStart w:id="75" w:name="c_gpa_obl_tell_us_about_changes"/>
      <w:r>
        <w:rPr>
          <w:rFonts w:ascii="Georgia" w:hAnsi="Georgia" w:eastAsia="Georgia"/>
          <w:b/>
          <w:i w:val="0"/>
          <w:color w:val="2E5C4E"/>
          <w:sz w:val="25"/>
        </w:rPr>
        <w:t>Tell Us About Changes</w:t>
      </w:r>
      <w:bookmarkEnd w:id="75"/>
    </w:p>
    <w:p>
      <w:r>
        <w:rPr>
          <w:b w:val="0"/>
          <w:i w:val="0"/>
        </w:rPr>
        <w:t>The policyholder must tell us during the policy period, as soon as reasonably practicable, if:</w:t>
      </w:r>
    </w:p>
    <w:p>
      <w:pPr>
        <w:pStyle w:val="ListBullet"/>
      </w:pPr>
      <w:r>
        <w:rPr>
          <w:b w:val="0"/>
          <w:i w:val="0"/>
        </w:rPr>
        <w:t>the work done by the people in a category changes so that a higher occupation class would apply, or the proportion of people in each occupation class changes by more than 10%;</w:t>
      </w:r>
    </w:p>
    <w:p>
      <w:pPr>
        <w:pStyle w:val="ListBullet"/>
      </w:pPr>
      <w:r>
        <w:rPr>
          <w:b w:val="0"/>
          <w:i w:val="0"/>
        </w:rPr>
        <w:t>the number of covered persons in a category changes by more than 25%; or</w:t>
      </w:r>
    </w:p>
    <w:p>
      <w:pPr>
        <w:pStyle w:val="ListBullet"/>
      </w:pPr>
      <w:r>
        <w:rPr>
          <w:b w:val="0"/>
          <w:i w:val="0"/>
        </w:rPr>
        <w:t>covered persons start to travel together, or work in one place, in numbers greater than those shown in the proposal.</w:t>
      </w:r>
    </w:p>
    <w:p>
      <w:r>
        <w:rPr>
          <w:b w:val="0"/>
          <w:i w:val="0"/>
        </w:rPr>
        <w:t>We will tell the policyholder whether the change affects the cover or the premium.</w:t>
      </w:r>
    </w:p>
    <w:p>
      <w:bookmarkStart w:id="76" w:name="c_gpa_obl_policyholder_records"/>
      <w:r>
        <w:rPr>
          <w:rFonts w:ascii="Georgia" w:hAnsi="Georgia" w:eastAsia="Georgia"/>
          <w:b/>
          <w:i w:val="0"/>
          <w:color w:val="2E5C4E"/>
          <w:sz w:val="25"/>
        </w:rPr>
        <w:t>Policyholder's Records</w:t>
      </w:r>
      <w:bookmarkEnd w:id="76"/>
    </w:p>
    <w:p>
      <w:r>
        <w:rPr>
          <w:b w:val="0"/>
          <w:i w:val="0"/>
        </w:rPr>
        <w:t>The policyholder must keep records that show who was in each category on any date during the policy period, and the information it uses to declare the premium basis, and must keep them for at least 7 years after the policy period ends. It must give us a copy when we reasonably ask.</w:t>
      </w:r>
    </w:p>
    <w:p>
      <w:bookmarkStart w:id="77" w:name="c_gpa_obl_residence_and_travel"/>
      <w:r>
        <w:rPr>
          <w:rFonts w:ascii="Georgia" w:hAnsi="Georgia" w:eastAsia="Georgia"/>
          <w:b/>
          <w:i w:val="0"/>
          <w:color w:val="2E5C4E"/>
          <w:sz w:val="25"/>
        </w:rPr>
        <w:t>Living and Travelling Overseas</w:t>
      </w:r>
      <w:bookmarkEnd w:id="77"/>
    </w:p>
    <w:p>
      <w:r>
        <w:rPr>
          <w:b w:val="0"/>
          <w:i w:val="0"/>
        </w:rPr>
        <w:t>You are covered while you are outside Australia, for up to 90 consecutive days on any one trip, unless Endorsement E04 allows a longer period.</w:t>
      </w:r>
    </w:p>
    <w:p>
      <w:r>
        <w:rPr>
          <w:b w:val="0"/>
          <w:i w:val="0"/>
        </w:rPr>
        <w:t>If you leave Australia while you are receiving weekly benefits, tell us before you go. We will continue to pay weekly benefits for up to 90 days while you are outside Australia, and for longer if we agree in writing. We may ask you to return to Australia for a medical examination at our expense.</w:t>
      </w:r>
    </w:p>
    <w:p>
      <w:bookmarkStart w:id="78" w:name="c_gpa_section_conditions"/>
      <w:r>
        <w:rPr>
          <w:rFonts w:ascii="Georgia" w:hAnsi="Georgia" w:eastAsia="Georgia"/>
          <w:b/>
          <w:i w:val="0"/>
          <w:color w:val="1C1915"/>
          <w:sz w:val="32"/>
        </w:rPr>
        <w:t>General Conditions</w:t>
      </w:r>
      <w:bookmarkEnd w:id="78"/>
    </w:p>
    <w:p>
      <w:bookmarkStart w:id="79" w:name="c_gpa_cond_covered_persons_rights"/>
      <w:r>
        <w:rPr>
          <w:rFonts w:ascii="Georgia" w:hAnsi="Georgia" w:eastAsia="Georgia"/>
          <w:b/>
          <w:i w:val="0"/>
          <w:color w:val="2E5C4E"/>
          <w:sz w:val="25"/>
        </w:rPr>
        <w:t>Covered Persons' Rights</w:t>
      </w:r>
      <w:bookmarkEnd w:id="79"/>
    </w:p>
    <w:p>
      <w:r>
        <w:rPr>
          <w:b w:val="0"/>
          <w:i w:val="0"/>
        </w:rPr>
        <w:t>Covered persons are not parties to this contract and do not pay the premium. Under s.48 of the Insurance Contracts Act 1984 (Cth), a covered person has a right to recover from us the benefits this policy provides for them, in accordance with this policy, as if they were the insured. A covered person has the same obligations under this policy in making a claim, and we have the same defences, as that section provides.</w:t>
      </w:r>
    </w:p>
    <w:p>
      <w:r>
        <w:rPr>
          <w:b w:val="0"/>
          <w:i w:val="0"/>
        </w:rPr>
        <w:t>The policyholder does not hold this policy on trust for covered persons, does not act for us, and does not give covered persons advice about it. The policyholder receives no payment from us for arranging cover for covered persons, unless the schedule says otherwise.</w:t>
      </w:r>
    </w:p>
    <w:p>
      <w:bookmarkStart w:id="80" w:name="c_gpa_cond_automatic_cover"/>
      <w:r>
        <w:rPr>
          <w:rFonts w:ascii="Georgia" w:hAnsi="Georgia" w:eastAsia="Georgia"/>
          <w:b/>
          <w:i w:val="0"/>
          <w:color w:val="2E5C4E"/>
          <w:sz w:val="25"/>
        </w:rPr>
        <w:t>Automatic Cover for New Covered Persons</w:t>
      </w:r>
      <w:bookmarkEnd w:id="80"/>
    </w:p>
    <w:p>
      <w:r>
        <w:rPr>
          <w:b w:val="0"/>
          <w:i w:val="0"/>
        </w:rPr>
        <w:t>A person who joins a category during the policy period is covered automatically from the date they join, on the terms for that category, if their capital sum and weekly benefit are within the free cover limit shown in the schedule. A person whose benefits would exceed the free cover limit is covered up to that limit until we accept them in writing for the full amount.</w:t>
      </w:r>
    </w:p>
    <w:p>
      <w:r>
        <w:rPr>
          <w:b w:val="0"/>
          <w:i w:val="0"/>
        </w:rPr>
        <w:t>Unless the schedule shows otherwise, the free cover limit is a capital sum of $1,000,000 and a weekly benefit of $3,000.</w:t>
      </w:r>
    </w:p>
    <w:p>
      <w:bookmarkStart w:id="81" w:name="c_gpa_cond_declarations_and_adjustment"/>
      <w:r>
        <w:rPr>
          <w:rFonts w:ascii="Georgia" w:hAnsi="Georgia" w:eastAsia="Georgia"/>
          <w:b/>
          <w:i w:val="0"/>
          <w:color w:val="2E5C4E"/>
          <w:sz w:val="25"/>
        </w:rPr>
        <w:t>Declarations and Premium Adjustment</w:t>
      </w:r>
      <w:bookmarkEnd w:id="81"/>
    </w:p>
    <w:p>
      <w:r>
        <w:rPr>
          <w:b w:val="0"/>
          <w:i w:val="0"/>
        </w:rPr>
        <w:t>Where the schedule shows the premium is adjustable, the premium shown is a deposit premium based on the estimated number of covered persons (or wages, volunteers, players or students, as the schedule shows) in each category. Within 30 days after the policy period ends, the policyholder must declare the actual figures. We will then adjust the premium at the rates used for the deposit premium, subject to the minimum premium shown in the schedule. If the policyholder does not declare, we may adjust the premium on a reasonable estimate and will tell the policyholder how we made it.</w:t>
      </w:r>
    </w:p>
    <w:p>
      <w:bookmarkStart w:id="82" w:name="c_gpa_cond_notices"/>
      <w:r>
        <w:rPr>
          <w:rFonts w:ascii="Georgia" w:hAnsi="Georgia" w:eastAsia="Georgia"/>
          <w:b/>
          <w:i w:val="0"/>
          <w:color w:val="2E5C4E"/>
          <w:sz w:val="25"/>
        </w:rPr>
        <w:t>Notices</w:t>
      </w:r>
      <w:bookmarkEnd w:id="82"/>
    </w:p>
    <w:p>
      <w:r>
        <w:rPr>
          <w:b w:val="0"/>
          <w:i w:val="0"/>
        </w:rPr>
        <w:t>We give notices about this policy to the policyholder, which must pass on to covered persons any notice that affects their cover. A notice about a claim may be given by us to the covered person, or to their representative.</w:t>
      </w:r>
    </w:p>
    <w:p>
      <w:bookmarkStart w:id="83" w:name="c_gpa_cond_insurance_contracts_act"/>
      <w:r>
        <w:rPr>
          <w:rFonts w:ascii="Georgia" w:hAnsi="Georgia" w:eastAsia="Georgia"/>
          <w:b/>
          <w:i w:val="0"/>
          <w:color w:val="2E5C4E"/>
          <w:sz w:val="25"/>
        </w:rPr>
        <w:t>Insurance Contracts Act</w:t>
      </w:r>
      <w:bookmarkEnd w:id="83"/>
    </w:p>
    <w:p>
      <w:r>
        <w:rPr>
          <w:b w:val="0"/>
          <w:i w:val="0"/>
        </w:rPr>
        <w:t>Nothing in this policy excludes, restricts or modifies any right the policyholder or a covered person has under the Insurance Contracts Act 1984 (Cth).</w:t>
      </w:r>
    </w:p>
    <w:p>
      <w:r>
        <w:rPr>
          <w:b w:val="0"/>
          <w:i w:val="0"/>
        </w:rPr>
        <w:t>Where the policyholder or a covered person fails to do something this policy requires, or does something it does not allow, after the policy is entered into, s.54 of that Act applies. We will not refuse a claim only because of that act or omission. We may reduce our payment by the amount that fairly represents the extent to which our interests were prejudiced. We may refuse the claim only where the act or omission could reasonably be regarded as capable of causing or contributing to the loss, and then only as that section allows.</w:t>
      </w:r>
    </w:p>
    <w:p>
      <w:r>
        <w:rPr>
          <w:b w:val="0"/>
          <w:i w:val="0"/>
        </w:rPr>
        <w:t xml:space="preserve">Where the policyholder has not told us about a change under </w:t>
      </w:r>
      <w:hyperlink w:anchor="c_gpa_obl_tell_us_about_changes">
        <w:r>
          <w:rPr>
            <w:color w:val="2E5C4E"/>
            <w:u w:val="single"/>
          </w:rPr>
          <w:t xml:space="preserve">the Tell Us About Changes obligation</w:t>
        </w:r>
      </w:hyperlink>
      <w:r>
        <w:rPr>
          <w:b w:val="0"/>
          <w:i w:val="0"/>
        </w:rPr>
        <w:t>, and the change meant a higher premium would have applied, we may reduce a claim to the proportion that the premium paid bears to the premium we would have charged.</w:t>
      </w:r>
    </w:p>
    <w:p>
      <w:r>
        <w:rPr>
          <w:b w:val="0"/>
          <w:i w:val="0"/>
        </w:rPr>
        <w:t>[WP REVIEW: confirm a premium-proportion reduction for an untold change of occupation class or headcount is a fair measure of prejudice under s54(1), and how it operates against a covered person's s48 claim.]</w:t>
      </w:r>
    </w:p>
    <w:p>
      <w:bookmarkStart w:id="84" w:name="c_gpa_cond_cancellation"/>
      <w:r>
        <w:rPr>
          <w:rFonts w:ascii="Georgia" w:hAnsi="Georgia" w:eastAsia="Georgia"/>
          <w:b/>
          <w:i w:val="0"/>
          <w:color w:val="2E5C4E"/>
          <w:sz w:val="25"/>
        </w:rPr>
        <w:t>Cancellation</w:t>
      </w:r>
      <w:bookmarkEnd w:id="84"/>
    </w:p>
    <w:p>
      <w:r>
        <w:rPr>
          <w:b w:val="0"/>
          <w:i w:val="0"/>
        </w:rPr>
        <w:t xml:space="preserve">The policyholder may cancel this policy at any time by telling us in writing. We will refund the premium for the unexpired policy period in proportion, after the premium adjustment in </w:t>
      </w:r>
      <w:hyperlink w:anchor="c_gpa_cond_declarations_and_adjustment">
        <w:r>
          <w:rPr>
            <w:color w:val="2E5C4E"/>
            <w:u w:val="single"/>
          </w:rPr>
          <w:t xml:space="preserve">the Declarations and Premium Adjustment condition</w:t>
        </w:r>
      </w:hyperlink>
      <w:r>
        <w:rPr>
          <w:b w:val="0"/>
          <w:i w:val="0"/>
        </w:rPr>
        <w:t xml:space="preserve"> and subject to any minimum premium shown in the schedule, unless the policyholder cancels within the cooling-off period in </w:t>
      </w:r>
      <w:hyperlink w:anchor="c_gpa_important_information">
        <w:r>
          <w:rPr>
            <w:color w:val="2E5C4E"/>
            <w:u w:val="single"/>
          </w:rPr>
          <w:t xml:space="preserve">the Important Information section</w:t>
        </w:r>
      </w:hyperlink>
      <w:r>
        <w:rPr>
          <w:b w:val="0"/>
          <w:i w:val="0"/>
        </w:rPr>
        <w:t>.</w:t>
      </w:r>
    </w:p>
    <w:p>
      <w:r>
        <w:rPr>
          <w:b w:val="0"/>
          <w:i w:val="0"/>
        </w:rPr>
        <w:t>We may cancel this policy only on a ground allowed by the Insurance Contracts Act 1984 (Cth), by giving the policyholder written notice as s.59 of that Act requires. We will refund the premium for the unexpired policy period in proportion.</w:t>
      </w:r>
    </w:p>
    <w:p>
      <w:r>
        <w:rPr>
          <w:b w:val="0"/>
          <w:i w:val="0"/>
        </w:rPr>
        <w:t>A covered person cannot cancel or vary this policy. When this policy is cancelled, cover ends for every covered person. Cancellation does not affect a claim for an injury that happened, or a sickness that first showed itself, before cancellation.</w:t>
      </w:r>
    </w:p>
    <w:p>
      <w:bookmarkStart w:id="85" w:name="c_gpa_cond_renewal"/>
      <w:r>
        <w:rPr>
          <w:rFonts w:ascii="Georgia" w:hAnsi="Georgia" w:eastAsia="Georgia"/>
          <w:b/>
          <w:i w:val="0"/>
          <w:color w:val="2E5C4E"/>
          <w:sz w:val="25"/>
        </w:rPr>
        <w:t>Renewal</w:t>
      </w:r>
      <w:bookmarkEnd w:id="85"/>
    </w:p>
    <w:p>
      <w:r>
        <w:rPr>
          <w:b w:val="0"/>
          <w:i w:val="0"/>
        </w:rPr>
        <w:t>Each renewal is a new contract. Before this policy ends, we will tell the policyholder whether we offer to renew it and on what terms, as s.58 of the Insurance Contracts Act 1984 (Cth) requires. We are not obliged to offer renewal.</w:t>
      </w:r>
    </w:p>
    <w:p>
      <w:bookmarkStart w:id="86" w:name="c_gpa_cond_fraud"/>
      <w:r>
        <w:rPr>
          <w:rFonts w:ascii="Georgia" w:hAnsi="Georgia" w:eastAsia="Georgia"/>
          <w:b/>
          <w:i w:val="0"/>
          <w:color w:val="2E5C4E"/>
          <w:sz w:val="25"/>
        </w:rPr>
        <w:t>Fraudulent Claims</w:t>
      </w:r>
      <w:bookmarkEnd w:id="86"/>
    </w:p>
    <w:p>
      <w:r>
        <w:rPr>
          <w:b w:val="0"/>
          <w:i w:val="0"/>
        </w:rPr>
        <w:t>If a claim is made fraudulently, we may refuse to pay it, as s.56 of the Insurance Contracts Act 1984 (Cth) allows.</w:t>
      </w:r>
    </w:p>
    <w:p>
      <w:bookmarkStart w:id="87" w:name="c_gpa_cond_sanctions"/>
      <w:r>
        <w:rPr>
          <w:rFonts w:ascii="Georgia" w:hAnsi="Georgia" w:eastAsia="Georgia"/>
          <w:b/>
          <w:i w:val="0"/>
          <w:color w:val="2E5C4E"/>
          <w:sz w:val="25"/>
        </w:rPr>
        <w:t>Sanctions</w:t>
      </w:r>
      <w:bookmarkEnd w:id="87"/>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88" w:name="c_gpa_cond_gst"/>
      <w:r>
        <w:rPr>
          <w:rFonts w:ascii="Georgia" w:hAnsi="Georgia" w:eastAsia="Georgia"/>
          <w:b/>
          <w:i w:val="0"/>
          <w:color w:val="2E5C4E"/>
          <w:sz w:val="25"/>
        </w:rPr>
        <w:t>GST</w:t>
      </w:r>
      <w:bookmarkEnd w:id="88"/>
    </w:p>
    <w:p>
      <w:r>
        <w:rPr>
          <w:b w:val="0"/>
          <w:i w:val="0"/>
        </w:rPr>
        <w:t>The premium includes GST where it applies, under A New Tax System (Goods and Services Tax) Act 1999 (Cth). The benefits under this policy are fixed amounts and are not adjusted for GST or input tax credits.</w:t>
      </w:r>
    </w:p>
    <w:p>
      <w:bookmarkStart w:id="89" w:name="c_gpa_cond_privacy"/>
      <w:r>
        <w:rPr>
          <w:rFonts w:ascii="Georgia" w:hAnsi="Georgia" w:eastAsia="Georgia"/>
          <w:b/>
          <w:i w:val="0"/>
          <w:color w:val="2E5C4E"/>
          <w:sz w:val="25"/>
        </w:rPr>
        <w:t>Privacy</w:t>
      </w:r>
      <w:bookmarkEnd w:id="89"/>
    </w:p>
    <w:p>
      <w:r>
        <w:rPr>
          <w:b w:val="0"/>
          <w:i w:val="0"/>
        </w:rPr>
        <w:t>We collect, use and disclose personal information about covered persons, including health information, to administer this policy and manage claims, in accordance with the Privacy Act 1988 (Cth) and our privacy policy. The policyholder may give us personal information about covered persons, and must tell them that it does so and where to find our privacy policy. Our privacy policy explains how a covered person can access and correct their information and how to complain about a privacy matter.</w:t>
      </w:r>
    </w:p>
    <w:p>
      <w:bookmarkStart w:id="90" w:name="c_gpa_cond_disputes_and_complaints"/>
      <w:r>
        <w:rPr>
          <w:rFonts w:ascii="Georgia" w:hAnsi="Georgia" w:eastAsia="Georgia"/>
          <w:b/>
          <w:i w:val="0"/>
          <w:color w:val="2E5C4E"/>
          <w:sz w:val="25"/>
        </w:rPr>
        <w:t>Complaints and Disputes</w:t>
      </w:r>
      <w:bookmarkEnd w:id="90"/>
    </w:p>
    <w:p>
      <w:r>
        <w:rPr>
          <w:b w:val="0"/>
          <w:i w:val="0"/>
        </w:rPr>
        <w:t>If the policyholder or a covered person is unhappy with our service or a decision, contact us at the details in the schedule. We will acknowledge your complaint within one business day and give you our decision within 30 calendar days.</w:t>
      </w:r>
    </w:p>
    <w:p>
      <w:r>
        <w:rPr>
          <w:b w:val="0"/>
          <w:i w:val="0"/>
        </w:rPr>
        <w:t>If they are not satisfied with our response, or we have not responded within 30 calendar days, they may take the complaint to the Australian Financial Complaints Authority (AFCA), a free and independent dispute resolution service: www.afca.org.au, 1800 931 678, info@afca.org.au.</w:t>
      </w:r>
    </w:p>
    <w:p>
      <w:bookmarkStart w:id="91" w:name="c_gpa_cond_governing_law"/>
      <w:r>
        <w:rPr>
          <w:rFonts w:ascii="Georgia" w:hAnsi="Georgia" w:eastAsia="Georgia"/>
          <w:b/>
          <w:i w:val="0"/>
          <w:color w:val="2E5C4E"/>
          <w:sz w:val="25"/>
        </w:rPr>
        <w:t>Governing Law</w:t>
      </w:r>
      <w:bookmarkEnd w:id="91"/>
    </w:p>
    <w:p>
      <w:r>
        <w:rPr>
          <w:b w:val="0"/>
          <w:i w:val="0"/>
        </w:rPr>
        <w:t>This policy is governed by the law of the Australian state or territory shown in the schedule. If the schedule does not show one, it is governed by the law of the state or territory where the policyholder's registered office was on the date this policy started.</w:t>
      </w:r>
    </w:p>
    <w:p>
      <w:bookmarkStart w:id="92" w:name="c_gpa_cond_jurisdiction"/>
      <w:r>
        <w:rPr>
          <w:rFonts w:ascii="Georgia" w:hAnsi="Georgia" w:eastAsia="Georgia"/>
          <w:b/>
          <w:i w:val="0"/>
          <w:color w:val="2E5C4E"/>
          <w:sz w:val="25"/>
        </w:rPr>
        <w:t>Jurisdiction</w:t>
      </w:r>
      <w:bookmarkEnd w:id="92"/>
    </w:p>
    <w:p>
      <w:r>
        <w:rPr>
          <w:b w:val="0"/>
          <w:i w:val="0"/>
        </w:rPr>
        <w:t>The policyholder, each covered person and we submit to the jurisdiction of the courts of the state or territory whose law governs this policy, and of any court that may hear appeals from them.</w:t>
      </w:r>
    </w:p>
    <w:p>
      <w:bookmarkStart w:id="93" w:name="c_gpa_cond_headings_and_references"/>
      <w:r>
        <w:rPr>
          <w:rFonts w:ascii="Georgia" w:hAnsi="Georgia" w:eastAsia="Georgia"/>
          <w:b/>
          <w:i w:val="0"/>
          <w:color w:val="2E5C4E"/>
          <w:sz w:val="25"/>
        </w:rPr>
        <w:t>Headings and References</w:t>
      </w:r>
      <w:bookmarkEnd w:id="93"/>
    </w:p>
    <w:p>
      <w:r>
        <w:rPr>
          <w:b w:val="0"/>
          <w:i w:val="0"/>
        </w:rPr>
        <w:t>Headings are for convenience only. A reference to legislation includes any legislation that amends or replaces it. A reference to a clause by its heading is a reference to that clause as it appears in this wording.</w:t>
      </w:r>
    </w:p>
    <w:p>
      <w:bookmarkStart w:id="94" w:name="c_gpa_claims_how_to_make_a_claim"/>
      <w:r>
        <w:rPr>
          <w:rFonts w:ascii="Georgia" w:hAnsi="Georgia" w:eastAsia="Georgia"/>
          <w:b/>
          <w:i w:val="0"/>
          <w:color w:val="1C1915"/>
          <w:sz w:val="32"/>
        </w:rPr>
        <w:t>How to Make a Claim</w:t>
      </w:r>
      <w:bookmarkEnd w:id="94"/>
    </w:p>
    <w:p>
      <w:pPr>
        <w:pStyle w:val="ListNumber"/>
      </w:pPr>
      <w:r>
        <w:rPr>
          <w:b w:val="0"/>
          <w:i w:val="0"/>
        </w:rPr>
        <w:t xml:space="preserve">Tell the policyholder, or contact the policyholder's broker or us directly at the details shown in the schedule. You can claim directly, without the policyholder (see </w:t>
      </w:r>
      <w:hyperlink w:anchor="c_gpa_cond_covered_persons_rights">
        <w:r>
          <w:rPr>
            <w:color w:val="2E5C4E"/>
            <w:u w:val="single"/>
          </w:rPr>
          <w:t xml:space="preserve">the Covered Persons' Rights condition</w:t>
        </w:r>
      </w:hyperlink>
      <w:r>
        <w:rPr>
          <w:b w:val="0"/>
          <w:i w:val="0"/>
        </w:rPr>
        <w:t>).</w:t>
      </w:r>
    </w:p>
    <w:p>
      <w:pPr>
        <w:pStyle w:val="ListNumber"/>
      </w:pPr>
      <w:r>
        <w:rPr>
          <w:b w:val="0"/>
          <w:i w:val="0"/>
        </w:rPr>
        <w:t xml:space="preserve">Tell us what happened and when, and the name of the medical practitioner treating you (see </w:t>
      </w:r>
      <w:hyperlink w:anchor="c_gpa_obl_tell_us_about_claims">
        <w:r>
          <w:rPr>
            <w:color w:val="2E5C4E"/>
            <w:u w:val="single"/>
          </w:rPr>
          <w:t xml:space="preserve">the Tell Us About Claims obligation</w:t>
        </w:r>
      </w:hyperlink>
      <w:r>
        <w:rPr>
          <w:b w:val="0"/>
          <w:i w:val="0"/>
        </w:rPr>
        <w:t>).</w:t>
      </w:r>
    </w:p>
    <w:p>
      <w:pPr>
        <w:pStyle w:val="ListNumber"/>
      </w:pPr>
      <w:r>
        <w:rPr>
          <w:b w:val="0"/>
          <w:i w:val="0"/>
        </w:rPr>
        <w:t>For weekly benefits, send us a medical certificate and evidence of your income for the last 12 months. The policyholder will confirm your category and the dates you were covered.</w:t>
      </w:r>
    </w:p>
    <w:p>
      <w:pPr>
        <w:pStyle w:val="ListNumber"/>
      </w:pPr>
      <w:r>
        <w:rPr>
          <w:b w:val="0"/>
          <w:i w:val="0"/>
        </w:rPr>
        <w:t>Tell us about any workers compensation, transport accident, sick leave or other insurance payments you receive or have claimed.</w:t>
      </w:r>
    </w:p>
    <w:p>
      <w:pPr>
        <w:pStyle w:val="ListNumber"/>
      </w:pPr>
      <w:r>
        <w:rPr>
          <w:b w:val="0"/>
          <w:i w:val="0"/>
        </w:rPr>
        <w:t>We will acknowledge your claim, send you a claim form within 7 days and keep you informed.</w:t>
      </w:r>
    </w:p>
    <w:p>
      <w:bookmarkStart w:id="95" w:name="c_gpa_endorsement_library"/>
      <w:r>
        <w:rPr>
          <w:rFonts w:ascii="Georgia" w:hAnsi="Georgia" w:eastAsia="Georgia"/>
          <w:b/>
          <w:i w:val="0"/>
          <w:color w:val="1C1915"/>
          <w:sz w:val="32"/>
        </w:rPr>
        <w:t>Endorsement Library</w:t>
      </w:r>
      <w:bookmarkEnd w:id="95"/>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Voluntary Workers</w:t>
            </w:r>
          </w:p>
        </w:tc>
        <w:tc>
          <w:tcPr>
            <w:tcW w:type="dxa" w:w="3249"/>
          </w:tcPr>
          <w:p>
            <w:r/>
            <w:r>
              <w:rPr>
                <w:b w:val="0"/>
                <w:i w:val="0"/>
              </w:rPr>
              <w:t>Covers voluntary workers, per head, injury only</w:t>
            </w:r>
          </w:p>
        </w:tc>
      </w:tr>
      <w:tr>
        <w:tc>
          <w:tcPr>
            <w:tcW w:type="dxa" w:w="3249"/>
          </w:tcPr>
          <w:p>
            <w:r/>
            <w:r>
              <w:rPr>
                <w:b w:val="0"/>
                <w:i w:val="0"/>
              </w:rPr>
              <w:t>E02</w:t>
            </w:r>
          </w:p>
        </w:tc>
        <w:tc>
          <w:tcPr>
            <w:tcW w:type="dxa" w:w="3249"/>
          </w:tcPr>
          <w:p>
            <w:r/>
            <w:r>
              <w:rPr>
                <w:b w:val="0"/>
                <w:i w:val="0"/>
              </w:rPr>
              <w:t>Journey Cover</w:t>
            </w:r>
          </w:p>
        </w:tc>
        <w:tc>
          <w:tcPr>
            <w:tcW w:type="dxa" w:w="3249"/>
          </w:tcPr>
          <w:p>
            <w:r/>
            <w:r>
              <w:rPr>
                <w:b w:val="0"/>
                <w:i w:val="0"/>
              </w:rPr>
              <w:t>Limits a category to journeys</w:t>
            </w:r>
          </w:p>
        </w:tc>
      </w:tr>
      <w:tr>
        <w:tc>
          <w:tcPr>
            <w:tcW w:type="dxa" w:w="3249"/>
          </w:tcPr>
          <w:p>
            <w:r/>
            <w:r>
              <w:rPr>
                <w:b w:val="0"/>
                <w:i w:val="0"/>
              </w:rPr>
              <w:t>E03</w:t>
            </w:r>
          </w:p>
        </w:tc>
        <w:tc>
          <w:tcPr>
            <w:tcW w:type="dxa" w:w="3249"/>
          </w:tcPr>
          <w:p>
            <w:r/>
            <w:r>
              <w:rPr>
                <w:b w:val="0"/>
                <w:i w:val="0"/>
              </w:rPr>
              <w:t>Sports Teams</w:t>
            </w:r>
          </w:p>
        </w:tc>
        <w:tc>
          <w:tcPr>
            <w:tcW w:type="dxa" w:w="3249"/>
          </w:tcPr>
          <w:p>
            <w:r/>
            <w:r>
              <w:rPr>
                <w:b w:val="0"/>
                <w:i w:val="0"/>
              </w:rPr>
              <w:t>Covers registered players and officials, per head</w:t>
            </w:r>
          </w:p>
        </w:tc>
      </w:tr>
      <w:tr>
        <w:tc>
          <w:tcPr>
            <w:tcW w:type="dxa" w:w="3249"/>
          </w:tcPr>
          <w:p>
            <w:r/>
            <w:r>
              <w:rPr>
                <w:b w:val="0"/>
                <w:i w:val="0"/>
              </w:rPr>
              <w:t>E04</w:t>
            </w:r>
          </w:p>
        </w:tc>
        <w:tc>
          <w:tcPr>
            <w:tcW w:type="dxa" w:w="3249"/>
          </w:tcPr>
          <w:p>
            <w:r/>
            <w:r>
              <w:rPr>
                <w:b w:val="0"/>
                <w:i w:val="0"/>
              </w:rPr>
              <w:t>Overseas Secondment</w:t>
            </w:r>
          </w:p>
        </w:tc>
        <w:tc>
          <w:tcPr>
            <w:tcW w:type="dxa" w:w="3249"/>
          </w:tcPr>
          <w:p>
            <w:r/>
            <w:r>
              <w:rPr>
                <w:b w:val="0"/>
                <w:i w:val="0"/>
              </w:rPr>
              <w:t>Covers secondment overseas, with evacuation</w:t>
            </w:r>
          </w:p>
        </w:tc>
      </w:tr>
      <w:tr>
        <w:tc>
          <w:tcPr>
            <w:tcW w:type="dxa" w:w="3249"/>
          </w:tcPr>
          <w:p>
            <w:r/>
            <w:r>
              <w:rPr>
                <w:b w:val="0"/>
                <w:i w:val="0"/>
              </w:rPr>
              <w:t>E05</w:t>
            </w:r>
          </w:p>
        </w:tc>
        <w:tc>
          <w:tcPr>
            <w:tcW w:type="dxa" w:w="3249"/>
          </w:tcPr>
          <w:p>
            <w:r/>
            <w:r>
              <w:rPr>
                <w:b w:val="0"/>
                <w:i w:val="0"/>
              </w:rPr>
              <w:t>Named Hazardous Pursuit</w:t>
            </w:r>
          </w:p>
        </w:tc>
        <w:tc>
          <w:tcPr>
            <w:tcW w:type="dxa" w:w="3249"/>
          </w:tcPr>
          <w:p>
            <w:r/>
            <w:r>
              <w:rPr>
                <w:b w:val="0"/>
                <w:i w:val="0"/>
              </w:rPr>
              <w:t>Writes back the hazardous pursuits named</w:t>
            </w:r>
          </w:p>
        </w:tc>
      </w:tr>
      <w:tr>
        <w:tc>
          <w:tcPr>
            <w:tcW w:type="dxa" w:w="3249"/>
          </w:tcPr>
          <w:p>
            <w:r/>
            <w:r>
              <w:rPr>
                <w:b w:val="0"/>
                <w:i w:val="0"/>
              </w:rPr>
              <w:t>E06</w:t>
            </w:r>
          </w:p>
        </w:tc>
        <w:tc>
          <w:tcPr>
            <w:tcW w:type="dxa" w:w="3249"/>
          </w:tcPr>
          <w:p>
            <w:r/>
            <w:r>
              <w:rPr>
                <w:b w:val="0"/>
                <w:i w:val="0"/>
              </w:rPr>
              <w:t>Fly-in Fly-out</w:t>
            </w:r>
          </w:p>
        </w:tc>
        <w:tc>
          <w:tcPr>
            <w:tcW w:type="dxa" w:w="3249"/>
          </w:tcPr>
          <w:p>
            <w:r/>
            <w:r>
              <w:rPr>
                <w:b w:val="0"/>
                <w:i w:val="0"/>
              </w:rPr>
              <w:t>Covers fly-in fly-out rosters and charter flights</w:t>
            </w:r>
          </w:p>
        </w:tc>
      </w:tr>
      <w:tr>
        <w:tc>
          <w:tcPr>
            <w:tcW w:type="dxa" w:w="3249"/>
          </w:tcPr>
          <w:p>
            <w:r/>
            <w:r>
              <w:rPr>
                <w:b w:val="0"/>
                <w:i w:val="0"/>
              </w:rPr>
              <w:t>E07</w:t>
            </w:r>
          </w:p>
        </w:tc>
        <w:tc>
          <w:tcPr>
            <w:tcW w:type="dxa" w:w="3249"/>
          </w:tcPr>
          <w:p>
            <w:r/>
            <w:r>
              <w:rPr>
                <w:b w:val="0"/>
                <w:i w:val="0"/>
              </w:rPr>
              <w:t>Extended Benefit Period</w:t>
            </w:r>
          </w:p>
        </w:tc>
        <w:tc>
          <w:tcPr>
            <w:tcW w:type="dxa" w:w="3249"/>
          </w:tcPr>
          <w:p>
            <w:r/>
            <w:r>
              <w:rPr>
                <w:b w:val="0"/>
                <w:i w:val="0"/>
              </w:rPr>
              <w:t>Extends the benefit period to 260 weeks or age 65</w:t>
            </w:r>
          </w:p>
        </w:tc>
      </w:tr>
      <w:tr>
        <w:tc>
          <w:tcPr>
            <w:tcW w:type="dxa" w:w="3249"/>
          </w:tcPr>
          <w:p>
            <w:r/>
            <w:r>
              <w:rPr>
                <w:b w:val="0"/>
                <w:i w:val="0"/>
              </w:rPr>
              <w:t>E08</w:t>
            </w:r>
          </w:p>
        </w:tc>
        <w:tc>
          <w:tcPr>
            <w:tcW w:type="dxa" w:w="3249"/>
          </w:tcPr>
          <w:p>
            <w:r/>
            <w:r>
              <w:rPr>
                <w:b w:val="0"/>
                <w:i w:val="0"/>
              </w:rPr>
              <w:t>Corporate Travel Interface</w:t>
            </w:r>
          </w:p>
        </w:tc>
        <w:tc>
          <w:tcPr>
            <w:tcW w:type="dxa" w:w="3249"/>
          </w:tcPr>
          <w:p>
            <w:r/>
            <w:r>
              <w:rPr>
                <w:b w:val="0"/>
                <w:i w:val="0"/>
              </w:rPr>
              <w:t>Coordinates with a corporate travel policy</w:t>
            </w:r>
          </w:p>
        </w:tc>
      </w:tr>
      <w:tr>
        <w:tc>
          <w:tcPr>
            <w:tcW w:type="dxa" w:w="3249"/>
          </w:tcPr>
          <w:p>
            <w:r/>
            <w:r>
              <w:rPr>
                <w:b w:val="0"/>
                <w:i w:val="0"/>
              </w:rPr>
              <w:t>E09</w:t>
            </w:r>
          </w:p>
        </w:tc>
        <w:tc>
          <w:tcPr>
            <w:tcW w:type="dxa" w:w="3249"/>
          </w:tcPr>
          <w:p>
            <w:r/>
            <w:r>
              <w:rPr>
                <w:b w:val="0"/>
                <w:i w:val="0"/>
              </w:rPr>
              <w:t>Weekly Benefits to Age 70</w:t>
            </w:r>
          </w:p>
        </w:tc>
        <w:tc>
          <w:tcPr>
            <w:tcW w:type="dxa" w:w="3249"/>
          </w:tcPr>
          <w:p>
            <w:r/>
            <w:r>
              <w:rPr>
                <w:b w:val="0"/>
                <w:i w:val="0"/>
              </w:rPr>
              <w:t>Extends weekly benefits to age 70</w:t>
            </w:r>
          </w:p>
        </w:tc>
      </w:tr>
      <w:tr>
        <w:tc>
          <w:tcPr>
            <w:tcW w:type="dxa" w:w="3249"/>
          </w:tcPr>
          <w:p>
            <w:r/>
            <w:r>
              <w:rPr>
                <w:b w:val="0"/>
                <w:i w:val="0"/>
              </w:rPr>
              <w:t>E10</w:t>
            </w:r>
          </w:p>
        </w:tc>
        <w:tc>
          <w:tcPr>
            <w:tcW w:type="dxa" w:w="3249"/>
          </w:tcPr>
          <w:p>
            <w:r/>
            <w:r>
              <w:rPr>
                <w:b w:val="0"/>
                <w:i w:val="0"/>
              </w:rPr>
              <w:t>Passive War and Political Risk Zones</w:t>
            </w:r>
          </w:p>
        </w:tc>
        <w:tc>
          <w:tcPr>
            <w:tcW w:type="dxa" w:w="3249"/>
          </w:tcPr>
          <w:p>
            <w:r/>
            <w:r>
              <w:rPr>
                <w:b w:val="0"/>
                <w:i w:val="0"/>
              </w:rPr>
              <w:t>Covers passive war risk in named countries</w:t>
            </w:r>
          </w:p>
        </w:tc>
      </w:tr>
      <w:tr>
        <w:tc>
          <w:tcPr>
            <w:tcW w:type="dxa" w:w="3249"/>
          </w:tcPr>
          <w:p>
            <w:r/>
            <w:r>
              <w:rPr>
                <w:b w:val="0"/>
                <w:i w:val="0"/>
              </w:rPr>
              <w:t>E11</w:t>
            </w:r>
          </w:p>
        </w:tc>
        <w:tc>
          <w:tcPr>
            <w:tcW w:type="dxa" w:w="3249"/>
          </w:tcPr>
          <w:p>
            <w:r/>
            <w:r>
              <w:rPr>
                <w:b w:val="0"/>
                <w:i w:val="0"/>
              </w:rPr>
              <w:t>Workers Compensation Top-Up</w:t>
            </w:r>
          </w:p>
        </w:tc>
        <w:tc>
          <w:tcPr>
            <w:tcW w:type="dxa" w:w="3249"/>
          </w:tcPr>
          <w:p>
            <w:r/>
            <w:r>
              <w:rPr>
                <w:b w:val="0"/>
                <w:i w:val="0"/>
              </w:rPr>
              <w:t>Makes weekly benefits top up workers compensation</w:t>
            </w:r>
          </w:p>
        </w:tc>
      </w:tr>
      <w:tr>
        <w:tc>
          <w:tcPr>
            <w:tcW w:type="dxa" w:w="3249"/>
          </w:tcPr>
          <w:p>
            <w:r/>
            <w:r>
              <w:rPr>
                <w:b w:val="0"/>
                <w:i w:val="0"/>
              </w:rPr>
              <w:t>E12</w:t>
            </w:r>
          </w:p>
        </w:tc>
        <w:tc>
          <w:tcPr>
            <w:tcW w:type="dxa" w:w="3249"/>
          </w:tcPr>
          <w:p>
            <w:r/>
            <w:r>
              <w:rPr>
                <w:b w:val="0"/>
                <w:i w:val="0"/>
              </w:rPr>
              <w:t>Key Person Top-Up</w:t>
            </w:r>
          </w:p>
        </w:tc>
        <w:tc>
          <w:tcPr>
            <w:tcW w:type="dxa" w:w="3249"/>
          </w:tcPr>
          <w:p>
            <w:r/>
            <w:r>
              <w:rPr>
                <w:b w:val="0"/>
                <w:i w:val="0"/>
              </w:rPr>
              <w:t>Raises benefits for named key persons</w:t>
            </w:r>
          </w:p>
        </w:tc>
      </w:tr>
      <w:tr>
        <w:tc>
          <w:tcPr>
            <w:tcW w:type="dxa" w:w="3249"/>
          </w:tcPr>
          <w:p>
            <w:r/>
            <w:r>
              <w:rPr>
                <w:b w:val="0"/>
                <w:i w:val="0"/>
              </w:rPr>
              <w:t>E13</w:t>
            </w:r>
          </w:p>
        </w:tc>
        <w:tc>
          <w:tcPr>
            <w:tcW w:type="dxa" w:w="3249"/>
          </w:tcPr>
          <w:p>
            <w:r/>
            <w:r>
              <w:rPr>
                <w:b w:val="0"/>
                <w:i w:val="0"/>
              </w:rPr>
              <w:t>Lloyd's Underwriters</w:t>
            </w:r>
          </w:p>
        </w:tc>
        <w:tc>
          <w:tcPr>
            <w:tcW w:type="dxa" w:w="3249"/>
          </w:tcPr>
          <w:p>
            <w:r/>
            <w:r>
              <w:rPr>
                <w:b w:val="0"/>
                <w:i w:val="0"/>
              </w:rPr>
              <w:t>Adds Lloyd's several liability, service of suit and complaints terms</w:t>
            </w:r>
          </w:p>
        </w:tc>
      </w:tr>
      <w:tr>
        <w:tc>
          <w:tcPr>
            <w:tcW w:type="dxa" w:w="3249"/>
          </w:tcPr>
          <w:p>
            <w:r/>
            <w:r>
              <w:rPr>
                <w:b w:val="0"/>
                <w:i w:val="0"/>
              </w:rPr>
              <w:t>E14</w:t>
            </w:r>
          </w:p>
        </w:tc>
        <w:tc>
          <w:tcPr>
            <w:tcW w:type="dxa" w:w="3249"/>
          </w:tcPr>
          <w:p>
            <w:r/>
            <w:r>
              <w:rPr>
                <w:b w:val="0"/>
                <w:i w:val="0"/>
              </w:rPr>
              <w:t>Enterprise Agreement Terms</w:t>
            </w:r>
          </w:p>
        </w:tc>
        <w:tc>
          <w:tcPr>
            <w:tcW w:type="dxa" w:w="3249"/>
          </w:tcPr>
          <w:p>
            <w:r/>
            <w:r>
              <w:rPr>
                <w:b w:val="0"/>
                <w:i w:val="0"/>
              </w:rPr>
              <w:t>Applies enterprise agreement terms</w:t>
            </w:r>
          </w:p>
        </w:tc>
      </w:tr>
      <w:tr>
        <w:tc>
          <w:tcPr>
            <w:tcW w:type="dxa" w:w="3249"/>
          </w:tcPr>
          <w:p>
            <w:r/>
            <w:r>
              <w:rPr>
                <w:b w:val="0"/>
                <w:i w:val="0"/>
              </w:rPr>
              <w:t>E15</w:t>
            </w:r>
          </w:p>
        </w:tc>
        <w:tc>
          <w:tcPr>
            <w:tcW w:type="dxa" w:w="3249"/>
          </w:tcPr>
          <w:p>
            <w:r/>
            <w:r>
              <w:rPr>
                <w:b w:val="0"/>
                <w:i w:val="0"/>
              </w:rPr>
              <w:t>Students</w:t>
            </w:r>
          </w:p>
        </w:tc>
        <w:tc>
          <w:tcPr>
            <w:tcW w:type="dxa" w:w="3249"/>
          </w:tcPr>
          <w:p>
            <w:r/>
            <w:r>
              <w:rPr>
                <w:b w:val="0"/>
                <w:i w:val="0"/>
              </w:rPr>
              <w:t>Covers enrolled students, per head</w:t>
            </w:r>
          </w:p>
        </w:tc>
      </w:tr>
      <w:tr>
        <w:tc>
          <w:tcPr>
            <w:tcW w:type="dxa" w:w="3249"/>
          </w:tcPr>
          <w:p>
            <w:r/>
            <w:r>
              <w:rPr>
                <w:b w:val="0"/>
                <w:i w:val="0"/>
              </w:rPr>
              <w:t>E16</w:t>
            </w:r>
          </w:p>
        </w:tc>
        <w:tc>
          <w:tcPr>
            <w:tcW w:type="dxa" w:w="3249"/>
          </w:tcPr>
          <w:p>
            <w:r/>
            <w:r>
              <w:rPr>
                <w:b w:val="0"/>
                <w:i w:val="0"/>
              </w:rPr>
              <w:t>Specific Condition Exclusion</w:t>
            </w:r>
          </w:p>
        </w:tc>
        <w:tc>
          <w:tcPr>
            <w:tcW w:type="dxa" w:w="3249"/>
          </w:tcPr>
          <w:p>
            <w:r/>
            <w:r>
              <w:rPr>
                <w:b w:val="0"/>
                <w:i w:val="0"/>
              </w:rPr>
              <w:t>Excludes a named condition for a named covered person</w:t>
            </w:r>
          </w:p>
        </w:tc>
      </w:tr>
    </w:tbl>
    <w:p>
      <w:bookmarkStart w:id="96" w:name="c_gpa_end_e01"/>
      <w:r>
        <w:rPr>
          <w:rFonts w:ascii="Georgia" w:hAnsi="Georgia" w:eastAsia="Georgia"/>
          <w:b/>
          <w:i w:val="0"/>
          <w:color w:val="2E5C4E"/>
          <w:sz w:val="25"/>
        </w:rPr>
        <w:t>E01 Voluntary Workers</w:t>
      </w:r>
      <w:bookmarkEnd w:id="96"/>
    </w:p>
    <w:p>
      <w:r>
        <w:rPr>
          <w:b w:val="0"/>
          <w:i w:val="0"/>
        </w:rPr>
        <w:t>The category named in the schedule for this endorsement covers voluntary workers: people doing unpaid work authorised and controlled by the policyholder. For them:</w:t>
      </w:r>
    </w:p>
    <w:p>
      <w:pPr>
        <w:pStyle w:val="ListBullet"/>
      </w:pPr>
      <w:r>
        <w:rPr>
          <w:b w:val="0"/>
          <w:i w:val="0"/>
        </w:rPr>
        <w:t>the scope of cover is occupational: while doing that work, and while travelling directly to and from it;</w:t>
      </w:r>
    </w:p>
    <w:p>
      <w:pPr>
        <w:pStyle w:val="ListBullet"/>
      </w:pPr>
      <w:r>
        <w:rPr>
          <w:b w:val="0"/>
          <w:i w:val="0"/>
        </w:rPr>
        <w:t>weekly sickness benefits do not apply;</w:t>
      </w:r>
    </w:p>
    <w:p>
      <w:pPr>
        <w:pStyle w:val="ListBullet"/>
      </w:pPr>
      <w:r>
        <w:rPr>
          <w:b w:val="0"/>
          <w:i w:val="0"/>
        </w:rPr>
        <w:t xml:space="preserve">a voluntary worker who earns an income receives weekly benefits as </w:t>
      </w:r>
      <w:hyperlink w:anchor="c_gpa_pay_weekly_benefit_amount">
        <w:r>
          <w:rPr>
            <w:color w:val="2E5C4E"/>
            <w:u w:val="single"/>
          </w:rPr>
          <w:t xml:space="preserve">the How Much We Pay Each Week provision</w:t>
        </w:r>
      </w:hyperlink>
      <w:r>
        <w:rPr>
          <w:b w:val="0"/>
          <w:i w:val="0"/>
        </w:rPr>
        <w:t xml:space="preserve"> says, up to the weekly benefit shown for this endorsement;</w:t>
      </w:r>
    </w:p>
    <w:p>
      <w:pPr>
        <w:pStyle w:val="ListBullet"/>
      </w:pPr>
      <w:r>
        <w:rPr>
          <w:b w:val="0"/>
          <w:i w:val="0"/>
        </w:rPr>
        <w:t>a voluntary worker who does not earn an income and cannot carry out their usual domestic duties because of an injury receives 80% of the reasonable cost of domestic help, up to the weekly amount shown for this endorsement, for up to 26 weeks, after the waiting period; and</w:t>
      </w:r>
    </w:p>
    <w:p>
      <w:pPr>
        <w:pStyle w:val="ListBullet"/>
      </w:pPr>
      <w:r>
        <w:rPr>
          <w:b w:val="0"/>
          <w:i w:val="0"/>
        </w:rPr>
        <w:t>the capital sum for a voluntary worker under 18 or aged 80 or over is the reduced amount shown for this endorsement.</w:t>
      </w:r>
    </w:p>
    <w:p>
      <w:r>
        <w:rPr>
          <w:b w:val="0"/>
          <w:i w:val="0"/>
        </w:rPr>
        <w:t>The premium for this category is a rate per voluntary worker.</w:t>
      </w:r>
    </w:p>
    <w:p>
      <w:r>
        <w:rPr>
          <w:b w:val="0"/>
          <w:i w:val="0"/>
        </w:rPr>
        <w:t>Schedule variables: number of voluntary workers (or the declaration basis); capital sum; weekly benefit for income earners; domestic help weekly amount (default $500); reduced capital sum for those under 18 and 80 or over (default 25% of the capital sum).</w:t>
      </w:r>
    </w:p>
    <w:p>
      <w:bookmarkStart w:id="97" w:name="c_gpa_end_e02"/>
      <w:r>
        <w:rPr>
          <w:rFonts w:ascii="Georgia" w:hAnsi="Georgia" w:eastAsia="Georgia"/>
          <w:b/>
          <w:i w:val="0"/>
          <w:color w:val="2E5C4E"/>
          <w:sz w:val="25"/>
        </w:rPr>
        <w:t>E02 Journey Cover</w:t>
      </w:r>
      <w:bookmarkEnd w:id="97"/>
    </w:p>
    <w:p>
      <w:r>
        <w:rPr>
          <w:b w:val="0"/>
          <w:i w:val="0"/>
        </w:rPr>
        <w:t xml:space="preserve">For the category named in the schedule for this endorsement, the scope of cover is journeys only: while you are travelling directly between your home and your place of work, by a reasonably direct route, without interruption for any private purpose. </w:t>
      </w:r>
      <w:hyperlink w:anchor="c_gpa_cover_weekly_sickness">
        <w:r>
          <w:rPr>
            <w:color w:val="2E5C4E"/>
            <w:u w:val="single"/>
          </w:rPr>
          <w:t xml:space="preserve">the Weekly Benefits for Sickness clause</w:t>
        </w:r>
      </w:hyperlink>
      <w:r>
        <w:rPr>
          <w:b w:val="0"/>
          <w:i w:val="0"/>
        </w:rPr>
        <w:t xml:space="preserve"> does not apply to that category.</w:t>
      </w:r>
    </w:p>
    <w:p>
      <w:r>
        <w:rPr>
          <w:b w:val="0"/>
          <w:i w:val="0"/>
        </w:rPr>
        <w:t>Schedule variables: category.</w:t>
      </w:r>
    </w:p>
    <w:p>
      <w:bookmarkStart w:id="98" w:name="c_gpa_end_e03"/>
      <w:r>
        <w:rPr>
          <w:rFonts w:ascii="Georgia" w:hAnsi="Georgia" w:eastAsia="Georgia"/>
          <w:b/>
          <w:i w:val="0"/>
          <w:color w:val="2E5C4E"/>
          <w:sz w:val="25"/>
        </w:rPr>
        <w:t>E03 Sports Teams</w:t>
      </w:r>
      <w:bookmarkEnd w:id="98"/>
    </w:p>
    <w:p>
      <w:r>
        <w:rPr>
          <w:b w:val="0"/>
          <w:i w:val="0"/>
        </w:rPr>
        <w:t>The category named in the schedule for this endorsement covers registered players, coaches, umpires and officials of the policyholder. For them:</w:t>
      </w:r>
    </w:p>
    <w:p>
      <w:pPr>
        <w:pStyle w:val="ListBullet"/>
      </w:pPr>
      <w:r>
        <w:rPr>
          <w:b w:val="0"/>
          <w:i w:val="0"/>
        </w:rPr>
        <w:t>the scope of cover is while taking part in, training for, or officiating at an activity organised by the policyholder, and while travelling directly to and from it;</w:t>
      </w:r>
    </w:p>
    <w:p>
      <w:pPr>
        <w:pStyle w:val="ListBullet"/>
      </w:pPr>
      <w:r>
        <w:rPr>
          <w:b w:val="0"/>
          <w:i w:val="0"/>
        </w:rPr>
        <w:t>weekly sickness benefits do not apply;</w:t>
      </w:r>
    </w:p>
    <w:p>
      <w:pPr>
        <w:pStyle w:val="ListBullet"/>
      </w:pPr>
      <w:r>
        <w:rPr>
          <w:b w:val="0"/>
          <w:i w:val="0"/>
        </w:rPr>
        <w:t>the weekly benefit is the lower of the amount shown for this endorsement and 85% of income, after a waiting period of 14 days unless the schedule shows otherwise, for up to 52 weeks;</w:t>
      </w:r>
    </w:p>
    <w:p>
      <w:pPr>
        <w:pStyle w:val="ListBullet"/>
      </w:pPr>
      <w:r>
        <w:rPr>
          <w:b w:val="0"/>
          <w:i w:val="0"/>
        </w:rPr>
        <w:t>the capital sum for a player under 18 is the reduced amount shown for this endorsement; and</w:t>
      </w:r>
    </w:p>
    <w:p>
      <w:pPr>
        <w:pStyle w:val="ListBullet"/>
      </w:pPr>
      <w:hyperlink w:anchor="c_gpa_excl_professional_sport">
        <w:r>
          <w:rPr>
            <w:color w:val="2E5C4E"/>
            <w:u w:val="single"/>
          </w:rPr>
          <w:t xml:space="preserve">the Professional Sport exclusion</w:t>
        </w:r>
      </w:hyperlink>
      <w:r>
        <w:rPr>
          <w:b w:val="0"/>
          <w:i w:val="0"/>
        </w:rPr>
        <w:t xml:space="preserve"> applies to anyone who is paid more than 15% of their income, or more than $10,000 a year, from sport.</w:t>
      </w:r>
    </w:p>
    <w:p>
      <w:r>
        <w:rPr>
          <w:b w:val="0"/>
          <w:i w:val="0"/>
        </w:rPr>
        <w:t>The premium for this category is a rate per registered player or official.</w:t>
      </w:r>
    </w:p>
    <w:p>
      <w:r>
        <w:rPr>
          <w:b w:val="0"/>
          <w:i w:val="0"/>
        </w:rPr>
        <w:t>Schedule variables: the sport; number of registered participants (or the declaration basis); capital sum; weekly benefit; reduced capital sum for those under 18 (default 20% of the capital sum); non-Medicare medical limit.</w:t>
      </w:r>
    </w:p>
    <w:p>
      <w:bookmarkStart w:id="99" w:name="c_gpa_end_e04"/>
      <w:r>
        <w:rPr>
          <w:rFonts w:ascii="Georgia" w:hAnsi="Georgia" w:eastAsia="Georgia"/>
          <w:b/>
          <w:i w:val="0"/>
          <w:color w:val="2E5C4E"/>
          <w:sz w:val="25"/>
        </w:rPr>
        <w:t>E04 Overseas Secondment</w:t>
      </w:r>
      <w:bookmarkEnd w:id="99"/>
    </w:p>
    <w:p>
      <w:r>
        <w:rPr>
          <w:b w:val="0"/>
          <w:i w:val="0"/>
        </w:rPr>
        <w:t xml:space="preserve">For the covered persons named in the schedule for this endorsement, </w:t>
      </w:r>
      <w:hyperlink w:anchor="c_gpa_obl_residence_and_travel">
        <w:r>
          <w:rPr>
            <w:color w:val="2E5C4E"/>
            <w:u w:val="single"/>
          </w:rPr>
          <w:t xml:space="preserve">the Living and Travelling Overseas obligation</w:t>
        </w:r>
      </w:hyperlink>
      <w:r>
        <w:rPr>
          <w:b w:val="0"/>
          <w:i w:val="0"/>
        </w:rPr>
        <w:t xml:space="preserve"> does not limit cover while they are seconded by the policyholder to work outside Australia in the countries named, for the period shown. We also pay the reasonable cost of emergency medical evacuation to the nearest place where adequate treatment is available, and of returning the covered person to Australia, up to the limit shown.</w:t>
      </w:r>
    </w:p>
    <w:p>
      <w:r>
        <w:rPr>
          <w:b w:val="0"/>
          <w:i w:val="0"/>
        </w:rPr>
        <w:t>Schedule variables: covered persons or category; countries; secondment period; evacuation and repatriation limit (default $100,000).</w:t>
      </w:r>
    </w:p>
    <w:p>
      <w:bookmarkStart w:id="100" w:name="c_gpa_end_e05"/>
      <w:r>
        <w:rPr>
          <w:rFonts w:ascii="Georgia" w:hAnsi="Georgia" w:eastAsia="Georgia"/>
          <w:b/>
          <w:i w:val="0"/>
          <w:color w:val="2E5C4E"/>
          <w:sz w:val="25"/>
        </w:rPr>
        <w:t>E05 Named Hazardous Pursuit</w:t>
      </w:r>
      <w:bookmarkEnd w:id="100"/>
    </w:p>
    <w:p>
      <w:hyperlink w:anchor="c_gpa_excl_hazardous_pursuits">
        <w:r>
          <w:rPr>
            <w:color w:val="2E5C4E"/>
            <w:u w:val="single"/>
          </w:rPr>
          <w:t xml:space="preserve">the Hazardous Pursuits exclusion</w:t>
        </w:r>
      </w:hyperlink>
      <w:r>
        <w:rPr>
          <w:b w:val="0"/>
          <w:i w:val="0"/>
        </w:rPr>
        <w:t xml:space="preserve"> and </w:t>
      </w:r>
      <w:hyperlink w:anchor="c_gpa_excl_flying">
        <w:r>
          <w:rPr>
            <w:color w:val="2E5C4E"/>
            <w:u w:val="single"/>
          </w:rPr>
          <w:t xml:space="preserve">the Flying exclusion</w:t>
        </w:r>
      </w:hyperlink>
      <w:r>
        <w:rPr>
          <w:b w:val="0"/>
          <w:i w:val="0"/>
        </w:rPr>
        <w:t xml:space="preserve"> do not apply to the pursuits named in the schedule for this endorsement, for the categories named, while covered persons take part in them as amateurs, under the rules of the governing body for the pursuit where there is one, and holding any licence or qualification it requires.</w:t>
      </w:r>
    </w:p>
    <w:p>
      <w:r>
        <w:rPr>
          <w:b w:val="0"/>
          <w:i w:val="0"/>
        </w:rPr>
        <w:t>Schedule variables: named pursuits and categories; conditions for each pursuit; any capital sum limit for injury during the pursuit.</w:t>
      </w:r>
    </w:p>
    <w:p>
      <w:bookmarkStart w:id="101" w:name="c_gpa_end_e06"/>
      <w:r>
        <w:rPr>
          <w:rFonts w:ascii="Georgia" w:hAnsi="Georgia" w:eastAsia="Georgia"/>
          <w:b/>
          <w:i w:val="0"/>
          <w:color w:val="2E5C4E"/>
          <w:sz w:val="25"/>
        </w:rPr>
        <w:t>E06 Fly-in Fly-out</w:t>
      </w:r>
      <w:bookmarkEnd w:id="101"/>
    </w:p>
    <w:p>
      <w:r>
        <w:rPr>
          <w:b w:val="0"/>
          <w:i w:val="0"/>
        </w:rPr>
        <w:t xml:space="preserve">For the category named in the schedule for this endorsement, the scope of cover includes travel between your home and a remote work site on a roster arranged by the policyholder, including air travel on a charter flight the policyholder arranges, and time at accommodation the policyholder provides at or near the site. The non-scheduled air travel limit in </w:t>
      </w:r>
      <w:hyperlink w:anchor="c_gpa_pay_aggregate_limits">
        <w:r>
          <w:rPr>
            <w:color w:val="2E5C4E"/>
            <w:u w:val="single"/>
          </w:rPr>
          <w:t xml:space="preserve">the Aggregate Limits provision</w:t>
        </w:r>
      </w:hyperlink>
      <w:r>
        <w:rPr>
          <w:b w:val="0"/>
          <w:i w:val="0"/>
        </w:rPr>
        <w:t xml:space="preserve"> applies to charter flights.</w:t>
      </w:r>
    </w:p>
    <w:p>
      <w:r>
        <w:rPr>
          <w:b w:val="0"/>
          <w:i w:val="0"/>
        </w:rPr>
        <w:t>Schedule variables: category; work sites; non-scheduled air travel limit for this category.</w:t>
      </w:r>
    </w:p>
    <w:p>
      <w:bookmarkStart w:id="102" w:name="c_gpa_end_e07"/>
      <w:r>
        <w:rPr>
          <w:rFonts w:ascii="Georgia" w:hAnsi="Georgia" w:eastAsia="Georgia"/>
          <w:b/>
          <w:i w:val="0"/>
          <w:color w:val="2E5C4E"/>
          <w:sz w:val="25"/>
        </w:rPr>
        <w:t>E07 Extended Benefit Period</w:t>
      </w:r>
      <w:bookmarkEnd w:id="102"/>
    </w:p>
    <w:p>
      <w:r>
        <w:rPr>
          <w:b w:val="0"/>
          <w:i w:val="0"/>
        </w:rPr>
        <w:t>For the category named in the schedule for this endorsement, the benefit period is the period shown for this endorsement, which may be 260 weeks or to age 65, in place of the benefit period shown for the category.</w:t>
      </w:r>
    </w:p>
    <w:p>
      <w:r>
        <w:rPr>
          <w:b w:val="0"/>
          <w:i w:val="0"/>
        </w:rPr>
        <w:t>Schedule variables: category; benefit period.</w:t>
      </w:r>
    </w:p>
    <w:p>
      <w:bookmarkStart w:id="103" w:name="c_gpa_end_e08"/>
      <w:r>
        <w:rPr>
          <w:rFonts w:ascii="Georgia" w:hAnsi="Georgia" w:eastAsia="Georgia"/>
          <w:b/>
          <w:i w:val="0"/>
          <w:color w:val="2E5C4E"/>
          <w:sz w:val="25"/>
        </w:rPr>
        <w:t>E08 Corporate Travel Interface</w:t>
      </w:r>
      <w:bookmarkEnd w:id="103"/>
    </w:p>
    <w:p>
      <w:r>
        <w:rPr>
          <w:b w:val="0"/>
          <w:i w:val="0"/>
        </w:rPr>
        <w:t>Where an injury to a covered person while travelling on the policyholder's business is also covered by a corporate travel policy issued to the policyholder, this policy pays its capital benefits in full, and pays its weekly benefits and additional benefits only to the extent the travel policy does not pay the same benefit. Nothing in this endorsement reduces a benefit below what this policy would pay alone.</w:t>
      </w:r>
    </w:p>
    <w:p>
      <w:r>
        <w:rPr>
          <w:b w:val="0"/>
          <w:i w:val="0"/>
        </w:rPr>
        <w:t>Schedule variables: the corporate travel policy number and insurer.</w:t>
      </w:r>
    </w:p>
    <w:p>
      <w:bookmarkStart w:id="104" w:name="c_gpa_end_e09"/>
      <w:r>
        <w:rPr>
          <w:rFonts w:ascii="Georgia" w:hAnsi="Georgia" w:eastAsia="Georgia"/>
          <w:b/>
          <w:i w:val="0"/>
          <w:color w:val="2E5C4E"/>
          <w:sz w:val="25"/>
        </w:rPr>
        <w:t>E09 Weekly Benefits to Age 70</w:t>
      </w:r>
      <w:bookmarkEnd w:id="104"/>
    </w:p>
    <w:p>
      <w:r>
        <w:rPr>
          <w:b w:val="0"/>
          <w:i w:val="0"/>
        </w:rPr>
        <w:t xml:space="preserve">For the category named in the schedule for this endorsement, in </w:t>
      </w:r>
      <w:hyperlink w:anchor="c_gpa_pay_age_limits">
        <w:r>
          <w:rPr>
            <w:color w:val="2E5C4E"/>
            <w:u w:val="single"/>
          </w:rPr>
          <w:t xml:space="preserve">the Age Limits provision</w:t>
        </w:r>
      </w:hyperlink>
      <w:r>
        <w:rPr>
          <w:b w:val="0"/>
          <w:i w:val="0"/>
        </w:rPr>
        <w:t>, 70th birthday replaces 65th birthday for weekly benefits.</w:t>
      </w:r>
    </w:p>
    <w:p>
      <w:r>
        <w:rPr>
          <w:b w:val="0"/>
          <w:i w:val="0"/>
        </w:rPr>
        <w:t>Schedule variables: category.</w:t>
      </w:r>
    </w:p>
    <w:p>
      <w:bookmarkStart w:id="105" w:name="c_gpa_end_e10"/>
      <w:r>
        <w:rPr>
          <w:rFonts w:ascii="Georgia" w:hAnsi="Georgia" w:eastAsia="Georgia"/>
          <w:b/>
          <w:i w:val="0"/>
          <w:color w:val="2E5C4E"/>
          <w:sz w:val="25"/>
        </w:rPr>
        <w:t>E10 Passive War and Political Risk Zones</w:t>
      </w:r>
      <w:bookmarkEnd w:id="105"/>
    </w:p>
    <w:p>
      <w:hyperlink w:anchor="c_gpa_excl_war">
        <w:r>
          <w:rPr>
            <w:color w:val="2E5C4E"/>
            <w:u w:val="single"/>
          </w:rPr>
          <w:t xml:space="preserve">the War exclusion</w:t>
        </w:r>
      </w:hyperlink>
      <w:r>
        <w:rPr>
          <w:b w:val="0"/>
          <w:i w:val="0"/>
        </w:rPr>
        <w:t xml:space="preserve"> does not apply to a covered person who is injured as a result of war, civil war or unrest in a country named in the schedule for this endorsement while they are there for the policyholder's business and are not taking part in it, for up to 14 days after it begins, or for the period shown.</w:t>
      </w:r>
    </w:p>
    <w:p>
      <w:r>
        <w:rPr>
          <w:b w:val="0"/>
          <w:i w:val="0"/>
        </w:rPr>
        <w:t>Schedule variables: countries; period.</w:t>
      </w:r>
    </w:p>
    <w:p>
      <w:bookmarkStart w:id="106" w:name="c_gpa_end_e11"/>
      <w:r>
        <w:rPr>
          <w:rFonts w:ascii="Georgia" w:hAnsi="Georgia" w:eastAsia="Georgia"/>
          <w:b/>
          <w:i w:val="0"/>
          <w:color w:val="2E5C4E"/>
          <w:sz w:val="25"/>
        </w:rPr>
        <w:t>E11 Workers Compensation Top-Up</w:t>
      </w:r>
      <w:bookmarkEnd w:id="106"/>
    </w:p>
    <w:p>
      <w:r>
        <w:rPr>
          <w:b w:val="0"/>
          <w:i w:val="0"/>
        </w:rPr>
        <w:t xml:space="preserve">For the categories named in the schedule for this endorsement, while you are entitled to weekly payments under a workers compensation law for an injury, the weekly benefit for that injury is the amount by which the lower of the weekly benefit and the percentage of income in </w:t>
      </w:r>
      <w:hyperlink w:anchor="c_gpa_pay_weekly_benefit_amount">
        <w:r>
          <w:rPr>
            <w:color w:val="2E5C4E"/>
            <w:u w:val="single"/>
          </w:rPr>
          <w:t xml:space="preserve">the How Much We Pay Each Week provision</w:t>
        </w:r>
      </w:hyperlink>
      <w:r>
        <w:rPr>
          <w:b w:val="0"/>
          <w:i w:val="0"/>
        </w:rPr>
        <w:t xml:space="preserve"> exceeds those payments. Outside working hours, and once workers compensation payments stop, the weekly benefit applies in full.</w:t>
      </w:r>
    </w:p>
    <w:p>
      <w:r>
        <w:rPr>
          <w:b w:val="0"/>
          <w:i w:val="0"/>
        </w:rPr>
        <w:t>Schedule variables: categories.</w:t>
      </w:r>
    </w:p>
    <w:p>
      <w:bookmarkStart w:id="107" w:name="c_gpa_end_e12"/>
      <w:r>
        <w:rPr>
          <w:rFonts w:ascii="Georgia" w:hAnsi="Georgia" w:eastAsia="Georgia"/>
          <w:b/>
          <w:i w:val="0"/>
          <w:color w:val="2E5C4E"/>
          <w:sz w:val="25"/>
        </w:rPr>
        <w:t>E12 Key Person Top-Up</w:t>
      </w:r>
      <w:bookmarkEnd w:id="107"/>
    </w:p>
    <w:p>
      <w:r>
        <w:rPr>
          <w:b w:val="0"/>
          <w:i w:val="0"/>
        </w:rPr>
        <w:t>For the covered persons named in the schedule for this endorsement, the capital sum and weekly benefit shown for each of them replace those of their category. We must accept each named person in writing.</w:t>
      </w:r>
    </w:p>
    <w:p>
      <w:r>
        <w:rPr>
          <w:b w:val="0"/>
          <w:i w:val="0"/>
        </w:rPr>
        <w:t>Schedule variables: named persons; capital sum and weekly benefit for each.</w:t>
      </w:r>
    </w:p>
    <w:p>
      <w:bookmarkStart w:id="108" w:name="c_gpa_end_e13"/>
      <w:r>
        <w:rPr>
          <w:rFonts w:ascii="Georgia" w:hAnsi="Georgia" w:eastAsia="Georgia"/>
          <w:b/>
          <w:i w:val="0"/>
          <w:color w:val="2E5C4E"/>
          <w:sz w:val="25"/>
        </w:rPr>
        <w:t>E13 Lloyd's Underwriters</w:t>
      </w:r>
      <w:bookmarkEnd w:id="108"/>
    </w:p>
    <w:p>
      <w:r>
        <w:rPr>
          <w:b w:val="0"/>
          <w:i w:val="0"/>
        </w:rPr>
        <w:t>This policy is underwritten by the Lloyd's underwriters named in the schedule. Each underwriter is liable only for its own share, and not for the share of any other underwriter.</w:t>
      </w:r>
    </w:p>
    <w:p>
      <w:r>
        <w:rPr>
          <w:b w:val="0"/>
          <w:i w:val="0"/>
        </w:rPr>
        <w:t xml:space="preserve">The underwriters agree that any dispute about this policy may be heard by a court of competent jurisdiction in Australia, and that the Lloyd's General Representative in Australia named in the schedule may accept service of process for them. Complaints may also be made to Lloyd's Australia at the details shown in the schedule, as well as under </w:t>
      </w:r>
      <w:hyperlink w:anchor="c_gpa_cond_disputes_and_complaints">
        <w:r>
          <w:rPr>
            <w:color w:val="2E5C4E"/>
            <w:u w:val="single"/>
          </w:rPr>
          <w:t xml:space="preserve">the Complaints and Disputes condition</w:t>
        </w:r>
      </w:hyperlink>
      <w:r>
        <w:rPr>
          <w:b w:val="0"/>
          <w:i w:val="0"/>
        </w:rPr>
        <w:t>.</w:t>
      </w:r>
    </w:p>
    <w:p>
      <w:r>
        <w:rPr>
          <w:b w:val="0"/>
          <w:i w:val="0"/>
        </w:rPr>
        <w:t>Schedule variables: underwriters and their shares; Lloyd's General Representative; Lloyd's complaints contact.</w:t>
      </w:r>
    </w:p>
    <w:p>
      <w:bookmarkStart w:id="109" w:name="c_gpa_end_e14"/>
      <w:r>
        <w:rPr>
          <w:rFonts w:ascii="Georgia" w:hAnsi="Georgia" w:eastAsia="Georgia"/>
          <w:b/>
          <w:i w:val="0"/>
          <w:color w:val="2E5C4E"/>
          <w:sz w:val="25"/>
        </w:rPr>
        <w:t>E14 Enterprise Agreement Terms</w:t>
      </w:r>
      <w:bookmarkEnd w:id="109"/>
    </w:p>
    <w:p>
      <w:r>
        <w:rPr>
          <w:b w:val="0"/>
          <w:i w:val="0"/>
        </w:rPr>
        <w:t>For the categories named in the schedule for this endorsement, the benefits shown in the schedule are those an enterprise agreement or award requires the policyholder to provide. Where a term of this policy gives less than the agreement requires for those benefits, the agreement's term applies to the extent shown in the schedule. This endorsement does not make us a party to the agreement.</w:t>
      </w:r>
    </w:p>
    <w:p>
      <w:r>
        <w:rPr>
          <w:b w:val="0"/>
          <w:i w:val="0"/>
        </w:rPr>
        <w:t>Schedule variables: categories; agreement name and clause; the terms that apply.</w:t>
      </w:r>
    </w:p>
    <w:p>
      <w:bookmarkStart w:id="110" w:name="c_gpa_end_e15"/>
      <w:r>
        <w:rPr>
          <w:rFonts w:ascii="Georgia" w:hAnsi="Georgia" w:eastAsia="Georgia"/>
          <w:b/>
          <w:i w:val="0"/>
          <w:color w:val="2E5C4E"/>
          <w:sz w:val="25"/>
        </w:rPr>
        <w:t>E15 Students</w:t>
      </w:r>
      <w:bookmarkEnd w:id="110"/>
    </w:p>
    <w:p>
      <w:r>
        <w:rPr>
          <w:b w:val="0"/>
          <w:i w:val="0"/>
        </w:rPr>
        <w:t>The category named in the schedule for this endorsement covers enrolled students of the policyholder. For them:</w:t>
      </w:r>
    </w:p>
    <w:p>
      <w:pPr>
        <w:pStyle w:val="ListBullet"/>
      </w:pPr>
      <w:r>
        <w:rPr>
          <w:b w:val="0"/>
          <w:i w:val="0"/>
        </w:rPr>
        <w:t>the scope of cover is the scope shown for this endorsement: 24 hours a day, or school activities only (while at the school, at activities it organises, and while travelling directly to and from them);</w:t>
      </w:r>
    </w:p>
    <w:p>
      <w:pPr>
        <w:pStyle w:val="ListBullet"/>
      </w:pPr>
      <w:r>
        <w:rPr>
          <w:b w:val="0"/>
          <w:i w:val="0"/>
        </w:rPr>
        <w:t>weekly sickness benefits do not apply, and weekly injury benefits do not apply unless the schedule shows them;</w:t>
      </w:r>
    </w:p>
    <w:p>
      <w:pPr>
        <w:pStyle w:val="ListBullet"/>
      </w:pPr>
      <w:r>
        <w:rPr>
          <w:b w:val="0"/>
          <w:i w:val="0"/>
        </w:rPr>
        <w:t>the capital sum for a student under 18 is the reduced amount shown for this endorsement; and</w:t>
      </w:r>
    </w:p>
    <w:p>
      <w:pPr>
        <w:pStyle w:val="ListBullet"/>
      </w:pPr>
      <w:r>
        <w:rPr>
          <w:b w:val="0"/>
          <w:i w:val="0"/>
        </w:rPr>
        <w:t xml:space="preserve">the non-Medicare medical expenses benefit applies, as </w:t>
      </w:r>
      <w:hyperlink w:anchor="c_gpa_ext_non_medicare_medical">
        <w:r>
          <w:rPr>
            <w:color w:val="2E5C4E"/>
            <w:u w:val="single"/>
          </w:rPr>
          <w:t xml:space="preserve">the Non-Medicare Medical Expenses extension</w:t>
        </w:r>
      </w:hyperlink>
      <w:r>
        <w:rPr>
          <w:b w:val="0"/>
          <w:i w:val="0"/>
        </w:rPr>
        <w:t xml:space="preserve"> and </w:t>
      </w:r>
      <w:hyperlink w:anchor="c_gpa_pay_medicare">
        <w:r>
          <w:rPr>
            <w:color w:val="2E5C4E"/>
            <w:u w:val="single"/>
          </w:rPr>
          <w:t xml:space="preserve">the What the Law Does Not Allow Us to Pay provision</w:t>
        </w:r>
      </w:hyperlink>
      <w:r>
        <w:rPr>
          <w:b w:val="0"/>
          <w:i w:val="0"/>
        </w:rPr>
        <w:t xml:space="preserve"> allow.</w:t>
      </w:r>
    </w:p>
    <w:p>
      <w:r>
        <w:rPr>
          <w:b w:val="0"/>
          <w:i w:val="0"/>
        </w:rPr>
        <w:t>The premium for this category is a rate per enrolled student.</w:t>
      </w:r>
    </w:p>
    <w:p>
      <w:r>
        <w:rPr>
          <w:b w:val="0"/>
          <w:i w:val="0"/>
        </w:rPr>
        <w:t>Schedule variables: number of enrolled students (or the declaration basis); scope; capital sum; reduced capital sum for those under 18 (default $50,000).</w:t>
      </w:r>
    </w:p>
    <w:p>
      <w:bookmarkStart w:id="111" w:name="c_gpa_end_e16"/>
      <w:r>
        <w:rPr>
          <w:rFonts w:ascii="Georgia" w:hAnsi="Georgia" w:eastAsia="Georgia"/>
          <w:b/>
          <w:i w:val="0"/>
          <w:color w:val="2E5C4E"/>
          <w:sz w:val="25"/>
        </w:rPr>
        <w:t>E16 Specific Condition Exclusion</w:t>
      </w:r>
      <w:bookmarkEnd w:id="111"/>
    </w:p>
    <w:p>
      <w:r>
        <w:rPr>
          <w:b w:val="0"/>
          <w:i w:val="0"/>
        </w:rPr>
        <w:t>We do not pay any benefit to the covered person named in the schedule for this endorsement for disablement or an event caused by, or contributed to by, the condition named, or by any complication of it.</w:t>
      </w:r>
    </w:p>
    <w:p>
      <w:r>
        <w:rPr>
          <w:b w:val="0"/>
          <w:i w:val="0"/>
        </w:rPr>
        <w:t>Schedule variables: covered person; named condition; any period after which this endorsement stops applying.</w:t>
      </w:r>
    </w:p>
    <w:p>
      <w:bookmarkStart w:id="112" w:name="c_gpa_licence_notice"/>
      <w:r>
        <w:rPr>
          <w:rFonts w:ascii="Georgia" w:hAnsi="Georgia" w:eastAsia="Georgia"/>
          <w:b/>
          <w:i w:val="0"/>
          <w:color w:val="1C1915"/>
          <w:sz w:val="32"/>
        </w:rPr>
        <w:t>Licence and Trademark Notice</w:t>
      </w:r>
      <w:bookmarkEnd w:id="112"/>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insurer's own schedule, proposal,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insurers and their advisers are responsible for obtaining their own legal, regulatory, and reinsurance advice before use, including on whether a Product Disclosure Statement and Target Market Determination are required. Use of this wording requires the approval of the relevant capacity provider. Any Wording Partner review and sign-off letter issued in respect of this wording runs to Cuttleflow Pty Ltd t/a Cuttleflow Systems only and does not constitute legal advice to any adopting insurer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Commons release of the Meridian Group Personal Accident and Sickness wording. It replaces Meridian Group Personal Accident and Sickness Policy Wording v1.0.0 (July 2026), which was published outside the Commons. It is built from the Commons individual wording, Meridian Personal Accident and Sickness 2026/PA/0001, so that the two share their definitions, Table of Events, additional benefits, exclusions and conditions. Clauses that differ between the two are listed below. Changes from the July 2026 group wording:</w:t>
      </w:r>
    </w:p>
    <w:p>
      <w:pPr>
        <w:pStyle w:val="ListBullet"/>
      </w:pPr>
      <w:r>
        <w:rPr>
          <w:b w:val="0"/>
          <w:i w:val="0"/>
        </w:rPr>
        <w:t>Everything the individual wording changed from the July 2026 group wording applies here too: the 18-event Table of Events, the 12-month window for capital events, the income-based weekly benefit (default 85%), one waiting period and one benefit period, the s.47-aligned pre-existing condition definition, the new exclusions, the 26-week mental illness limit, the age limits, the accumulation limit, the Insurance Contracts Act savings clause, and the CC BY 4.0 licence.</w:t>
      </w:r>
    </w:p>
    <w:p>
      <w:pPr>
        <w:pStyle w:val="ListBullet"/>
      </w:pPr>
      <w:r>
        <w:rPr>
          <w:b w:val="0"/>
          <w:i w:val="0"/>
        </w:rPr>
        <w:t>"You" means a covered person. The policyholder is a defined party and the only party to the contract. A new Covered Persons' Rights condition states the s.48 right to claim directly.</w:t>
      </w:r>
    </w:p>
    <w:p>
      <w:pPr>
        <w:pStyle w:val="ListBullet"/>
      </w:pPr>
      <w:r>
        <w:rPr>
          <w:b w:val="0"/>
          <w:i w:val="0"/>
        </w:rPr>
        <w:t>New definitions: Category, Covered Person and Policyholder. Capital Sum may be a multiple of annual income. Scope of Cover adds occupational and non-occupational options for each category. Insured Person is removed.</w:t>
      </w:r>
    </w:p>
    <w:p>
      <w:pPr>
        <w:pStyle w:val="ListBullet"/>
      </w:pPr>
      <w:r>
        <w:rPr>
          <w:b w:val="0"/>
          <w:i w:val="0"/>
        </w:rPr>
        <w:t>Important Information addresses the policyholder's duty (s.20B or s.21), says how a covered person's claim can be affected under s.48, and requires the policyholder to give covered persons a copy of the wording.</w:t>
      </w:r>
    </w:p>
    <w:p>
      <w:pPr>
        <w:pStyle w:val="ListBullet"/>
      </w:pPr>
      <w:r>
        <w:rPr>
          <w:b w:val="0"/>
          <w:i w:val="0"/>
        </w:rPr>
        <w:t>Pre-existing conditions are measured from when a person first becomes a covered person, without individual acceptance. The 24-month continuous cover waiver counts the policyholder's previous group policy with any insurer. The first-30-days sickness exclusion does not apply to people transferring from that policy.</w:t>
      </w:r>
    </w:p>
    <w:p>
      <w:pPr>
        <w:pStyle w:val="ListBullet"/>
      </w:pPr>
      <w:r>
        <w:rPr>
          <w:b w:val="0"/>
          <w:i w:val="0"/>
        </w:rPr>
        <w:t>New group conditions: automatic cover for new covered persons up to a free cover limit (default $1,000,000 capital sum and $3,000 a week), declarations and premium adjustment, and notices through the policyholder.</w:t>
      </w:r>
    </w:p>
    <w:p>
      <w:pPr>
        <w:pStyle w:val="ListBullet"/>
      </w:pPr>
      <w:r>
        <w:rPr>
          <w:b w:val="0"/>
          <w:i w:val="0"/>
        </w:rPr>
        <w:t>New Aggregate Limits clause: any one occurrence (default $10,000,000), non-scheduled air travel (default $2,000,000) and policy period (default $20,000,000), with proportional reduction.</w:t>
      </w:r>
    </w:p>
    <w:p>
      <w:pPr>
        <w:pStyle w:val="ListBullet"/>
      </w:pPr>
      <w:r>
        <w:rPr>
          <w:b w:val="0"/>
          <w:i w:val="0"/>
        </w:rPr>
        <w:t>New Policyholder's Records obligation. Telling us about changes covers occupation class mix (more than 10%), headcount (more than 25%) and concentrations of covered persons.</w:t>
      </w:r>
    </w:p>
    <w:p>
      <w:pPr>
        <w:pStyle w:val="ListBullet"/>
      </w:pPr>
      <w:r>
        <w:rPr>
          <w:b w:val="0"/>
          <w:i w:val="0"/>
        </w:rPr>
        <w:t>Who We Pay allows the weekly benefit to be paid to the policyholder where it continued to pay the covered person, with the covered person's consent.</w:t>
      </w:r>
    </w:p>
    <w:p>
      <w:pPr>
        <w:pStyle w:val="ListBullet"/>
      </w:pPr>
      <w:r>
        <w:rPr>
          <w:b w:val="0"/>
          <w:i w:val="0"/>
        </w:rPr>
        <w:t>The endorsement library has 16 group endorsements: voluntary workers (with domestic help for those without income), journey cover, sports teams, overseas secondment, named hazardous pursuits, fly-in fly-out, extended benefit period, corporate travel interface, weekly benefits to age 70, passive war zones, workers compensation top-up, key persons, Lloyd's, enterprise agreement terms, students, and a specific condition exclusion. The individual endorsements for agreed value, business expenses and a single insured's circumstances are not carried over.</w:t>
      </w:r>
    </w:p>
    <w:p>
      <w:r>
        <w:rPr>
          <w:b w:val="0"/>
          <w:i/>
          <w:sz w:val="18"/>
        </w:rPr>
        <w:t>Cuttleflow Systems — Open Source Insurance Wording</w:t>
      </w:r>
    </w:p>
    <w:p>
      <w:r>
        <w:rPr>
          <w:rFonts w:ascii="Consolas" w:hAnsi="Consolas" w:eastAsia="Consolas"/>
          <w:b w:val="0"/>
          <w:i w:val="0"/>
          <w:sz w:val="16"/>
        </w:rPr>
        <w:t>2026/GPA/0001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2026/GPA/0001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GROUP PERSONAL ACCIDENT AND SICKNESS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Personal Accident and Sickness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