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REAL ESTATE AND STRATA</w:t>
      </w:r>
    </w:p>
    <w:p>
      <w:r>
        <w:rPr>
          <w:rFonts w:ascii="Georgia" w:hAnsi="Georgia" w:eastAsia="Georgia"/>
          <w:b/>
          <w:i w:val="0"/>
          <w:sz w:val="60"/>
        </w:rPr>
        <w:t>Real Estate and Strata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2026/PI/0007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Real Estate and Strata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 or commission:</w:t>
      </w:r>
    </w:p>
    <w:p>
      <w:r>
        <w:rPr>
          <w:b w:val="0"/>
          <w:i w:val="0"/>
        </w:rPr>
        <w:t>(a) the sale, purchase, leasing and management of real property, including residential, commercial, industrial and rural property;</w:t>
      </w:r>
    </w:p>
    <w:p>
      <w:r>
        <w:rPr>
          <w:b w:val="0"/>
          <w:i w:val="0"/>
        </w:rPr>
        <w:t>(b) the management of strata and community schemes, including acting as strata managing agent;</w:t>
      </w:r>
    </w:p>
    <w:p>
      <w:r>
        <w:rPr>
          <w:b w:val="0"/>
          <w:i w:val="0"/>
        </w:rPr>
        <w:t>(c) stock and station agency, including the sale of livestock and rural property;</w:t>
      </w:r>
    </w:p>
    <w:p>
      <w:r>
        <w:rPr>
          <w:b w:val="0"/>
          <w:i w:val="0"/>
        </w:rPr>
        <w:t>(d) auctioneering;</w:t>
      </w:r>
    </w:p>
    <w:p>
      <w:r>
        <w:rPr>
          <w:b w:val="0"/>
          <w:i w:val="0"/>
        </w:rPr>
        <w:t>(e) arranging general insurance as an authorised representative, where shown in the schedule; and</w:t>
      </w:r>
    </w:p>
    <w:p>
      <w:r>
        <w:rPr>
          <w:b w:val="0"/>
          <w:i w:val="0"/>
        </w:rPr>
        <w:t>(f) any other service shown in the schedule as a professional service.</w:t>
      </w:r>
    </w:p>
    <w:p>
      <w:r>
        <w:rPr>
          <w:b w:val="0"/>
          <w:i w:val="0"/>
        </w:rPr>
        <w:t>Appraisals and market assessments of the likely selling price or rent of a property are part of these services.</w:t>
      </w:r>
    </w:p>
    <w:p>
      <w:bookmarkStart w:id="2" w:name="c_end_1"/>
      <w:r>
        <w:rPr>
          <w:rFonts w:ascii="Georgia" w:hAnsi="Georgia" w:eastAsia="Georgia"/>
          <w:b/>
          <w:i w:val="0"/>
          <w:color w:val="1C1915"/>
          <w:sz w:val="32"/>
        </w:rPr>
        <w:t>Added: Dishonesty of Employees and Agents</w:t>
      </w:r>
      <w:bookmarkEnd w:id="2"/>
    </w:p>
    <w:p>
      <w:r>
        <w:rPr>
          <w:b w:val="0"/>
          <w:i w:val="0"/>
        </w:rPr>
        <w:t>The following extension is added to the base wording, after the First-Party Dishonesty extension.</w:t>
      </w:r>
    </w:p>
    <w:p>
      <w:r>
        <w:rPr>
          <w:b/>
          <w:i w:val="0"/>
        </w:rPr>
        <w:t>Dishonesty of Employees and Agents</w:t>
      </w:r>
    </w:p>
    <w:p>
      <w:r>
        <w:rPr>
          <w:b w:val="0"/>
          <w:i w:val="0"/>
        </w:rPr>
        <w:t xml:space="preserve">The cover for dishonesty of your employees under </w:t>
      </w:r>
      <w:hyperlink w:anchor="c_pi_cover_claims_against_you">
        <w:r>
          <w:rPr>
            <w:color w:val="2E5C4E"/>
            <w:u w:val="single"/>
          </w:rPr>
          <w:t xml:space="preserve">the Claims Against You clause</w:t>
        </w:r>
      </w:hyperlink>
      <w:r>
        <w:rPr>
          <w:b w:val="0"/>
          <w:i w:val="0"/>
        </w:rPr>
        <w:t xml:space="preserve"> also applies to the dishonest or fraudulent conduct of your agents, including contractors, sub-agents and assistant agents acting on your behalf, where you are legally liable for that conduct to a claimant who did not take part in it.</w:t>
      </w:r>
    </w:p>
    <w:p>
      <w:r>
        <w:rPr>
          <w:b w:val="0"/>
          <w:i w:val="0"/>
        </w:rPr>
        <w:t xml:space="preserve">This extension does not apply to conduct described in </w:t>
      </w:r>
      <w:hyperlink w:anchor="c_pi_re_excl_trust_money_taken_by_princi">
        <w:r>
          <w:rPr>
            <w:color w:val="2E5C4E"/>
            <w:u w:val="single"/>
          </w:rPr>
          <w:t xml:space="preserve">the Trust Money Taken by Principals exclusion</w:t>
        </w:r>
      </w:hyperlink>
      <w:r>
        <w:rPr>
          <w:b w:val="0"/>
          <w:i w:val="0"/>
        </w:rPr>
        <w:t>.</w:t>
      </w:r>
    </w:p>
    <w:p>
      <w:bookmarkStart w:id="3" w:name="c_end_2"/>
      <w:r>
        <w:rPr>
          <w:rFonts w:ascii="Georgia" w:hAnsi="Georgia" w:eastAsia="Georgia"/>
          <w:b/>
          <w:i w:val="0"/>
          <w:color w:val="1C1915"/>
          <w:sz w:val="32"/>
        </w:rPr>
        <w:t>Added: Franchisor's Indemnity</w:t>
      </w:r>
      <w:bookmarkEnd w:id="3"/>
    </w:p>
    <w:p>
      <w:r>
        <w:rPr>
          <w:b w:val="0"/>
          <w:i w:val="0"/>
        </w:rPr>
        <w:t>The following extension is added to the base wording, after the Predecessor Practices extension.</w:t>
      </w:r>
    </w:p>
    <w:p>
      <w:r>
        <w:rPr>
          <w:b/>
          <w:i w:val="0"/>
        </w:rPr>
        <w:t>Franchisor's Indemnity</w:t>
      </w:r>
    </w:p>
    <w:p>
      <w:r>
        <w:rPr>
          <w:b w:val="0"/>
          <w:i w:val="0"/>
        </w:rPr>
        <w:t>If you operate under a franchise agreement that requires you to insure the franchisor, and the franchisor is named in the schedule, we will cover the franchisor for a claim against it arising from your professional services, as if the franchisor were an insured.</w:t>
      </w:r>
    </w:p>
    <w:p>
      <w:r>
        <w:rPr>
          <w:b w:val="0"/>
          <w:i w:val="0"/>
        </w:rPr>
        <w:t>This extension covers the franchisor only for its liability for your acts, errors or omissions, and not for its own conduct.</w:t>
      </w:r>
    </w:p>
    <w:p>
      <w:bookmarkStart w:id="4" w:name="c_end_3"/>
      <w:r>
        <w:rPr>
          <w:rFonts w:ascii="Georgia" w:hAnsi="Georgia" w:eastAsia="Georgia"/>
          <w:b/>
          <w:i w:val="0"/>
          <w:color w:val="1C1915"/>
          <w:sz w:val="32"/>
        </w:rPr>
        <w:t>Added: Rent Roll Acquisitions</w:t>
      </w:r>
      <w:bookmarkEnd w:id="4"/>
    </w:p>
    <w:p>
      <w:r>
        <w:rPr>
          <w:b w:val="0"/>
          <w:i w:val="0"/>
        </w:rPr>
        <w:t>The following extension is added to the base wording, after the Franchisor's Indemnity extension.</w:t>
      </w:r>
    </w:p>
    <w:p>
      <w:r>
        <w:rPr>
          <w:b/>
          <w:i w:val="0"/>
        </w:rPr>
        <w:t>Rent Roll Acquisitions</w:t>
      </w:r>
    </w:p>
    <w:p>
      <w:r>
        <w:rPr>
          <w:b w:val="0"/>
          <w:i w:val="0"/>
        </w:rPr>
        <w:t>If you acquire a rent roll or strata management rights, we will cover you for a claim arising from the management of a property in that rent roll or scheme before you acquired it, to the extent that you are legally liable for it as the successor to the vendor, if:</w:t>
      </w:r>
    </w:p>
    <w:p>
      <w:r>
        <w:rPr>
          <w:b w:val="0"/>
          <w:i w:val="0"/>
        </w:rPr>
        <w:t>(a) you told us about the acquisition in your proposal or within 30 days after it; and</w:t>
      </w:r>
    </w:p>
    <w:p>
      <w:r>
        <w:rPr>
          <w:b w:val="0"/>
          <w:i w:val="0"/>
        </w:rPr>
        <w:t>(b) no other insurance responds to the claim.</w:t>
      </w:r>
    </w:p>
    <w:p>
      <w:bookmarkStart w:id="5" w:name="c_end_4"/>
      <w:r>
        <w:rPr>
          <w:rFonts w:ascii="Georgia" w:hAnsi="Georgia" w:eastAsia="Georgia"/>
          <w:b/>
          <w:i w:val="0"/>
          <w:color w:val="1C1915"/>
          <w:sz w:val="32"/>
        </w:rPr>
        <w:t>Added: Tribunal Proceedings</w:t>
      </w:r>
      <w:bookmarkEnd w:id="5"/>
    </w:p>
    <w:p>
      <w:r>
        <w:rPr>
          <w:b w:val="0"/>
          <w:i w:val="0"/>
        </w:rPr>
        <w:t>The following extension is added to the base wording, after the Rent Roll Acquisitions extension.</w:t>
      </w:r>
    </w:p>
    <w:p>
      <w:r>
        <w:rPr>
          <w:b/>
          <w:i w:val="0"/>
        </w:rPr>
        <w:t>Tribunal Proceedings</w:t>
      </w:r>
    </w:p>
    <w:p>
      <w:r>
        <w:rPr>
          <w:b w:val="0"/>
          <w:i w:val="0"/>
        </w:rPr>
        <w:t xml:space="preserve">An application to a civil and administrative tribunal of a state or territory seeking compensation from you, or an order that you pay money, is a claim within paragraph (b) of </w:t>
      </w:r>
      <w:hyperlink w:anchor="c_pi_def_claim">
        <w:r>
          <w:rPr>
            <w:color w:val="2E5C4E"/>
            <w:u w:val="single"/>
          </w:rPr>
          <w:t xml:space="preserve">the definition of Claim</w:t>
        </w:r>
      </w:hyperlink>
      <w:r>
        <w:rPr>
          <w:b w:val="0"/>
          <w:i w:val="0"/>
        </w:rPr>
        <w:t>.</w:t>
      </w:r>
    </w:p>
    <w:p>
      <w:bookmarkStart w:id="6" w:name="c_end_5"/>
      <w:r>
        <w:rPr>
          <w:rFonts w:ascii="Georgia" w:hAnsi="Georgia" w:eastAsia="Georgia"/>
          <w:b/>
          <w:i w:val="0"/>
          <w:color w:val="1C1915"/>
          <w:sz w:val="32"/>
        </w:rPr>
        <w:t>Added: Formal Valuations</w:t>
      </w:r>
      <w:bookmarkEnd w:id="6"/>
    </w:p>
    <w:p>
      <w:r>
        <w:rPr>
          <w:b w:val="0"/>
          <w:i w:val="0"/>
        </w:rPr>
        <w:t>The following exclusion is added to the base wording, after the Contractual Liability exclusion.</w:t>
      </w:r>
    </w:p>
    <w:p>
      <w:r>
        <w:rPr>
          <w:b/>
          <w:i w:val="0"/>
        </w:rPr>
        <w:t>Formal Valuations</w:t>
      </w:r>
    </w:p>
    <w:p>
      <w:r>
        <w:rPr>
          <w:b w:val="0"/>
          <w:i w:val="0"/>
        </w:rPr>
        <w:t>Arising from a formal valuation of real property, unless the valuation was prepared by a person registered or certified as a valuer where the law requires it, and is shown in the schedule as a professional service.</w:t>
      </w:r>
    </w:p>
    <w:p>
      <w:r>
        <w:rPr>
          <w:b w:val="0"/>
          <w:i w:val="0"/>
        </w:rPr>
        <w:t>This exclusion does not apply to an appraisal or market assessment of the likely selling price or rent of a property.</w:t>
      </w:r>
    </w:p>
    <w:p>
      <w:bookmarkStart w:id="7" w:name="c_end_6"/>
      <w:r>
        <w:rPr>
          <w:rFonts w:ascii="Georgia" w:hAnsi="Georgia" w:eastAsia="Georgia"/>
          <w:b/>
          <w:i w:val="0"/>
          <w:color w:val="1C1915"/>
          <w:sz w:val="32"/>
        </w:rPr>
        <w:t>Added: Trust Money Taken by Principals</w:t>
      </w:r>
      <w:bookmarkEnd w:id="7"/>
    </w:p>
    <w:p>
      <w:r>
        <w:rPr>
          <w:b w:val="0"/>
          <w:i w:val="0"/>
        </w:rPr>
        <w:t>The following exclusion is added to the base wording, after the Deliberate and Dishonest Acts exclusion.</w:t>
      </w:r>
    </w:p>
    <w:p>
      <w:r>
        <w:rPr>
          <w:b/>
          <w:i w:val="0"/>
        </w:rPr>
        <w:t>Trust Money Taken by Principals</w:t>
      </w:r>
    </w:p>
    <w:p>
      <w:r>
        <w:rPr>
          <w:b w:val="0"/>
          <w:i w:val="0"/>
        </w:rPr>
        <w:t>For money held in trust that is misappropriated by a principal, director or licensee in charge of your business, or with their knowledge.</w:t>
      </w:r>
    </w:p>
    <w:p>
      <w:r>
        <w:rPr>
          <w:b w:val="0"/>
          <w:i w:val="0"/>
        </w:rPr>
        <w:t>This exclusion does not apply to an insured person who did not commit, condone or know of the misappropriation.</w:t>
      </w:r>
    </w:p>
    <w:p>
      <w:bookmarkStart w:id="8" w:name="c_end_7"/>
      <w:r>
        <w:rPr>
          <w:rFonts w:ascii="Georgia" w:hAnsi="Georgia" w:eastAsia="Georgia"/>
          <w:b/>
          <w:i w:val="0"/>
          <w:color w:val="1C1915"/>
          <w:sz w:val="32"/>
        </w:rPr>
        <w:t>Real Estate and Strata Endorsements</w:t>
      </w:r>
      <w:bookmarkEnd w:id="8"/>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9" w:name="c_end_8"/>
      <w:r>
        <w:rPr>
          <w:rFonts w:ascii="Georgia" w:hAnsi="Georgia" w:eastAsia="Georgia"/>
          <w:b/>
          <w:i w:val="0"/>
          <w:color w:val="1C1915"/>
          <w:sz w:val="32"/>
        </w:rPr>
        <w:t>Payment Redirection</w:t>
      </w:r>
      <w:bookmarkEnd w:id="9"/>
    </w:p>
    <w:p>
      <w:r>
        <w:rPr>
          <w:b w:val="0"/>
          <w:i w:val="0"/>
        </w:rPr>
        <w:t xml:space="preserve">Despite </w:t>
      </w:r>
      <w:hyperlink w:anchor="c_pi_excl_cyber_event">
        <w:r>
          <w:rPr>
            <w:color w:val="2E5C4E"/>
            <w:u w:val="single"/>
          </w:rPr>
          <w:t xml:space="preserve">the Cyber Event exclusion</w:t>
        </w:r>
      </w:hyperlink>
      <w:r>
        <w:rPr>
          <w:b w:val="0"/>
          <w:i w:val="0"/>
        </w:rPr>
        <w:t>, we will pay:</w:t>
      </w:r>
    </w:p>
    <w:p>
      <w:r>
        <w:rPr>
          <w:b w:val="0"/>
          <w:i w:val="0"/>
        </w:rPr>
        <w:t>(a) your liability to a client or other party; and</w:t>
      </w:r>
    </w:p>
    <w:p>
      <w:r>
        <w:rPr>
          <w:b w:val="0"/>
          <w:i w:val="0"/>
        </w:rPr>
        <w:t>(b) your direct loss of money held in trust,</w:t>
      </w:r>
    </w:p>
    <w:p>
      <w:r>
        <w:rPr>
          <w:b w:val="0"/>
          <w:i w:val="0"/>
        </w:rPr>
        <w:t>where money you hold or control is paid to a third party because of a fraudulent instruction that appears to come from a client, a party to a transaction, or a supplier.</w:t>
      </w:r>
    </w:p>
    <w:p>
      <w:r>
        <w:rPr>
          <w:b w:val="0"/>
          <w:i w:val="0"/>
        </w:rPr>
        <w:t>We pay only if, before making the payment, you confirmed any new or changed payment details by calling the person who appeared to give the instruction on a telephone number that you already held and did not obtain from the instruction.</w:t>
      </w:r>
    </w:p>
    <w:p>
      <w:r>
        <w:rPr>
          <w:b w:val="0"/>
          <w:i w:val="0"/>
        </w:rPr>
        <w:t>The most we will pay for all losses under this endorsement in the policy period is the sub-limit shown in the schedule for this endorsement, which is part of the limit of liability.</w:t>
      </w:r>
    </w:p>
    <w:p>
      <w:bookmarkStart w:id="10" w:name="c_end_9"/>
      <w:r>
        <w:rPr>
          <w:rFonts w:ascii="Georgia" w:hAnsi="Georgia" w:eastAsia="Georgia"/>
          <w:b/>
          <w:i w:val="0"/>
          <w:color w:val="1C1915"/>
          <w:sz w:val="32"/>
        </w:rPr>
        <w:t>Commercial Property over $10 Million Exclusion</w:t>
      </w:r>
      <w:bookmarkEnd w:id="10"/>
    </w:p>
    <w:p>
      <w:r>
        <w:rPr>
          <w:b w:val="0"/>
          <w:i w:val="0"/>
        </w:rPr>
        <w:t>We do not cover any claim, loss or liability arising from services for a commercial or industrial property, or a portfolio of such properties in one transaction, with a value of more than $10,000,000.</w:t>
      </w:r>
    </w:p>
    <w:p>
      <w:bookmarkStart w:id="11" w:name="c_end_10"/>
      <w:r>
        <w:rPr>
          <w:rFonts w:ascii="Georgia" w:hAnsi="Georgia" w:eastAsia="Georgia"/>
          <w:b/>
          <w:i w:val="0"/>
          <w:color w:val="1C1915"/>
          <w:sz w:val="32"/>
        </w:rPr>
        <w:t>Strata Defects Advice Exclusion</w:t>
      </w:r>
      <w:bookmarkEnd w:id="11"/>
    </w:p>
    <w:p>
      <w:r>
        <w:rPr>
          <w:b w:val="0"/>
          <w:i w:val="0"/>
        </w:rPr>
        <w:t>We do not cover any claim, loss or liability arising from advice you give about building defects in a strata or community scheme, or about their rectification, other than passing on advice from a qualified building professional.</w:t>
      </w:r>
    </w:p>
    <w:p>
      <w:r>
        <w:rPr>
          <w:b w:val="0"/>
          <w:i w:val="0"/>
        </w:rPr>
        <w:t>This endorsement does not apply to a claim that you failed to notify the owners corporation of a defect, or to arrange an inspection, when your agreement required it.</w:t>
      </w:r>
    </w:p>
    <w:p>
      <w:bookmarkStart w:id="12" w:name="c_end_11"/>
      <w:r>
        <w:rPr>
          <w:rFonts w:ascii="Georgia" w:hAnsi="Georgia" w:eastAsia="Georgia"/>
          <w:b/>
          <w:i w:val="0"/>
          <w:color w:val="1C1915"/>
          <w:sz w:val="32"/>
        </w:rPr>
        <w:t>Business Broking</w:t>
      </w:r>
      <w:bookmarkEnd w:id="12"/>
    </w:p>
    <w:p>
      <w:r>
        <w:rPr>
          <w:b w:val="0"/>
          <w:i w:val="0"/>
        </w:rPr>
        <w:t>Business broking, which means acting as agent in the sale or purchase of a business, including any real property or lease included in the sale, is a professional service under this policy, if the person who provides it holds any licence the law requires.</w:t>
      </w:r>
    </w:p>
    <w:p>
      <w:bookmarkStart w:id="13" w:name="c_end_12"/>
      <w:r>
        <w:rPr>
          <w:rFonts w:ascii="Georgia" w:hAnsi="Georgia" w:eastAsia="Georgia"/>
          <w:b/>
          <w:i w:val="0"/>
          <w:color w:val="1C1915"/>
          <w:sz w:val="32"/>
        </w:rPr>
        <w:t>Off-the-Plan Sales Sub-limit</w:t>
      </w:r>
      <w:bookmarkEnd w:id="13"/>
    </w:p>
    <w:p>
      <w:r>
        <w:rPr>
          <w:b w:val="0"/>
          <w:i w:val="0"/>
        </w:rPr>
        <w:t>For all claims arising from the sale of property off the plan, the most we will pay in total, including defence costs, is the sub-limit shown in the schedule for this endorsement. The sub-limit is part of, and not in addition to, the limit of liability.</w:t>
      </w:r>
    </w:p>
    <w:p>
      <w:bookmarkStart w:id="14" w:name="c_end_13"/>
      <w:r>
        <w:rPr>
          <w:rFonts w:ascii="Georgia" w:hAnsi="Georgia" w:eastAsia="Georgia"/>
          <w:b/>
          <w:i w:val="0"/>
          <w:color w:val="1C1915"/>
          <w:sz w:val="32"/>
        </w:rPr>
        <w:t>Livestock Sales Injury and Damage Exclusion</w:t>
      </w:r>
      <w:bookmarkEnd w:id="14"/>
    </w:p>
    <w:p>
      <w:r>
        <w:rPr>
          <w:b w:val="0"/>
          <w:i w:val="0"/>
        </w:rPr>
        <w:t xml:space="preserve">Despite the exception in </w:t>
      </w:r>
      <w:hyperlink w:anchor="c_pi_excl_bodily_injury_and_property_dam">
        <w:r>
          <w:rPr>
            <w:color w:val="2E5C4E"/>
            <w:u w:val="single"/>
          </w:rPr>
          <w:t xml:space="preserve">the Bodily Injury and Property Damage exclusion</w:t>
        </w:r>
      </w:hyperlink>
      <w:r>
        <w:rPr>
          <w:b w:val="0"/>
          <w:i w:val="0"/>
        </w:rPr>
        <w:t>, we do not cover any claim for death, bodily injury or property damage caused by livestock at a sale, yard or property where you are conducting or preparing for a sale. This exposure is designed to be covered under a public liability policy.</w:t>
      </w:r>
    </w:p>
    <w:p>
      <w:r>
        <w:rPr>
          <w:b w:val="0"/>
          <w:i/>
          <w:sz w:val="18"/>
        </w:rPr>
        <w:t>Cuttleflow Systems — Open Source Insurance Wording</w:t>
      </w:r>
    </w:p>
    <w:p>
      <w:r>
        <w:rPr>
          <w:rFonts w:ascii="Consolas" w:hAnsi="Consolas" w:eastAsia="Consolas"/>
          <w:b w:val="0"/>
          <w:i w:val="0"/>
          <w:sz w:val="16"/>
        </w:rPr>
        <w:t>2026/PI/0007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2026/PI/0007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REAL ESTATE AND STRATA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and Strata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