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COMMERCIAL MOTOR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3.0.0-DRAFT · October 2026 · CC BY 4.0 (wording text only)</w:t>
      </w:r>
    </w:p>
    <w:p>
      <w:r>
        <w:rPr>
          <w:rFonts w:ascii="Consolas" w:hAnsi="Consolas" w:eastAsia="Consolas"/>
          <w:b w:val="0"/>
          <w:i w:val="0"/>
          <w:sz w:val="18"/>
        </w:rPr>
        <w:t>Document ref 2026/CMV/0001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mot_about"/>
      <w:r>
        <w:rPr>
          <w:rFonts w:ascii="Georgia" w:hAnsi="Georgia" w:eastAsia="Georgia"/>
          <w:b/>
          <w:i w:val="0"/>
          <w:color w:val="1C1915"/>
          <w:sz w:val="32"/>
        </w:rPr>
        <w:t>About This Policy</w:t>
      </w:r>
      <w:bookmarkEnd w:id="0"/>
    </w:p>
    <w:p>
      <w:r>
        <w:rPr>
          <w:b w:val="0"/>
          <w:i w:val="0"/>
        </w:rPr>
        <w:t>This Policy insures business motor vehicles, from a single vehicle to a fleet of any size. Each Insured vehicle is insured at one of three cover levels, shown for that vehicle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Cover level</w:t>
            </w:r>
          </w:p>
        </w:tc>
        <w:tc>
          <w:tcPr>
            <w:tcW w:type="dxa" w:w="4873"/>
          </w:tcPr>
          <w:p>
            <w:r/>
            <w:r>
              <w:rPr>
                <w:b w:val="0"/>
                <w:i w:val="0"/>
              </w:rPr>
              <w:t>What it includes</w:t>
            </w:r>
          </w:p>
        </w:tc>
      </w:tr>
      <w:tr>
        <w:tc>
          <w:tcPr>
            <w:tcW w:type="dxa" w:w="4873"/>
          </w:tcPr>
          <w:p>
            <w:r/>
            <w:r>
              <w:rPr>
                <w:b w:val="0"/>
                <w:i w:val="0"/>
              </w:rPr>
              <w:t>Comprehensive</w:t>
            </w:r>
          </w:p>
        </w:tc>
        <w:tc>
          <w:tcPr>
            <w:tcW w:type="dxa" w:w="4873"/>
          </w:tcPr>
          <w:p>
            <w:r/>
            <w:r>
              <w:rPr>
                <w:b w:val="0"/>
                <w:i w:val="0"/>
              </w:rPr>
              <w:t>Accidental loss or damage to the Insured vehicle from any cause not excluded, your legal liability for damage to other people's property, and supplementary bodily injury cover</w:t>
            </w:r>
          </w:p>
        </w:tc>
      </w:tr>
      <w:tr>
        <w:tc>
          <w:tcPr>
            <w:tcW w:type="dxa" w:w="4873"/>
          </w:tcPr>
          <w:p>
            <w:r/>
            <w:r>
              <w:rPr>
                <w:b w:val="0"/>
                <w:i w:val="0"/>
              </w:rPr>
              <w:t>Third party, fire and theft</w:t>
            </w:r>
          </w:p>
        </w:tc>
        <w:tc>
          <w:tcPr>
            <w:tcW w:type="dxa" w:w="4873"/>
          </w:tcPr>
          <w:p>
            <w:r/>
            <w:r>
              <w:rPr>
                <w:b w:val="0"/>
                <w:i w:val="0"/>
              </w:rPr>
              <w:t>Loss or damage to the Insured vehicle caused by fire or theft, your legal liability for damage to other people's property, and supplementary bodily injury cover</w:t>
            </w:r>
          </w:p>
        </w:tc>
      </w:tr>
      <w:tr>
        <w:tc>
          <w:tcPr>
            <w:tcW w:type="dxa" w:w="4873"/>
          </w:tcPr>
          <w:p>
            <w:r/>
            <w:r>
              <w:rPr>
                <w:b w:val="0"/>
                <w:i w:val="0"/>
              </w:rPr>
              <w:t>Third party only</w:t>
            </w:r>
          </w:p>
        </w:tc>
        <w:tc>
          <w:tcPr>
            <w:tcW w:type="dxa" w:w="4873"/>
          </w:tcPr>
          <w:p>
            <w:r/>
            <w:r>
              <w:rPr>
                <w:b w:val="0"/>
                <w:i w:val="0"/>
              </w:rPr>
              <w:t>Your legal liability for damage to other people's property, and supplementary bodily injury cover. There is no cover for loss of or damage to the Insured vehicle</w:t>
            </w:r>
          </w:p>
        </w:tc>
      </w:tr>
    </w:tbl>
    <w:p>
      <w:r>
        <w:rPr>
          <w:b w:val="0"/>
          <w:i w:val="0"/>
        </w:rPr>
        <w:t xml:space="preserve">The Policy is made up of this wording, the Schedule and any Endorsement. Where the Schedule and this wording differ, the Schedule applies. Words with special meanings are listed in </w:t>
      </w:r>
      <w:hyperlink w:anchor="c_mot_section_definitions">
        <w:r>
          <w:rPr>
            <w:color w:val="2E5C4E"/>
            <w:u w:val="single"/>
          </w:rPr>
          <w:t xml:space="preserve">the Definitions section</w:t>
        </w:r>
      </w:hyperlink>
      <w:r>
        <w:rPr>
          <w:b w:val="0"/>
          <w:i w:val="0"/>
        </w:rPr>
        <w:t xml:space="preserve">. </w:t>
      </w:r>
      <w:hyperlink w:anchor="c_mot_section_fleet">
        <w:r>
          <w:rPr>
            <w:color w:val="2E5C4E"/>
            <w:u w:val="single"/>
          </w:rPr>
          <w:t xml:space="preserve">the Fleet Provisions section</w:t>
        </w:r>
      </w:hyperlink>
      <w:r>
        <w:rPr>
          <w:b w:val="0"/>
          <w:i w:val="0"/>
        </w:rPr>
        <w:t xml:space="preserve"> applies only where the Schedule shows that the Policy is written on a Fleet basis.</w:t>
      </w:r>
    </w:p>
    <w:p>
      <w:bookmarkStart w:id="1" w:name="c_mot_who_this_is_for"/>
      <w:r>
        <w:rPr>
          <w:rFonts w:ascii="Georgia" w:hAnsi="Georgia" w:eastAsia="Georgia"/>
          <w:b/>
          <w:i w:val="0"/>
          <w:color w:val="1C1915"/>
          <w:sz w:val="32"/>
        </w:rPr>
        <w:t>Who This Policy Is For</w:t>
      </w:r>
      <w:bookmarkEnd w:id="1"/>
    </w:p>
    <w:p>
      <w:r>
        <w:rPr>
          <w:b w:val="0"/>
          <w:i w:val="0"/>
        </w:rPr>
        <w:t xml:space="preserve">This Policy is designed for businesses that own, lease or use motor vehicles for their business. It is not a consumer insurance contract: it is not entered into wholly or predominantly for personal, domestic or household purposes, and the duty of disclosure in </w:t>
      </w:r>
      <w:hyperlink w:anchor="c_mot_cond_duty_of_disclosure">
        <w:r>
          <w:rPr>
            <w:color w:val="2E5C4E"/>
            <w:u w:val="single"/>
          </w:rPr>
          <w:t xml:space="preserve">the Your Duty of Disclosure condition</w:t>
        </w:r>
      </w:hyperlink>
      <w:r>
        <w:rPr>
          <w:b w:val="0"/>
          <w:i w:val="0"/>
        </w:rPr>
        <w:t xml:space="preserve"> applies.</w:t>
      </w:r>
    </w:p>
    <w:p>
      <w:r>
        <w:rPr>
          <w:b w:val="0"/>
          <w:i w:val="0"/>
        </w:rPr>
        <w:t>This wording is designed for distribution to wholesale clients within the meaning of s 761G of the Corporations Act 2001 (Cth). A business that is a small business under s 761G may be a retail client for motor vehicle insurance. Where this Policy is issued to a retail client, the issuer must first give a Product Disclosure Statement, make a target market determination and meet the General Insurance Code of Practice. This wording is not a Product Disclosure Statement.</w:t>
      </w:r>
    </w:p>
    <w:p>
      <w:r>
        <w:rPr>
          <w:b w:val="0"/>
          <w:i w:val="0"/>
        </w:rPr>
        <w:t>Where the insured or one of the insureds is a natural person, the Policy may be a prescribed contract for motor vehicle insurance under the Insurance Contracts Act 1984 (Cth) and the Insurance Contracts Regulations 2017 (Cth). The issuer must then clearly inform the insured in writing, before the contract is entered into, of each way in which this Policy differs from standard cover. [WP REVIEW: list the departures from prescribed motor standard cover in this wording, and confirm whether a sole trader or partnership insuring vehicles of 2 tonnes carrying capacity or less is a prescribed contract.]</w:t>
      </w:r>
    </w:p>
    <w:p>
      <w:bookmarkStart w:id="2" w:name="c_mot_ctp_notice"/>
      <w:r>
        <w:rPr>
          <w:rFonts w:ascii="Georgia" w:hAnsi="Georgia" w:eastAsia="Georgia"/>
          <w:b/>
          <w:i w:val="0"/>
          <w:color w:val="1C1915"/>
          <w:sz w:val="32"/>
        </w:rPr>
        <w:t>Compulsory Third Party Insurance</w:t>
      </w:r>
      <w:bookmarkEnd w:id="2"/>
    </w:p>
    <w:p>
      <w:r>
        <w:rPr>
          <w:b w:val="0"/>
          <w:i w:val="0"/>
        </w:rPr>
        <w:t xml:space="preserve">This Policy is not compulsory third party (CTP) insurance. CTP is a separate statutory insurance, arranged through each State or Territory scheme, that covers liability for death or bodily injury caused by a motor vehicle. You must keep CTP, or registration that includes it, in force for every registrable Insured vehicle. </w:t>
      </w:r>
      <w:hyperlink w:anchor="c_mot_ext_supplementary_bodily_injury">
        <w:r>
          <w:rPr>
            <w:color w:val="2E5C4E"/>
            <w:u w:val="single"/>
          </w:rPr>
          <w:t xml:space="preserve">the Supplementary Bodily Injury extension</w:t>
        </w:r>
      </w:hyperlink>
      <w:r>
        <w:rPr>
          <w:b w:val="0"/>
          <w:i w:val="0"/>
        </w:rPr>
        <w:t xml:space="preserve"> gives limited cover only where no CTP or statutory scheme responds.</w:t>
      </w:r>
    </w:p>
    <w:p>
      <w:bookmarkStart w:id="3" w:name="c_mot_version_history"/>
      <w:r>
        <w:rPr>
          <w:rFonts w:ascii="Georgia" w:hAnsi="Georgia" w:eastAsia="Georgia"/>
          <w:b/>
          <w:i w:val="0"/>
          <w:color w:val="1C1915"/>
          <w:sz w:val="32"/>
        </w:rPr>
        <w:t>Version and Document History</w:t>
      </w:r>
      <w:bookmarkEnd w:id="3"/>
    </w:p>
    <w:p>
      <w:r>
        <w:rPr>
          <w:b w:val="0"/>
          <w:i w:val="0"/>
        </w:rPr>
        <w:t xml:space="preserve">This document is version-controlled. The version and date shown on the cover page and in the footer of each page govern this text. </w:t>
      </w:r>
      <w:hyperlink w:anchor="c_mot_cond_version_of_this_wording">
        <w:r>
          <w:rPr>
            <w:color w:val="2E5C4E"/>
            <w:u w:val="single"/>
          </w:rPr>
          <w:t xml:space="preserve">the Version of This Wording condition</w:t>
        </w:r>
      </w:hyperlink>
      <w:r>
        <w:rPr>
          <w:b w:val="0"/>
          <w:i w:val="0"/>
        </w:rPr>
        <w:t xml:space="preserve"> says which version applies to your Policy.</w:t>
      </w:r>
    </w:p>
    <w:p>
      <w:bookmarkStart w:id="4" w:name="c_mot_schedule"/>
      <w:r>
        <w:rPr>
          <w:rFonts w:ascii="Georgia" w:hAnsi="Georgia" w:eastAsia="Georgia"/>
          <w:b/>
          <w:i w:val="0"/>
          <w:color w:val="1C1915"/>
          <w:sz w:val="32"/>
        </w:rPr>
        <w:t>Schedule</w:t>
      </w:r>
      <w:bookmarkEnd w:id="4"/>
    </w:p>
    <w:p>
      <w:r>
        <w:rPr>
          <w:b w:val="0"/>
          <w:i w:val="0"/>
        </w:rPr>
        <w:t>(Completed separately for each policy. It contains your specific details.)</w:t>
      </w:r>
    </w:p>
    <w:p>
      <w:r>
        <w:rPr>
          <w:b w:val="0"/>
          <w:i w:val="0"/>
        </w:rPr>
        <w:t>The Schedule shows:</w:t>
      </w:r>
    </w:p>
    <w:p>
      <w:pPr>
        <w:pStyle w:val="ListBullet"/>
      </w:pPr>
      <w:r>
        <w:rPr>
          <w:b w:val="0"/>
          <w:i w:val="0"/>
        </w:rPr>
        <w:t>The named insured, ABN and contact details</w:t>
      </w:r>
    </w:p>
    <w:p>
      <w:pPr>
        <w:pStyle w:val="ListBullet"/>
      </w:pPr>
      <w:r>
        <w:rPr>
          <w:b w:val="0"/>
          <w:i w:val="0"/>
        </w:rPr>
        <w:t>The Period of Insurance</w:t>
      </w:r>
    </w:p>
    <w:p>
      <w:pPr>
        <w:pStyle w:val="ListBullet"/>
      </w:pPr>
      <w:r>
        <w:rPr>
          <w:b w:val="0"/>
          <w:i w:val="0"/>
        </w:rPr>
        <w:t>The vehicle schedule: for each Insured vehicle, its registration, make, model and year, vehicle type, Permitted use, garaging postcode, cover level, value basis and Sum insured, and any Excess or Endorsement that applies to that vehicle only</w:t>
      </w:r>
    </w:p>
    <w:p>
      <w:pPr>
        <w:pStyle w:val="ListBullet"/>
      </w:pPr>
      <w:r>
        <w:rPr>
          <w:b w:val="0"/>
          <w:i w:val="0"/>
        </w:rPr>
        <w:t>Whether the Policy is written on a Fleet basis and, if it is, the declaration basis and frequency</w:t>
      </w:r>
    </w:p>
    <w:p>
      <w:pPr>
        <w:pStyle w:val="ListBullet"/>
      </w:pPr>
      <w:r>
        <w:rPr>
          <w:b w:val="0"/>
          <w:i w:val="0"/>
        </w:rPr>
        <w:t>The driver basis: any authorised driver, or the named drivers</w:t>
      </w:r>
    </w:p>
    <w:p>
      <w:pPr>
        <w:pStyle w:val="ListBullet"/>
      </w:pPr>
      <w:r>
        <w:rPr>
          <w:b w:val="0"/>
          <w:i w:val="0"/>
        </w:rPr>
        <w:t>The third party property damage limit and the sub-limits for supplementary bodily injury and Dangerous goods</w:t>
      </w:r>
    </w:p>
    <w:p>
      <w:pPr>
        <w:pStyle w:val="ListBullet"/>
      </w:pPr>
      <w:r>
        <w:rPr>
          <w:b w:val="0"/>
          <w:i w:val="0"/>
        </w:rPr>
        <w:t>The Excesses</w:t>
      </w:r>
    </w:p>
    <w:p>
      <w:pPr>
        <w:pStyle w:val="ListBullet"/>
      </w:pPr>
      <w:r>
        <w:rPr>
          <w:b w:val="0"/>
          <w:i w:val="0"/>
        </w:rPr>
        <w:t xml:space="preserve">Sub-limits and other values that differ from the defaults in </w:t>
      </w:r>
      <w:hyperlink w:anchor="c_mot_appendix_default_schedule_values">
        <w:r>
          <w:rPr>
            <w:color w:val="2E5C4E"/>
            <w:u w:val="single"/>
          </w:rPr>
          <w:t xml:space="preserve">the Default Schedule Values</w:t>
        </w:r>
      </w:hyperlink>
    </w:p>
    <w:p>
      <w:pPr>
        <w:pStyle w:val="ListBullet"/>
      </w:pPr>
      <w:r>
        <w:rPr>
          <w:b w:val="0"/>
          <w:i w:val="0"/>
        </w:rPr>
        <w:t>The premium, with stamp duty, levies and GST</w:t>
      </w:r>
    </w:p>
    <w:p>
      <w:pPr>
        <w:pStyle w:val="ListBullet"/>
      </w:pPr>
      <w:r>
        <w:rPr>
          <w:b w:val="0"/>
          <w:i w:val="0"/>
        </w:rPr>
        <w:t xml:space="preserve">The State or Territory whose law governs this Policy (see </w:t>
      </w:r>
      <w:hyperlink w:anchor="c_mot_cond_governing_law_and_jurisdictio">
        <w:r>
          <w:rPr>
            <w:color w:val="2E5C4E"/>
            <w:u w:val="single"/>
          </w:rPr>
          <w:t xml:space="preserve">the Governing Law and Jurisdiction condition</w:t>
        </w:r>
      </w:hyperlink>
      <w:r>
        <w:rPr>
          <w:b w:val="0"/>
          <w:i w:val="0"/>
        </w:rPr>
        <w:t>)</w:t>
      </w:r>
    </w:p>
    <w:p>
      <w:pPr>
        <w:pStyle w:val="ListBullet"/>
      </w:pPr>
      <w:r>
        <w:rPr>
          <w:b w:val="0"/>
          <w:i w:val="0"/>
        </w:rPr>
        <w:t>The Endorsements that apply, by code, with their variables</w:t>
      </w:r>
    </w:p>
    <w:p>
      <w:pPr>
        <w:pStyle w:val="ListBullet"/>
      </w:pPr>
      <w:r>
        <w:rPr>
          <w:b w:val="0"/>
          <w:i w:val="0"/>
        </w:rPr>
        <w:t>Interested parties, such as financiers and lessors</w:t>
      </w:r>
    </w:p>
    <w:p>
      <w:bookmarkStart w:id="5" w:name="c_mot_section_definitions"/>
      <w:r>
        <w:rPr>
          <w:rFonts w:ascii="Georgia" w:hAnsi="Georgia" w:eastAsia="Georgia"/>
          <w:b/>
          <w:i w:val="0"/>
          <w:color w:val="1C1915"/>
          <w:sz w:val="32"/>
        </w:rPr>
        <w:t>Definitions</w:t>
      </w:r>
      <w:bookmarkEnd w:id="5"/>
    </w:p>
    <w:p>
      <w:r>
        <w:rPr>
          <w:b w:val="0"/>
          <w:i w:val="0"/>
        </w:rPr>
        <w:t>These words have the meanings below wherever they appear in this Policy, the Schedule or an Endorsement, with a capital letter. The singular includes the plural.</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6" w:name="c_mot_def_accidental_loss_or_damage"/>
            <w:r>
              <w:rPr>
                <w:b/>
                <w:i w:val="0"/>
              </w:rPr>
              <w:t>Accidental Loss or Damage</w:t>
            </w:r>
            <w:bookmarkEnd w:id="6"/>
          </w:p>
        </w:tc>
        <w:tc>
          <w:tcPr>
            <w:tcW w:type="dxa" w:w="6803"/>
          </w:tcPr>
          <w:p>
            <w:r>
              <w:rPr>
                <w:b w:val="0"/>
                <w:i w:val="0"/>
              </w:rPr>
              <w:t>Sudden, unintended and unexpected physical loss or damage. It does not include deliberate damage or gradual deterioration.</w:t>
            </w:r>
          </w:p>
        </w:tc>
      </w:tr>
      <w:tr>
        <w:tc>
          <w:tcPr>
            <w:tcW w:type="dxa" w:w="2608"/>
          </w:tcPr>
          <w:p>
            <w:bookmarkStart w:id="7" w:name="c_mot_def_agreed_value"/>
            <w:r>
              <w:rPr>
                <w:b/>
                <w:i w:val="0"/>
              </w:rPr>
              <w:t>Agreed Value</w:t>
            </w:r>
            <w:bookmarkEnd w:id="7"/>
          </w:p>
        </w:tc>
        <w:tc>
          <w:tcPr>
            <w:tcW w:type="dxa" w:w="6803"/>
          </w:tcPr>
          <w:p>
            <w:r>
              <w:rPr>
                <w:b w:val="0"/>
                <w:i w:val="0"/>
              </w:rPr>
              <w:t>The value shown in the Schedule for a specific Insured vehicle, agreed between you and us at inception or renewal. It includes standard equipment, accessories, modifications and signwriting unless the Schedule says otherwise.</w:t>
            </w:r>
          </w:p>
        </w:tc>
      </w:tr>
      <w:tr>
        <w:tc>
          <w:tcPr>
            <w:tcW w:type="dxa" w:w="2608"/>
          </w:tcPr>
          <w:p>
            <w:bookmarkStart w:id="8" w:name="c_mot_def_dangerous_goods"/>
            <w:r>
              <w:rPr>
                <w:b/>
                <w:i w:val="0"/>
              </w:rPr>
              <w:t>Dangerous Goods</w:t>
            </w:r>
            <w:bookmarkEnd w:id="8"/>
          </w:p>
        </w:tc>
        <w:tc>
          <w:tcPr>
            <w:tcW w:type="dxa" w:w="6803"/>
          </w:tcPr>
          <w:p>
            <w:r>
              <w:rPr>
                <w:b w:val="0"/>
                <w:i w:val="0"/>
              </w:rPr>
              <w:t>Goods that are dangerous goods under the Australian Code for the Transport of Dangerous Goods by Road and Rail, or under the law of the State or Territory where they are carried.</w:t>
            </w:r>
          </w:p>
        </w:tc>
      </w:tr>
      <w:tr>
        <w:tc>
          <w:tcPr>
            <w:tcW w:type="dxa" w:w="2608"/>
          </w:tcPr>
          <w:p>
            <w:bookmarkStart w:id="9" w:name="c_mot_def_declaration_date"/>
            <w:r>
              <w:rPr>
                <w:b/>
                <w:i w:val="0"/>
              </w:rPr>
              <w:t>Declaration Date</w:t>
            </w:r>
            <w:bookmarkEnd w:id="9"/>
          </w:p>
        </w:tc>
        <w:tc>
          <w:tcPr>
            <w:tcW w:type="dxa" w:w="6803"/>
          </w:tcPr>
          <w:p>
            <w:r>
              <w:rPr>
                <w:b w:val="0"/>
                <w:i w:val="0"/>
              </w:rPr>
              <w:t>Each date shown in the Schedule by which you must declare changes to the vehicles insured under a Fleet basis.</w:t>
            </w:r>
          </w:p>
        </w:tc>
      </w:tr>
      <w:tr>
        <w:tc>
          <w:tcPr>
            <w:tcW w:type="dxa" w:w="2608"/>
          </w:tcPr>
          <w:p>
            <w:bookmarkStart w:id="10" w:name="c_mot_def_endorsement"/>
            <w:r>
              <w:rPr>
                <w:b/>
                <w:i w:val="0"/>
              </w:rPr>
              <w:t>Endorsement</w:t>
            </w:r>
            <w:bookmarkEnd w:id="10"/>
          </w:p>
        </w:tc>
        <w:tc>
          <w:tcPr>
            <w:tcW w:type="dxa" w:w="6803"/>
          </w:tcPr>
          <w:p>
            <w:r>
              <w:rPr>
                <w:b w:val="0"/>
                <w:i w:val="0"/>
              </w:rPr>
              <w:t>A written change to this Policy that we issue, shown in the Schedule by its code.</w:t>
            </w:r>
          </w:p>
        </w:tc>
      </w:tr>
      <w:tr>
        <w:tc>
          <w:tcPr>
            <w:tcW w:type="dxa" w:w="2608"/>
          </w:tcPr>
          <w:p>
            <w:bookmarkStart w:id="11" w:name="c_mot_def_excess"/>
            <w:r>
              <w:rPr>
                <w:b/>
                <w:i w:val="0"/>
              </w:rPr>
              <w:t>Excess</w:t>
            </w:r>
            <w:bookmarkEnd w:id="11"/>
          </w:p>
        </w:tc>
        <w:tc>
          <w:tcPr>
            <w:tcW w:type="dxa" w:w="6803"/>
          </w:tcPr>
          <w:p>
            <w:r>
              <w:rPr>
                <w:b w:val="0"/>
                <w:i w:val="0"/>
              </w:rPr>
              <w:t>The amount you bear as the first part of each claim, as shown in the Schedule.</w:t>
            </w:r>
          </w:p>
        </w:tc>
      </w:tr>
      <w:tr>
        <w:tc>
          <w:tcPr>
            <w:tcW w:type="dxa" w:w="2608"/>
          </w:tcPr>
          <w:p>
            <w:bookmarkStart w:id="12" w:name="c_mot_def_fleet_basis"/>
            <w:r>
              <w:rPr>
                <w:b/>
                <w:i w:val="0"/>
              </w:rPr>
              <w:t>Fleet Basis</w:t>
            </w:r>
            <w:bookmarkEnd w:id="12"/>
          </w:p>
        </w:tc>
        <w:tc>
          <w:tcPr>
            <w:tcW w:type="dxa" w:w="6803"/>
          </w:tcPr>
          <w:p>
            <w:r>
              <w:rPr>
                <w:b w:val="0"/>
                <w:i w:val="0"/>
              </w:rPr>
              <w:t>A Policy that the Schedule shows is written on a fleet basis. Unless we agree otherwise, a Policy is written on a fleet basis where 10 or more vehicles are insured.</w:t>
            </w:r>
          </w:p>
        </w:tc>
      </w:tr>
      <w:tr>
        <w:tc>
          <w:tcPr>
            <w:tcW w:type="dxa" w:w="2608"/>
          </w:tcPr>
          <w:p>
            <w:bookmarkStart w:id="13" w:name="c_mot_def_insured_person"/>
            <w:r>
              <w:rPr>
                <w:b/>
                <w:i w:val="0"/>
              </w:rPr>
              <w:t>Insured Person</w:t>
            </w:r>
            <w:bookmarkEnd w:id="13"/>
          </w:p>
        </w:tc>
        <w:tc>
          <w:tcPr>
            <w:tcW w:type="dxa" w:w="6803"/>
          </w:tcPr>
          <w:p>
            <w:r>
              <w:rPr>
                <w:b w:val="0"/>
                <w:i w:val="0"/>
              </w:rPr>
              <w:t xml:space="preserve">A person or entity described in </w:t>
            </w:r>
            <w:hyperlink w:anchor="c_mot_cover_who_is_covered">
              <w:r>
                <w:rPr>
                  <w:color w:val="2E5C4E"/>
                  <w:u w:val="single"/>
                </w:rPr>
                <w:t xml:space="preserve">the Who Is Covered clause</w:t>
              </w:r>
            </w:hyperlink>
            <w:r>
              <w:rPr>
                <w:b w:val="0"/>
                <w:i w:val="0"/>
              </w:rPr>
              <w:t>.</w:t>
            </w:r>
          </w:p>
        </w:tc>
      </w:tr>
      <w:tr>
        <w:tc>
          <w:tcPr>
            <w:tcW w:type="dxa" w:w="2608"/>
          </w:tcPr>
          <w:p>
            <w:bookmarkStart w:id="14" w:name="c_mot_def_insured_vehicle"/>
            <w:r>
              <w:rPr>
                <w:b/>
                <w:i w:val="0"/>
              </w:rPr>
              <w:t>Insured Vehicle</w:t>
            </w:r>
            <w:bookmarkEnd w:id="14"/>
          </w:p>
        </w:tc>
        <w:tc>
          <w:tcPr>
            <w:tcW w:type="dxa" w:w="6803"/>
          </w:tcPr>
          <w:p>
            <w:r>
              <w:rPr>
                <w:b w:val="0"/>
                <w:i w:val="0"/>
              </w:rPr>
              <w:t xml:space="preserve">Each motor vehicle shown in the Schedule, including its standard equipment, accessories, modifications and signwriting, and any vehicle covered under </w:t>
            </w:r>
            <w:hyperlink w:anchor="c_mot_fleet_automatic_cover">
              <w:r>
                <w:rPr>
                  <w:color w:val="2E5C4E"/>
                  <w:u w:val="single"/>
                </w:rPr>
                <w:t xml:space="preserve">the Automatic Cover for New and Replacement Vehicles extension</w:t>
              </w:r>
            </w:hyperlink>
            <w:r>
              <w:rPr>
                <w:b w:val="0"/>
                <w:i w:val="0"/>
              </w:rPr>
              <w:t xml:space="preserve">, </w:t>
            </w:r>
            <w:hyperlink w:anchor="c_mot_fleet_courtesy_vehicles">
              <w:r>
                <w:rPr>
                  <w:color w:val="2E5C4E"/>
                  <w:u w:val="single"/>
                </w:rPr>
                <w:t xml:space="preserve">the Courtesy and Loan Vehicles extension</w:t>
              </w:r>
            </w:hyperlink>
            <w:r>
              <w:rPr>
                <w:b w:val="0"/>
                <w:i w:val="0"/>
              </w:rPr>
              <w:t xml:space="preserve"> or </w:t>
            </w:r>
            <w:hyperlink w:anchor="c_mot_fleet_undeclared_vehicles">
              <w:r>
                <w:rPr>
                  <w:color w:val="2E5C4E"/>
                  <w:u w:val="single"/>
                </w:rPr>
                <w:t xml:space="preserve">the Undeclared Vehicles extension</w:t>
              </w:r>
            </w:hyperlink>
            <w:r>
              <w:rPr>
                <w:b w:val="0"/>
                <w:i w:val="0"/>
              </w:rPr>
              <w:t>.</w:t>
            </w:r>
          </w:p>
        </w:tc>
      </w:tr>
      <w:tr>
        <w:tc>
          <w:tcPr>
            <w:tcW w:type="dxa" w:w="2608"/>
          </w:tcPr>
          <w:p>
            <w:bookmarkStart w:id="15" w:name="c_mot_def_market_value"/>
            <w:r>
              <w:rPr>
                <w:b/>
                <w:i w:val="0"/>
              </w:rPr>
              <w:t>Market Value</w:t>
            </w:r>
            <w:bookmarkEnd w:id="15"/>
          </w:p>
        </w:tc>
        <w:tc>
          <w:tcPr>
            <w:tcW w:type="dxa" w:w="6803"/>
          </w:tcPr>
          <w:p>
            <w:r>
              <w:rPr>
                <w:b w:val="0"/>
                <w:i w:val="0"/>
              </w:rPr>
              <w:t>The reasonable retail selling price of the vehicle immediately before the loss, having regard to its make, model, age, condition and kilometres travelled.</w:t>
            </w:r>
          </w:p>
        </w:tc>
      </w:tr>
      <w:tr>
        <w:tc>
          <w:tcPr>
            <w:tcW w:type="dxa" w:w="2608"/>
          </w:tcPr>
          <w:p>
            <w:bookmarkStart w:id="16" w:name="c_mot_def_named_insured"/>
            <w:r>
              <w:rPr>
                <w:b/>
                <w:i w:val="0"/>
              </w:rPr>
              <w:t>Named Insured</w:t>
            </w:r>
            <w:bookmarkEnd w:id="16"/>
          </w:p>
        </w:tc>
        <w:tc>
          <w:tcPr>
            <w:tcW w:type="dxa" w:w="6803"/>
          </w:tcPr>
          <w:p>
            <w:r>
              <w:rPr>
                <w:b w:val="0"/>
                <w:i w:val="0"/>
              </w:rPr>
              <w:t>The person or entity shown in the Schedule as the named insured.</w:t>
            </w:r>
          </w:p>
        </w:tc>
      </w:tr>
      <w:tr>
        <w:tc>
          <w:tcPr>
            <w:tcW w:type="dxa" w:w="2608"/>
          </w:tcPr>
          <w:p>
            <w:bookmarkStart w:id="17" w:name="c_mot_def_occurrence"/>
            <w:r>
              <w:rPr>
                <w:b/>
                <w:i w:val="0"/>
              </w:rPr>
              <w:t>Occurrence</w:t>
            </w:r>
            <w:bookmarkEnd w:id="17"/>
          </w:p>
        </w:tc>
        <w:tc>
          <w:tcPr>
            <w:tcW w:type="dxa" w:w="6803"/>
          </w:tcPr>
          <w:p>
            <w:r>
              <w:rPr>
                <w:b w:val="0"/>
                <w:i w:val="0"/>
              </w:rPr>
              <w:t>An event, or a series of events arising from one source or original cause, that results in loss, damage or liability neither expected nor intended by an Insured person.</w:t>
            </w:r>
          </w:p>
        </w:tc>
      </w:tr>
      <w:tr>
        <w:tc>
          <w:tcPr>
            <w:tcW w:type="dxa" w:w="2608"/>
          </w:tcPr>
          <w:p>
            <w:bookmarkStart w:id="18" w:name="c_mot_def_period_of_insurance"/>
            <w:r>
              <w:rPr>
                <w:b/>
                <w:i w:val="0"/>
              </w:rPr>
              <w:t>Period of Insurance</w:t>
            </w:r>
            <w:bookmarkEnd w:id="18"/>
          </w:p>
        </w:tc>
        <w:tc>
          <w:tcPr>
            <w:tcW w:type="dxa" w:w="6803"/>
          </w:tcPr>
          <w:p>
            <w:r>
              <w:rPr>
                <w:b w:val="0"/>
                <w:i w:val="0"/>
              </w:rPr>
              <w:t>The period shown in the Schedule, unless the Policy is cancelled earlier.</w:t>
            </w:r>
          </w:p>
        </w:tc>
      </w:tr>
      <w:tr>
        <w:tc>
          <w:tcPr>
            <w:tcW w:type="dxa" w:w="2608"/>
          </w:tcPr>
          <w:p>
            <w:bookmarkStart w:id="19" w:name="c_mot_def_permitted_use"/>
            <w:r>
              <w:rPr>
                <w:b/>
                <w:i w:val="0"/>
              </w:rPr>
              <w:t>Permitted Use</w:t>
            </w:r>
            <w:bookmarkEnd w:id="19"/>
          </w:p>
        </w:tc>
        <w:tc>
          <w:tcPr>
            <w:tcW w:type="dxa" w:w="6803"/>
          </w:tcPr>
          <w:p>
            <w:r>
              <w:rPr>
                <w:b w:val="0"/>
                <w:i w:val="0"/>
              </w:rPr>
              <w:t>The use shown in the Schedule for each Insured vehicle. Unless the Schedule says otherwise, Permitted use is business and private use, excluding use for hire, fare or reward.</w:t>
            </w:r>
          </w:p>
        </w:tc>
      </w:tr>
      <w:tr>
        <w:tc>
          <w:tcPr>
            <w:tcW w:type="dxa" w:w="2608"/>
          </w:tcPr>
          <w:p>
            <w:bookmarkStart w:id="20" w:name="c_mot_def_schedule"/>
            <w:r>
              <w:rPr>
                <w:b/>
                <w:i w:val="0"/>
              </w:rPr>
              <w:t>Schedule</w:t>
            </w:r>
            <w:bookmarkEnd w:id="20"/>
          </w:p>
        </w:tc>
        <w:tc>
          <w:tcPr>
            <w:tcW w:type="dxa" w:w="6803"/>
          </w:tcPr>
          <w:p>
            <w:r>
              <w:rPr>
                <w:b w:val="0"/>
                <w:i w:val="0"/>
              </w:rPr>
              <w:t>The document we issue with this Policy, including the vehicle schedule, any declarations and any Endorsement, as most recently issued.</w:t>
            </w:r>
          </w:p>
        </w:tc>
      </w:tr>
      <w:tr>
        <w:tc>
          <w:tcPr>
            <w:tcW w:type="dxa" w:w="2608"/>
          </w:tcPr>
          <w:p>
            <w:bookmarkStart w:id="21" w:name="c_mot_def_substitute_vehicle"/>
            <w:r>
              <w:rPr>
                <w:b/>
                <w:i w:val="0"/>
              </w:rPr>
              <w:t>Substitute Vehicle</w:t>
            </w:r>
            <w:bookmarkEnd w:id="21"/>
          </w:p>
        </w:tc>
        <w:tc>
          <w:tcPr>
            <w:tcW w:type="dxa" w:w="6803"/>
          </w:tcPr>
          <w:p>
            <w:r>
              <w:rPr>
                <w:b w:val="0"/>
                <w:i w:val="0"/>
              </w:rPr>
              <w:t xml:space="preserve">A vehicle you use temporarily, for no longer than 30 days, while an Insured vehicle is being repaired or serviced or cannot be used because of breakdown or loss, where the substitute vehicle is not owned by you and is not otherwise insured. </w:t>
            </w:r>
            <w:hyperlink w:anchor="c_mot_ext_substitute_vehicles">
              <w:r>
                <w:rPr>
                  <w:color w:val="2E5C4E"/>
                  <w:u w:val="single"/>
                </w:rPr>
                <w:t xml:space="preserve">Substitute Vehicles</w:t>
              </w:r>
            </w:hyperlink>
            <w:r>
              <w:rPr>
                <w:b w:val="0"/>
                <w:i w:val="0"/>
              </w:rPr>
              <w:t xml:space="preserve"> sets out the cover.</w:t>
            </w:r>
          </w:p>
        </w:tc>
      </w:tr>
      <w:tr>
        <w:tc>
          <w:tcPr>
            <w:tcW w:type="dxa" w:w="2608"/>
          </w:tcPr>
          <w:p>
            <w:bookmarkStart w:id="22" w:name="c_mot_def_sum_insured"/>
            <w:r>
              <w:rPr>
                <w:b/>
                <w:i w:val="0"/>
              </w:rPr>
              <w:t>Sum Insured</w:t>
            </w:r>
            <w:bookmarkEnd w:id="22"/>
          </w:p>
        </w:tc>
        <w:tc>
          <w:tcPr>
            <w:tcW w:type="dxa" w:w="6803"/>
          </w:tcPr>
          <w:p>
            <w:r>
              <w:rPr>
                <w:b w:val="0"/>
                <w:i w:val="0"/>
              </w:rPr>
              <w:t>The amount shown in the Schedule for each Insured vehicle.</w:t>
            </w:r>
          </w:p>
        </w:tc>
      </w:tr>
      <w:tr>
        <w:tc>
          <w:tcPr>
            <w:tcW w:type="dxa" w:w="2608"/>
          </w:tcPr>
          <w:p>
            <w:bookmarkStart w:id="23" w:name="c_mot_def_tool_of_trade"/>
            <w:r>
              <w:rPr>
                <w:b/>
                <w:i w:val="0"/>
              </w:rPr>
              <w:t>Tool of Trade</w:t>
            </w:r>
            <w:bookmarkEnd w:id="23"/>
          </w:p>
        </w:tc>
        <w:tc>
          <w:tcPr>
            <w:tcW w:type="dxa" w:w="6803"/>
          </w:tcPr>
          <w:p>
            <w:r>
              <w:rPr>
                <w:b w:val="0"/>
                <w:i w:val="0"/>
              </w:rPr>
              <w:t>The use of a vehicle, or of plant attached to it, as plant at a work site (for example digging, lifting, spraying, pumping or tipping) rather than its being driven as a means of transport.</w:t>
            </w:r>
          </w:p>
        </w:tc>
      </w:tr>
      <w:tr>
        <w:tc>
          <w:tcPr>
            <w:tcW w:type="dxa" w:w="2608"/>
          </w:tcPr>
          <w:p>
            <w:bookmarkStart w:id="24" w:name="c_mot_def_total_loss"/>
            <w:r>
              <w:rPr>
                <w:b/>
                <w:i w:val="0"/>
              </w:rPr>
              <w:t>Total Loss</w:t>
            </w:r>
            <w:bookmarkEnd w:id="24"/>
          </w:p>
        </w:tc>
        <w:tc>
          <w:tcPr>
            <w:tcW w:type="dxa" w:w="6803"/>
          </w:tcPr>
          <w:p>
            <w:r>
              <w:rPr>
                <w:b w:val="0"/>
                <w:i w:val="0"/>
              </w:rPr>
              <w:t>An Insured vehicle that is damaged beyond economic repair, or that is stolen and not recovered within the period shown in the Schedule.</w:t>
            </w:r>
          </w:p>
        </w:tc>
      </w:tr>
      <w:tr>
        <w:tc>
          <w:tcPr>
            <w:tcW w:type="dxa" w:w="2608"/>
          </w:tcPr>
          <w:p>
            <w:bookmarkStart w:id="25" w:name="c_mot_def_we_us_our"/>
            <w:r>
              <w:rPr>
                <w:b/>
                <w:i w:val="0"/>
              </w:rPr>
              <w:t>We, Us, Our</w:t>
            </w:r>
            <w:bookmarkEnd w:id="25"/>
          </w:p>
        </w:tc>
        <w:tc>
          <w:tcPr>
            <w:tcW w:type="dxa" w:w="6803"/>
          </w:tcPr>
          <w:p>
            <w:r>
              <w:rPr>
                <w:b w:val="0"/>
                <w:i w:val="0"/>
              </w:rPr>
              <w:t>The insurer named in the Schedule.</w:t>
            </w:r>
          </w:p>
        </w:tc>
      </w:tr>
      <w:tr>
        <w:tc>
          <w:tcPr>
            <w:tcW w:type="dxa" w:w="2608"/>
          </w:tcPr>
          <w:p>
            <w:bookmarkStart w:id="26" w:name="c_mot_def_you_your"/>
            <w:r>
              <w:rPr>
                <w:b/>
                <w:i w:val="0"/>
              </w:rPr>
              <w:t>You, Your</w:t>
            </w:r>
            <w:bookmarkEnd w:id="26"/>
          </w:p>
        </w:tc>
        <w:tc>
          <w:tcPr>
            <w:tcW w:type="dxa" w:w="6803"/>
          </w:tcPr>
          <w:p>
            <w:r>
              <w:rPr>
                <w:b w:val="0"/>
                <w:i w:val="0"/>
              </w:rPr>
              <w:t>The Named insured. Every Insured person has the cover described in this Policy, but only the Named insured owes the disclosure, declaration and premium obligations.</w:t>
            </w:r>
          </w:p>
        </w:tc>
      </w:tr>
    </w:tbl>
    <w:p>
      <w:bookmarkStart w:id="27" w:name="c_mot_section_vehicle_cover"/>
      <w:r>
        <w:rPr>
          <w:rFonts w:ascii="Georgia" w:hAnsi="Georgia" w:eastAsia="Georgia"/>
          <w:b/>
          <w:i w:val="0"/>
          <w:color w:val="1C1915"/>
          <w:sz w:val="32"/>
        </w:rPr>
        <w:t>Cover for Your Vehicles</w:t>
      </w:r>
      <w:bookmarkEnd w:id="27"/>
    </w:p>
    <w:p>
      <w:r>
        <w:rPr>
          <w:b w:val="0"/>
          <w:i w:val="0"/>
        </w:rPr>
        <w:t>This section applies to each Insured vehicle shown in the Schedule as Comprehensive or as Third party, fire and theft. It does not apply to a vehicle shown as Third party only.</w:t>
      </w:r>
    </w:p>
    <w:p>
      <w:bookmarkStart w:id="28" w:name="c_mot_cover_comprehensive"/>
      <w:r>
        <w:rPr>
          <w:rFonts w:ascii="Georgia" w:hAnsi="Georgia" w:eastAsia="Georgia"/>
          <w:b/>
          <w:i w:val="0"/>
          <w:color w:val="2E5C4E"/>
          <w:sz w:val="25"/>
        </w:rPr>
        <w:t>Comprehensive</w:t>
      </w:r>
      <w:bookmarkEnd w:id="28"/>
    </w:p>
    <w:p>
      <w:r>
        <w:rPr>
          <w:b w:val="0"/>
          <w:i w:val="0"/>
        </w:rPr>
        <w:t xml:space="preserve">If an Insured vehicle shown as Comprehensive suffers Accidental loss or damage during the Period of Insurance, we will pay for the loss or damage as set out in </w:t>
      </w:r>
      <w:hyperlink w:anchor="c_mot_pay_basis_of_settlement">
        <w:r>
          <w:rPr>
            <w:color w:val="2E5C4E"/>
            <w:u w:val="single"/>
          </w:rPr>
          <w:t xml:space="preserve">the Basis of Settlement provision</w:t>
        </w:r>
      </w:hyperlink>
      <w:r>
        <w:rPr>
          <w:b w:val="0"/>
          <w:i w:val="0"/>
        </w:rPr>
        <w:t>. This includes Accidental loss or damage caused by collision or overturning; fire, lightning or explosion; theft or attempted theft; storm, flood, hail or cyclone; malicious damage or vandalism; falling objects; impact with an animal; immersion in water; and landslide, subsidence or earthquake.</w:t>
      </w:r>
    </w:p>
    <w:p>
      <w:bookmarkStart w:id="29" w:name="c_mot_cover_third_party_fire_and_theft"/>
      <w:r>
        <w:rPr>
          <w:rFonts w:ascii="Georgia" w:hAnsi="Georgia" w:eastAsia="Georgia"/>
          <w:b/>
          <w:i w:val="0"/>
          <w:color w:val="2E5C4E"/>
          <w:sz w:val="25"/>
        </w:rPr>
        <w:t>Third Party, Fire and Theft</w:t>
      </w:r>
      <w:bookmarkEnd w:id="29"/>
    </w:p>
    <w:p>
      <w:r>
        <w:rPr>
          <w:b w:val="0"/>
          <w:i w:val="0"/>
        </w:rPr>
        <w:t xml:space="preserve">If an Insured vehicle shown as Third party, fire and theft suffers loss or damage during the Period of Insurance caused by fire, lightning or explosion, or by theft or attempted theft, we will pay for the loss or damage as set out in </w:t>
      </w:r>
      <w:hyperlink w:anchor="c_mot_pay_basis_of_settlement">
        <w:r>
          <w:rPr>
            <w:color w:val="2E5C4E"/>
            <w:u w:val="single"/>
          </w:rPr>
          <w:t xml:space="preserve">the Basis of Settlement provision</w:t>
        </w:r>
      </w:hyperlink>
      <w:r>
        <w:rPr>
          <w:b w:val="0"/>
          <w:i w:val="0"/>
        </w:rPr>
        <w:t>. This cover does not include collision, malicious damage, storm, flood or any other accidental damage to the Insured vehicle.</w:t>
      </w:r>
    </w:p>
    <w:p>
      <w:bookmarkStart w:id="30" w:name="c_mot_pay_basis_of_settlement"/>
      <w:r>
        <w:rPr>
          <w:rFonts w:ascii="Georgia" w:hAnsi="Georgia" w:eastAsia="Georgia"/>
          <w:b/>
          <w:i w:val="0"/>
          <w:color w:val="2E5C4E"/>
          <w:sz w:val="25"/>
        </w:rPr>
        <w:t>Basis of Settlement</w:t>
      </w:r>
      <w:bookmarkEnd w:id="30"/>
    </w:p>
    <w:p>
      <w:r>
        <w:rPr>
          <w:b w:val="0"/>
          <w:i w:val="0"/>
        </w:rPr>
        <w:t>We settle a claim for loss of or damage to an Insured vehicle on the value basis shown for it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Value basis</w:t>
            </w:r>
          </w:p>
        </w:tc>
        <w:tc>
          <w:tcPr>
            <w:tcW w:type="dxa" w:w="4873"/>
          </w:tcPr>
          <w:p>
            <w:r/>
            <w:r>
              <w:rPr>
                <w:b w:val="0"/>
                <w:i w:val="0"/>
              </w:rPr>
              <w:t>How we settle a Total loss</w:t>
            </w:r>
          </w:p>
        </w:tc>
      </w:tr>
      <w:tr>
        <w:tc>
          <w:tcPr>
            <w:tcW w:type="dxa" w:w="4873"/>
          </w:tcPr>
          <w:p>
            <w:r/>
            <w:r>
              <w:rPr>
                <w:b w:val="0"/>
                <w:i w:val="0"/>
              </w:rPr>
              <w:t>Market value (the default)</w:t>
            </w:r>
          </w:p>
        </w:tc>
        <w:tc>
          <w:tcPr>
            <w:tcW w:type="dxa" w:w="4873"/>
          </w:tcPr>
          <w:p>
            <w:r/>
            <w:r>
              <w:rPr>
                <w:b w:val="0"/>
                <w:i w:val="0"/>
              </w:rPr>
              <w:t>We pay the Market value of the vehicle immediately before the loss, up to its Sum insured, less the Excess</w:t>
            </w:r>
          </w:p>
        </w:tc>
      </w:tr>
      <w:tr>
        <w:tc>
          <w:tcPr>
            <w:tcW w:type="dxa" w:w="4873"/>
          </w:tcPr>
          <w:p>
            <w:r/>
            <w:r>
              <w:rPr>
                <w:b w:val="0"/>
                <w:i w:val="0"/>
              </w:rPr>
              <w:t>Agreed value</w:t>
            </w:r>
          </w:p>
        </w:tc>
        <w:tc>
          <w:tcPr>
            <w:tcW w:type="dxa" w:w="4873"/>
          </w:tcPr>
          <w:p>
            <w:r/>
            <w:r>
              <w:rPr>
                <w:b w:val="0"/>
                <w:i w:val="0"/>
              </w:rPr>
              <w:t>We pay the Agreed value shown in the Schedule, less the Excess</w:t>
            </w:r>
          </w:p>
        </w:tc>
      </w:tr>
    </w:tbl>
    <w:p>
      <w:r>
        <w:rPr>
          <w:b w:val="0"/>
          <w:i w:val="0"/>
        </w:rPr>
        <w:t xml:space="preserve">Where the vehicle can be economically repaired, we settle as set out in </w:t>
      </w:r>
      <w:hyperlink w:anchor="c_mot_pay_repairs">
        <w:r>
          <w:rPr>
            <w:color w:val="2E5C4E"/>
            <w:u w:val="single"/>
          </w:rPr>
          <w:t xml:space="preserve">the Repairs provision</w:t>
        </w:r>
      </w:hyperlink>
      <w:r>
        <w:rPr>
          <w:b w:val="0"/>
          <w:i w:val="0"/>
        </w:rPr>
        <w:t xml:space="preserve">. Where it is a Total loss, </w:t>
      </w:r>
      <w:hyperlink w:anchor="c_mot_pay_total_loss">
        <w:r>
          <w:rPr>
            <w:color w:val="2E5C4E"/>
            <w:u w:val="single"/>
          </w:rPr>
          <w:t xml:space="preserve">the Total Loss provision</w:t>
        </w:r>
      </w:hyperlink>
      <w:r>
        <w:rPr>
          <w:b w:val="0"/>
          <w:i w:val="0"/>
        </w:rPr>
        <w:t xml:space="preserve"> applies.</w:t>
      </w:r>
    </w:p>
    <w:p>
      <w:bookmarkStart w:id="31" w:name="c_mot_pay_repairs"/>
      <w:r>
        <w:rPr>
          <w:rFonts w:ascii="Georgia" w:hAnsi="Georgia" w:eastAsia="Georgia"/>
          <w:b/>
          <w:i w:val="0"/>
          <w:color w:val="2E5C4E"/>
          <w:sz w:val="25"/>
        </w:rPr>
        <w:t>Repairs</w:t>
      </w:r>
      <w:bookmarkEnd w:id="31"/>
    </w:p>
    <w:p>
      <w:r>
        <w:rPr>
          <w:b w:val="0"/>
          <w:i w:val="0"/>
        </w:rPr>
        <w:t xml:space="preserve">Where an Insured vehicle can be economically repaired, we may pay you the reasonable cost of repair, or arrange the repair. </w:t>
      </w:r>
      <w:hyperlink w:anchor="c_mot_pay_choice_of_repairer">
        <w:r>
          <w:rPr>
            <w:color w:val="2E5C4E"/>
            <w:u w:val="single"/>
          </w:rPr>
          <w:t xml:space="preserve">the Choice of Repairer provision</w:t>
        </w:r>
      </w:hyperlink>
      <w:r>
        <w:rPr>
          <w:b w:val="0"/>
          <w:i w:val="0"/>
        </w:rPr>
        <w:t xml:space="preserve"> applies to who repairs the vehicle. We do not use second-hand or non-genuine parts without your consent, except where the vehicle is more than five years old and genuine parts are not reasonably available. We will not pay for an improvement in the vehicle's condition beyond its condition before the loss, except where the only reasonable repair is with new parts.</w:t>
      </w:r>
    </w:p>
    <w:p>
      <w:bookmarkStart w:id="32" w:name="c_mot_pay_total_loss"/>
      <w:r>
        <w:rPr>
          <w:rFonts w:ascii="Georgia" w:hAnsi="Georgia" w:eastAsia="Georgia"/>
          <w:b/>
          <w:i w:val="0"/>
          <w:color w:val="2E5C4E"/>
          <w:sz w:val="25"/>
        </w:rPr>
        <w:t>Total Loss</w:t>
      </w:r>
      <w:bookmarkEnd w:id="32"/>
    </w:p>
    <w:p>
      <w:r>
        <w:rPr>
          <w:b w:val="0"/>
          <w:i w:val="0"/>
        </w:rPr>
        <w:t xml:space="preserve">Where an Insured vehicle is a Total loss, we pay on the value basis shown in the Schedule, less the Excess and any unpaid premium for that vehicle. Cover for that vehicle then ends, and no premium is refunded for it. Where the Schedule names a financier, </w:t>
      </w:r>
      <w:hyperlink w:anchor="c_mot_cond_subrogation_and_interested_pa">
        <w:r>
          <w:rPr>
            <w:color w:val="2E5C4E"/>
            <w:u w:val="single"/>
          </w:rPr>
          <w:t xml:space="preserve">the Subrogation and Interested Parties condition</w:t>
        </w:r>
      </w:hyperlink>
      <w:r>
        <w:rPr>
          <w:b w:val="0"/>
          <w:i w:val="0"/>
        </w:rPr>
        <w:t xml:space="preserve"> applies to the payment.</w:t>
      </w:r>
    </w:p>
    <w:p>
      <w:bookmarkStart w:id="33" w:name="c_mot_pay_new_vehicle_replacement"/>
      <w:r>
        <w:rPr>
          <w:rFonts w:ascii="Georgia" w:hAnsi="Georgia" w:eastAsia="Georgia"/>
          <w:b/>
          <w:i w:val="0"/>
          <w:color w:val="2E5C4E"/>
          <w:sz w:val="25"/>
        </w:rPr>
        <w:t>New Vehicle Replacement</w:t>
      </w:r>
      <w:bookmarkEnd w:id="33"/>
    </w:p>
    <w:p>
      <w:r>
        <w:rPr>
          <w:b w:val="0"/>
          <w:i w:val="0"/>
        </w:rPr>
        <w:t>If an Insured vehicle shown as Comprehensive is a Total loss within the period shown in the Schedule after its first registration as a new vehicle, and its gross vehicle mass does not exceed the limit shown in the Schedule, we will replace it with a new vehicle of the same make, model and specification, including on-road costs, where one is reasonably available in Australia. The most we pay is the percentage of the Sum insured shown in the Schedule. If a replacement is not reasonably available, we pay on the value basis shown in the Schedule.</w:t>
      </w:r>
    </w:p>
    <w:p>
      <w:bookmarkStart w:id="34" w:name="c_mot_pay_choice_of_repairer"/>
      <w:r>
        <w:rPr>
          <w:rFonts w:ascii="Georgia" w:hAnsi="Georgia" w:eastAsia="Georgia"/>
          <w:b/>
          <w:i w:val="0"/>
          <w:color w:val="2E5C4E"/>
          <w:sz w:val="25"/>
        </w:rPr>
        <w:t>Choice of Repairer</w:t>
      </w:r>
      <w:bookmarkEnd w:id="34"/>
    </w:p>
    <w:p>
      <w:r>
        <w:rPr>
          <w:b w:val="0"/>
          <w:i w:val="0"/>
        </w:rPr>
        <w:t>You may choose your own repairer. If you use a repairer we recommend, we guarantee the quality of the repairs for as long as you own the vehicle. If you use your own repairer, we pay the reasonable cost of repair, which may be less than your repairer's quote if their charges exceed the prevailing market rate for that work. Where we are a signatory to the Motor Vehicle Insurance and Repair Industry Code of Conduct, or a State scheme applies, estimates, authorisations and disputes with repairers are handled in accordance with it.</w:t>
      </w:r>
    </w:p>
    <w:p>
      <w:bookmarkStart w:id="35" w:name="c_mot_ext_additional_benefits"/>
      <w:r>
        <w:rPr>
          <w:rFonts w:ascii="Georgia" w:hAnsi="Georgia" w:eastAsia="Georgia"/>
          <w:b/>
          <w:i w:val="0"/>
          <w:color w:val="2E5C4E"/>
          <w:sz w:val="25"/>
        </w:rPr>
        <w:t>Additional Benefits</w:t>
      </w:r>
      <w:bookmarkEnd w:id="35"/>
    </w:p>
    <w:p>
      <w:r>
        <w:rPr>
          <w:b w:val="0"/>
          <w:i w:val="0"/>
        </w:rPr>
        <w:t xml:space="preserve">These benefits are paid in addition to the Sum insured, for the cover levels shown, up to the limits shown in the Schedule or, if none is shown, in </w:t>
      </w:r>
      <w:hyperlink w:anchor="c_mot_appendix_default_schedule_values">
        <w:r>
          <w:rPr>
            <w:color w:val="2E5C4E"/>
            <w:u w:val="single"/>
          </w:rPr>
          <w:t xml:space="preserve">the Default Schedule Values</w:t>
        </w:r>
      </w:hyperlink>
      <w:r>
        <w:rPr>
          <w:b w:val="0"/>
          <w:i w:val="0"/>
        </w:rPr>
        <w:t>. No Excess applies to them unless the Schedule says otherwise.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Benefit</w:t>
            </w:r>
          </w:p>
        </w:tc>
        <w:tc>
          <w:tcPr>
            <w:tcW w:type="dxa" w:w="3249"/>
          </w:tcPr>
          <w:p>
            <w:r/>
            <w:r>
              <w:rPr>
                <w:b w:val="0"/>
                <w:i w:val="0"/>
              </w:rPr>
              <w:t>Cover levels</w:t>
            </w:r>
          </w:p>
        </w:tc>
        <w:tc>
          <w:tcPr>
            <w:tcW w:type="dxa" w:w="3249"/>
          </w:tcPr>
          <w:p>
            <w:r/>
            <w:r>
              <w:rPr>
                <w:b w:val="0"/>
                <w:i w:val="0"/>
              </w:rPr>
              <w:t>What we pay</w:t>
            </w:r>
          </w:p>
        </w:tc>
      </w:tr>
      <w:tr>
        <w:tc>
          <w:tcPr>
            <w:tcW w:type="dxa" w:w="3249"/>
          </w:tcPr>
          <w:p>
            <w:r/>
            <w:r>
              <w:rPr>
                <w:b w:val="0"/>
                <w:i w:val="0"/>
              </w:rPr>
              <w:t>Hire vehicle after theft or Total loss</w:t>
            </w:r>
          </w:p>
        </w:tc>
        <w:tc>
          <w:tcPr>
            <w:tcW w:type="dxa" w:w="3249"/>
          </w:tcPr>
          <w:p>
            <w:r/>
            <w:r>
              <w:rPr>
                <w:b w:val="0"/>
                <w:i w:val="0"/>
              </w:rPr>
              <w:t>Comprehensive; Third party, fire and theft</w:t>
            </w:r>
          </w:p>
        </w:tc>
        <w:tc>
          <w:tcPr>
            <w:tcW w:type="dxa" w:w="3249"/>
          </w:tcPr>
          <w:p>
            <w:r/>
            <w:r>
              <w:rPr>
                <w:b w:val="0"/>
                <w:i w:val="0"/>
              </w:rPr>
              <w:t>The reasonable cost of hiring a similar vehicle, per day, until the claim is settled</w:t>
            </w:r>
          </w:p>
        </w:tc>
      </w:tr>
      <w:tr>
        <w:tc>
          <w:tcPr>
            <w:tcW w:type="dxa" w:w="3249"/>
          </w:tcPr>
          <w:p>
            <w:r/>
            <w:r>
              <w:rPr>
                <w:b w:val="0"/>
                <w:i w:val="0"/>
              </w:rPr>
              <w:t>Hire vehicle after accident</w:t>
            </w:r>
          </w:p>
        </w:tc>
        <w:tc>
          <w:tcPr>
            <w:tcW w:type="dxa" w:w="3249"/>
          </w:tcPr>
          <w:p>
            <w:r/>
            <w:r>
              <w:rPr>
                <w:b w:val="0"/>
                <w:i w:val="0"/>
              </w:rPr>
              <w:t>Comprehensive</w:t>
            </w:r>
          </w:p>
        </w:tc>
        <w:tc>
          <w:tcPr>
            <w:tcW w:type="dxa" w:w="3249"/>
          </w:tcPr>
          <w:p>
            <w:r/>
            <w:r>
              <w:rPr>
                <w:b w:val="0"/>
                <w:i w:val="0"/>
              </w:rPr>
              <w:t>The reasonable cost of hiring a similar vehicle, per day, until the repair is complete, where the driver was not at fault and the other party is identified</w:t>
            </w:r>
          </w:p>
        </w:tc>
      </w:tr>
      <w:tr>
        <w:tc>
          <w:tcPr>
            <w:tcW w:type="dxa" w:w="3249"/>
          </w:tcPr>
          <w:p>
            <w:r/>
            <w:r>
              <w:rPr>
                <w:b w:val="0"/>
                <w:i w:val="0"/>
              </w:rPr>
              <w:t>Towing and recovery</w:t>
            </w:r>
          </w:p>
        </w:tc>
        <w:tc>
          <w:tcPr>
            <w:tcW w:type="dxa" w:w="3249"/>
          </w:tcPr>
          <w:p>
            <w:r/>
            <w:r>
              <w:rPr>
                <w:b w:val="0"/>
                <w:i w:val="0"/>
              </w:rPr>
              <w:t>Comprehensive; Third party, fire and theft</w:t>
            </w:r>
          </w:p>
        </w:tc>
        <w:tc>
          <w:tcPr>
            <w:tcW w:type="dxa" w:w="3249"/>
          </w:tcPr>
          <w:p>
            <w:r/>
            <w:r>
              <w:rPr>
                <w:b w:val="0"/>
                <w:i w:val="0"/>
              </w:rPr>
              <w:t>The reasonable cost of moving the vehicle to the nearest repairer or a safe place</w:t>
            </w:r>
          </w:p>
        </w:tc>
      </w:tr>
      <w:tr>
        <w:tc>
          <w:tcPr>
            <w:tcW w:type="dxa" w:w="3249"/>
          </w:tcPr>
          <w:p>
            <w:r/>
            <w:r>
              <w:rPr>
                <w:b w:val="0"/>
                <w:i w:val="0"/>
              </w:rPr>
              <w:t>Emergency repairs</w:t>
            </w:r>
          </w:p>
        </w:tc>
        <w:tc>
          <w:tcPr>
            <w:tcW w:type="dxa" w:w="3249"/>
          </w:tcPr>
          <w:p>
            <w:r/>
            <w:r>
              <w:rPr>
                <w:b w:val="0"/>
                <w:i w:val="0"/>
              </w:rPr>
              <w:t>Comprehensive</w:t>
            </w:r>
          </w:p>
        </w:tc>
        <w:tc>
          <w:tcPr>
            <w:tcW w:type="dxa" w:w="3249"/>
          </w:tcPr>
          <w:p>
            <w:r/>
            <w:r>
              <w:rPr>
                <w:b w:val="0"/>
                <w:i w:val="0"/>
              </w:rPr>
              <w:t>The reasonable cost of repairs needed to make the vehicle safe to drive home or to a repairer</w:t>
            </w:r>
          </w:p>
        </w:tc>
      </w:tr>
      <w:tr>
        <w:tc>
          <w:tcPr>
            <w:tcW w:type="dxa" w:w="3249"/>
          </w:tcPr>
          <w:p>
            <w:r/>
            <w:r>
              <w:rPr>
                <w:b w:val="0"/>
                <w:i w:val="0"/>
              </w:rPr>
              <w:t>Windscreen and window glass</w:t>
            </w:r>
          </w:p>
        </w:tc>
        <w:tc>
          <w:tcPr>
            <w:tcW w:type="dxa" w:w="3249"/>
          </w:tcPr>
          <w:p>
            <w:r/>
            <w:r>
              <w:rPr>
                <w:b w:val="0"/>
                <w:i w:val="0"/>
              </w:rPr>
              <w:t>Comprehensive</w:t>
            </w:r>
          </w:p>
        </w:tc>
        <w:tc>
          <w:tcPr>
            <w:tcW w:type="dxa" w:w="3249"/>
          </w:tcPr>
          <w:p>
            <w:r/>
            <w:r>
              <w:rPr>
                <w:b w:val="0"/>
                <w:i w:val="0"/>
              </w:rPr>
              <w:t>Replacement or repair of broken glass, with no Excess</w:t>
            </w:r>
          </w:p>
        </w:tc>
      </w:tr>
      <w:tr>
        <w:tc>
          <w:tcPr>
            <w:tcW w:type="dxa" w:w="3249"/>
          </w:tcPr>
          <w:p>
            <w:r/>
            <w:r>
              <w:rPr>
                <w:b w:val="0"/>
                <w:i w:val="0"/>
              </w:rPr>
              <w:t>Personal effects</w:t>
            </w:r>
          </w:p>
        </w:tc>
        <w:tc>
          <w:tcPr>
            <w:tcW w:type="dxa" w:w="3249"/>
          </w:tcPr>
          <w:p>
            <w:r/>
            <w:r>
              <w:rPr>
                <w:b w:val="0"/>
                <w:i w:val="0"/>
              </w:rPr>
              <w:t>Comprehensive</w:t>
            </w:r>
          </w:p>
        </w:tc>
        <w:tc>
          <w:tcPr>
            <w:tcW w:type="dxa" w:w="3249"/>
          </w:tcPr>
          <w:p>
            <w:r/>
            <w:r>
              <w:rPr>
                <w:b w:val="0"/>
                <w:i w:val="0"/>
              </w:rPr>
              <w:t>Personal effects in the vehicle lost or damaged in the same Occurrence, excluding money, jewellery and goods carried for business</w:t>
            </w:r>
          </w:p>
        </w:tc>
      </w:tr>
      <w:tr>
        <w:tc>
          <w:tcPr>
            <w:tcW w:type="dxa" w:w="3249"/>
          </w:tcPr>
          <w:p>
            <w:r/>
            <w:r>
              <w:rPr>
                <w:b w:val="0"/>
                <w:i w:val="0"/>
              </w:rPr>
              <w:t>Tools of trade</w:t>
            </w:r>
          </w:p>
        </w:tc>
        <w:tc>
          <w:tcPr>
            <w:tcW w:type="dxa" w:w="3249"/>
          </w:tcPr>
          <w:p>
            <w:r/>
            <w:r>
              <w:rPr>
                <w:b w:val="0"/>
                <w:i w:val="0"/>
              </w:rPr>
              <w:t>Comprehensive</w:t>
            </w:r>
          </w:p>
        </w:tc>
        <w:tc>
          <w:tcPr>
            <w:tcW w:type="dxa" w:w="3249"/>
          </w:tcPr>
          <w:p>
            <w:r/>
            <w:r>
              <w:rPr>
                <w:b w:val="0"/>
                <w:i w:val="0"/>
              </w:rPr>
              <w:t>Tools of trade owned by you or your employees lost or damaged in the same Occurrence</w:t>
            </w:r>
          </w:p>
        </w:tc>
      </w:tr>
      <w:tr>
        <w:tc>
          <w:tcPr>
            <w:tcW w:type="dxa" w:w="3249"/>
          </w:tcPr>
          <w:p>
            <w:r/>
            <w:r>
              <w:rPr>
                <w:b w:val="0"/>
                <w:i w:val="0"/>
              </w:rPr>
              <w:t>Locks and keys</w:t>
            </w:r>
          </w:p>
        </w:tc>
        <w:tc>
          <w:tcPr>
            <w:tcW w:type="dxa" w:w="3249"/>
          </w:tcPr>
          <w:p>
            <w:r/>
            <w:r>
              <w:rPr>
                <w:b w:val="0"/>
                <w:i w:val="0"/>
              </w:rPr>
              <w:t>Comprehensive; Third party, fire and theft</w:t>
            </w:r>
          </w:p>
        </w:tc>
        <w:tc>
          <w:tcPr>
            <w:tcW w:type="dxa" w:w="3249"/>
          </w:tcPr>
          <w:p>
            <w:r/>
            <w:r>
              <w:rPr>
                <w:b w:val="0"/>
                <w:i w:val="0"/>
              </w:rPr>
              <w:t>Replacing or recoding locks and keys after the keys are stolen</w:t>
            </w:r>
          </w:p>
        </w:tc>
      </w:tr>
      <w:tr>
        <w:tc>
          <w:tcPr>
            <w:tcW w:type="dxa" w:w="3249"/>
          </w:tcPr>
          <w:p>
            <w:r/>
            <w:r>
              <w:rPr>
                <w:b w:val="0"/>
                <w:i w:val="0"/>
              </w:rPr>
              <w:t>Child seats and restraints</w:t>
            </w:r>
          </w:p>
        </w:tc>
        <w:tc>
          <w:tcPr>
            <w:tcW w:type="dxa" w:w="3249"/>
          </w:tcPr>
          <w:p>
            <w:r/>
            <w:r>
              <w:rPr>
                <w:b w:val="0"/>
                <w:i w:val="0"/>
              </w:rPr>
              <w:t>Comprehensive</w:t>
            </w:r>
          </w:p>
        </w:tc>
        <w:tc>
          <w:tcPr>
            <w:tcW w:type="dxa" w:w="3249"/>
          </w:tcPr>
          <w:p>
            <w:r/>
            <w:r>
              <w:rPr>
                <w:b w:val="0"/>
                <w:i w:val="0"/>
              </w:rPr>
              <w:t>Replacing child seats and restraints damaged in the Occurrence</w:t>
            </w:r>
          </w:p>
        </w:tc>
      </w:tr>
      <w:tr>
        <w:tc>
          <w:tcPr>
            <w:tcW w:type="dxa" w:w="3249"/>
          </w:tcPr>
          <w:p>
            <w:r/>
            <w:r>
              <w:rPr>
                <w:b w:val="0"/>
                <w:i w:val="0"/>
              </w:rPr>
              <w:t>Trailer while attached</w:t>
            </w:r>
          </w:p>
        </w:tc>
        <w:tc>
          <w:tcPr>
            <w:tcW w:type="dxa" w:w="3249"/>
          </w:tcPr>
          <w:p>
            <w:r/>
            <w:r>
              <w:rPr>
                <w:b w:val="0"/>
                <w:i w:val="0"/>
              </w:rPr>
              <w:t>Comprehensive</w:t>
            </w:r>
          </w:p>
        </w:tc>
        <w:tc>
          <w:tcPr>
            <w:tcW w:type="dxa" w:w="3249"/>
          </w:tcPr>
          <w:p>
            <w:r/>
            <w:r>
              <w:rPr>
                <w:b w:val="0"/>
                <w:i w:val="0"/>
              </w:rPr>
              <w:t>Loss of or damage to a trailer you own while it is attached to the Insured vehicle, unless it is insured separately</w:t>
            </w:r>
          </w:p>
        </w:tc>
      </w:tr>
      <w:tr>
        <w:tc>
          <w:tcPr>
            <w:tcW w:type="dxa" w:w="3249"/>
          </w:tcPr>
          <w:p>
            <w:r/>
            <w:r>
              <w:rPr>
                <w:b w:val="0"/>
                <w:i w:val="0"/>
              </w:rPr>
              <w:t>Emergency travel and accommodation</w:t>
            </w:r>
          </w:p>
        </w:tc>
        <w:tc>
          <w:tcPr>
            <w:tcW w:type="dxa" w:w="3249"/>
          </w:tcPr>
          <w:p>
            <w:r/>
            <w:r>
              <w:rPr>
                <w:b w:val="0"/>
                <w:i w:val="0"/>
              </w:rPr>
              <w:t>Comprehensive</w:t>
            </w:r>
          </w:p>
        </w:tc>
        <w:tc>
          <w:tcPr>
            <w:tcW w:type="dxa" w:w="3249"/>
          </w:tcPr>
          <w:p>
            <w:r/>
            <w:r>
              <w:rPr>
                <w:b w:val="0"/>
                <w:i w:val="0"/>
              </w:rPr>
              <w:t>Reasonable travel and accommodation costs where the vehicle cannot be driven after loss or damage more than the distance shown in the Schedule from its garaging address</w:t>
            </w:r>
          </w:p>
        </w:tc>
      </w:tr>
      <w:tr>
        <w:tc>
          <w:tcPr>
            <w:tcW w:type="dxa" w:w="3249"/>
          </w:tcPr>
          <w:p>
            <w:r/>
            <w:r>
              <w:rPr>
                <w:b w:val="0"/>
                <w:i w:val="0"/>
              </w:rPr>
              <w:t>Recovery after theft</w:t>
            </w:r>
          </w:p>
        </w:tc>
        <w:tc>
          <w:tcPr>
            <w:tcW w:type="dxa" w:w="3249"/>
          </w:tcPr>
          <w:p>
            <w:r/>
            <w:r>
              <w:rPr>
                <w:b w:val="0"/>
                <w:i w:val="0"/>
              </w:rPr>
              <w:t>Comprehensive; Third party, fire and theft</w:t>
            </w:r>
          </w:p>
        </w:tc>
        <w:tc>
          <w:tcPr>
            <w:tcW w:type="dxa" w:w="3249"/>
          </w:tcPr>
          <w:p>
            <w:r/>
            <w:r>
              <w:rPr>
                <w:b w:val="0"/>
                <w:i w:val="0"/>
              </w:rPr>
              <w:t>Reasonable costs of recovering and returning the vehicle after it is found</w:t>
            </w:r>
          </w:p>
        </w:tc>
      </w:tr>
      <w:tr>
        <w:tc>
          <w:tcPr>
            <w:tcW w:type="dxa" w:w="3249"/>
          </w:tcPr>
          <w:p>
            <w:r/>
            <w:r>
              <w:rPr>
                <w:b w:val="0"/>
                <w:i w:val="0"/>
              </w:rPr>
              <w:t>Employees' effects</w:t>
            </w:r>
          </w:p>
        </w:tc>
        <w:tc>
          <w:tcPr>
            <w:tcW w:type="dxa" w:w="3249"/>
          </w:tcPr>
          <w:p>
            <w:r/>
            <w:r>
              <w:rPr>
                <w:b w:val="0"/>
                <w:i w:val="0"/>
              </w:rPr>
              <w:t>Comprehensive</w:t>
            </w:r>
          </w:p>
        </w:tc>
        <w:tc>
          <w:tcPr>
            <w:tcW w:type="dxa" w:w="3249"/>
          </w:tcPr>
          <w:p>
            <w:r/>
            <w:r>
              <w:rPr>
                <w:b w:val="0"/>
                <w:i w:val="0"/>
              </w:rPr>
              <w:t>An employee's personal effects in the vehicle, where the driver is your employee</w:t>
            </w:r>
          </w:p>
        </w:tc>
      </w:tr>
    </w:tbl>
    <w:p>
      <w:r>
        <w:rPr>
          <w:b w:val="0"/>
          <w:i w:val="0"/>
        </w:rPr>
        <w:t xml:space="preserve">Signwriting, livery, modifications and accessories are part of the Insured vehicle and its Sum insured. You must tell us before inception or renewal where modifications and accessories on a vehicle are worth more than the amount shown in </w:t>
      </w:r>
      <w:hyperlink w:anchor="c_mot_appendix_default_schedule_values">
        <w:r>
          <w:rPr>
            <w:color w:val="2E5C4E"/>
            <w:u w:val="single"/>
          </w:rPr>
          <w:t xml:space="preserve">the Default Schedule Values</w:t>
        </w:r>
      </w:hyperlink>
      <w:r>
        <w:rPr>
          <w:b w:val="0"/>
          <w:i w:val="0"/>
        </w:rPr>
        <w:t>.</w:t>
      </w:r>
    </w:p>
    <w:p>
      <w:bookmarkStart w:id="36" w:name="c_mot_excl_vehicle_cover"/>
      <w:r>
        <w:rPr>
          <w:rFonts w:ascii="Georgia" w:hAnsi="Georgia" w:eastAsia="Georgia"/>
          <w:b/>
          <w:i w:val="0"/>
          <w:color w:val="2E5C4E"/>
          <w:sz w:val="25"/>
        </w:rPr>
        <w:t>What Is Not Covered for Your Vehicles</w:t>
      </w:r>
      <w:bookmarkEnd w:id="36"/>
    </w:p>
    <w:p>
      <w:r>
        <w:rPr>
          <w:b w:val="0"/>
          <w:i w:val="0"/>
        </w:rPr>
        <w:t xml:space="preserve">In addition to </w:t>
      </w:r>
      <w:hyperlink w:anchor="c_mot_section_general_exclusions">
        <w:r>
          <w:rPr>
            <w:color w:val="2E5C4E"/>
            <w:u w:val="single"/>
          </w:rPr>
          <w:t xml:space="preserve">the General Exclusions section</w:t>
        </w:r>
      </w:hyperlink>
      <w:r>
        <w:rPr>
          <w:b w:val="0"/>
          <w:i w:val="0"/>
        </w:rPr>
        <w:t xml:space="preserve">, we do not pay under </w:t>
      </w:r>
      <w:hyperlink w:anchor="c_mot_section_vehicle_cover">
        <w:r>
          <w:rPr>
            <w:color w:val="2E5C4E"/>
            <w:u w:val="single"/>
          </w:rPr>
          <w:t xml:space="preserve">Cover for Your Vehicles</w:t>
        </w:r>
      </w:hyperlink>
      <w:r>
        <w:rPr>
          <w:b w:val="0"/>
          <w:i w:val="0"/>
        </w:rPr>
        <w:t xml:space="preserve"> for:</w:t>
      </w:r>
    </w:p>
    <w:p>
      <w:pPr>
        <w:pStyle w:val="ListBullet"/>
      </w:pPr>
      <w:r>
        <w:rPr>
          <w:b w:val="0"/>
          <w:i w:val="0"/>
        </w:rPr>
        <w:t>mechanical, electrical or electronic breakdown, failure, wear and tear, rust or corrosion, unless caused by an insured event;</w:t>
      </w:r>
    </w:p>
    <w:p>
      <w:pPr>
        <w:pStyle w:val="ListBullet"/>
      </w:pPr>
      <w:r>
        <w:rPr>
          <w:b w:val="0"/>
          <w:i w:val="0"/>
        </w:rPr>
        <w:t>damage to tyres by road punctures, cuts or bursts, unless other insured damage to the vehicle happens at the same time;</w:t>
      </w:r>
    </w:p>
    <w:p>
      <w:pPr>
        <w:pStyle w:val="ListBullet"/>
      </w:pPr>
      <w:r>
        <w:rPr>
          <w:b w:val="0"/>
          <w:i w:val="0"/>
        </w:rPr>
        <w:t>loss of value or depreciation after a repair;</w:t>
      </w:r>
    </w:p>
    <w:p>
      <w:pPr>
        <w:pStyle w:val="ListBullet"/>
      </w:pPr>
      <w:r>
        <w:rPr>
          <w:b w:val="0"/>
          <w:i w:val="0"/>
        </w:rPr>
        <w:t xml:space="preserve">loss of use, loss of income or any other consequential loss, except the benefits in </w:t>
      </w:r>
      <w:hyperlink w:anchor="c_mot_ext_additional_benefits">
        <w:r>
          <w:rPr>
            <w:color w:val="2E5C4E"/>
            <w:u w:val="single"/>
          </w:rPr>
          <w:t xml:space="preserve">the Additional Benefits extension</w:t>
        </w:r>
      </w:hyperlink>
      <w:r>
        <w:rPr>
          <w:b w:val="0"/>
          <w:i w:val="0"/>
        </w:rPr>
        <w:t>; or</w:t>
      </w:r>
    </w:p>
    <w:p>
      <w:pPr>
        <w:pStyle w:val="ListBullet"/>
      </w:pPr>
      <w:r>
        <w:rPr>
          <w:b w:val="0"/>
          <w:i w:val="0"/>
        </w:rPr>
        <w:t>loss of or damage to a vehicle taken by a person who obtained it by deception or a dishonoured payment, unless you are a motor dealer and the Schedule shows that this risk is covered.</w:t>
      </w:r>
    </w:p>
    <w:p>
      <w:bookmarkStart w:id="37" w:name="c_mot_section_liability"/>
      <w:r>
        <w:rPr>
          <w:rFonts w:ascii="Georgia" w:hAnsi="Georgia" w:eastAsia="Georgia"/>
          <w:b/>
          <w:i w:val="0"/>
          <w:color w:val="1C1915"/>
          <w:sz w:val="32"/>
        </w:rPr>
        <w:t>Your Legal Liability</w:t>
      </w:r>
      <w:bookmarkEnd w:id="37"/>
    </w:p>
    <w:p>
      <w:r>
        <w:rPr>
          <w:b w:val="0"/>
          <w:i w:val="0"/>
        </w:rPr>
        <w:t>This section applies to every Insured vehicle, whatever its cover level.</w:t>
      </w:r>
    </w:p>
    <w:p>
      <w:bookmarkStart w:id="38" w:name="c_mot_cover_third_party_property_damage"/>
      <w:r>
        <w:rPr>
          <w:rFonts w:ascii="Georgia" w:hAnsi="Georgia" w:eastAsia="Georgia"/>
          <w:b/>
          <w:i w:val="0"/>
          <w:color w:val="2E5C4E"/>
          <w:sz w:val="25"/>
        </w:rPr>
        <w:t>Third Party Property Damage</w:t>
      </w:r>
      <w:bookmarkEnd w:id="38"/>
    </w:p>
    <w:p>
      <w:r>
        <w:rPr>
          <w:b w:val="0"/>
          <w:i w:val="0"/>
        </w:rPr>
        <w:t>If an Insured person becomes legally liable to pay compensation for damage to other people's property caused by an Occurrence during the Period of Insurance arising from the use of an Insured vehicle or a Substitute vehicle, we will pay that compensation, up to the third party property damage limit shown in the Schedule for each Occurrence. We also pay the reasonable legal costs of defending the claim that we incur or approve in writing; these costs are paid in addition to the limit.</w:t>
      </w:r>
    </w:p>
    <w:p>
      <w:bookmarkStart w:id="39" w:name="c_mot_cover_who_is_covered"/>
      <w:r>
        <w:rPr>
          <w:rFonts w:ascii="Georgia" w:hAnsi="Georgia" w:eastAsia="Georgia"/>
          <w:b/>
          <w:i w:val="0"/>
          <w:color w:val="2E5C4E"/>
          <w:sz w:val="25"/>
        </w:rPr>
        <w:t>Who Is Covered</w:t>
      </w:r>
      <w:bookmarkEnd w:id="39"/>
    </w:p>
    <w:p>
      <w:r>
        <w:rPr>
          <w:b w:val="0"/>
          <w:i w:val="0"/>
        </w:rPr>
        <w:t>Each of the following is an Insured person under this section: you; any person driving, using or in charge of an Insured vehicle with your permission; any passenger in, or getting into or out of, an Insured vehicle; and your employer or principal, where an Insured vehicle is being used in their business with your consent. Each Insured person is covered as if a separate policy had been issued to them, but our total liability for each Occurrence does not exceed the limits shown in the Schedule.</w:t>
      </w:r>
    </w:p>
    <w:p>
      <w:bookmarkStart w:id="40" w:name="c_mot_ext_dangerous_goods"/>
      <w:r>
        <w:rPr>
          <w:rFonts w:ascii="Georgia" w:hAnsi="Georgia" w:eastAsia="Georgia"/>
          <w:b/>
          <w:i w:val="0"/>
          <w:color w:val="2E5C4E"/>
          <w:sz w:val="25"/>
        </w:rPr>
        <w:t>Dangerous Goods Liability</w:t>
      </w:r>
      <w:bookmarkEnd w:id="40"/>
    </w:p>
    <w:p>
      <w:r>
        <w:rPr>
          <w:b w:val="0"/>
          <w:i w:val="0"/>
        </w:rPr>
        <w:t xml:space="preserve">Where an Insured vehicle carries Dangerous goods in compliance with the law that applies to their carriage, </w:t>
      </w:r>
      <w:hyperlink w:anchor="c_mot_cover_third_party_property_damage">
        <w:r>
          <w:rPr>
            <w:color w:val="2E5C4E"/>
            <w:u w:val="single"/>
          </w:rPr>
          <w:t xml:space="preserve">the Third Party Property Damage clause</w:t>
        </w:r>
      </w:hyperlink>
      <w:r>
        <w:rPr>
          <w:b w:val="0"/>
          <w:i w:val="0"/>
        </w:rPr>
        <w:t xml:space="preserve"> applies to liability arising from the Dangerous goods, up to the Dangerous goods sub-limit shown in the Schedule for each Occurrence. The sub-limit is part of, not in addition to, the third party property damage limit. Carriage in breach of that law is excluded by </w:t>
      </w:r>
      <w:hyperlink w:anchor="c_mot_excl_liability">
        <w:r>
          <w:rPr>
            <w:color w:val="2E5C4E"/>
            <w:u w:val="single"/>
          </w:rPr>
          <w:t xml:space="preserve">the What Is Not Covered for Your Legal Liability exclusion</w:t>
        </w:r>
      </w:hyperlink>
      <w:r>
        <w:rPr>
          <w:b w:val="0"/>
          <w:i w:val="0"/>
        </w:rPr>
        <w:t>.</w:t>
      </w:r>
    </w:p>
    <w:p>
      <w:bookmarkStart w:id="41" w:name="c_mot_ext_supplementary_bodily_injury"/>
      <w:r>
        <w:rPr>
          <w:rFonts w:ascii="Georgia" w:hAnsi="Georgia" w:eastAsia="Georgia"/>
          <w:b/>
          <w:i w:val="0"/>
          <w:color w:val="2E5C4E"/>
          <w:sz w:val="25"/>
        </w:rPr>
        <w:t>Supplementary Bodily Injury</w:t>
      </w:r>
      <w:bookmarkEnd w:id="41"/>
    </w:p>
    <w:p>
      <w:r>
        <w:rPr>
          <w:b w:val="0"/>
          <w:i w:val="0"/>
        </w:rPr>
        <w:t>We will pay the compensation an Insured person becomes legally liable to pay for the death of, or bodily injury to, another person caused by an Occurrence during the Period of Insurance arising from the use of an Insured vehicle, but only where the liability is not covered, in whole or in part, by any compulsory third party insurance or statutory accident compensation scheme, and the vehicle was registered, and any required compulsory third party insurance was in force, at the time (or the vehicle was not required to be registered). The most we pay is the supplementary bodily injury sub-limit shown in the Schedule for each Occurrence, which is part of, not in addition to, the third party property damage limit.</w:t>
      </w:r>
    </w:p>
    <w:p>
      <w:r>
        <w:rPr>
          <w:b w:val="0"/>
          <w:i w:val="0"/>
        </w:rPr>
        <w:t>We do not pay under this extension any amount a scheme has paid or would have paid had the registration, insurance and claim requirements of the scheme been met; death of or injury to the driver of the Insured vehicle; or fines, penalties or aggravated, punitive or exemplary damages.</w:t>
      </w:r>
    </w:p>
    <w:p>
      <w:bookmarkStart w:id="42" w:name="c_mot_ext_uninsured_motorist"/>
      <w:r>
        <w:rPr>
          <w:rFonts w:ascii="Georgia" w:hAnsi="Georgia" w:eastAsia="Georgia"/>
          <w:b/>
          <w:i w:val="0"/>
          <w:color w:val="2E5C4E"/>
          <w:sz w:val="25"/>
        </w:rPr>
        <w:t>Uninsured Motorist Damage</w:t>
      </w:r>
      <w:bookmarkEnd w:id="42"/>
    </w:p>
    <w:p>
      <w:r>
        <w:rPr>
          <w:b w:val="0"/>
          <w:i w:val="0"/>
        </w:rPr>
        <w:t>If an Insured vehicle shown as Third party, fire and theft or Third party only is damaged in a collision with another vehicle whose driver is uninsured, and we agree that the driver of the Insured vehicle was not at fault, we will pay for the damage up to the amount shown in the Schedule, provided you give us the name and address of the other driver and the registration of their vehicle.</w:t>
      </w:r>
    </w:p>
    <w:p>
      <w:bookmarkStart w:id="43" w:name="c_mot_ext_substitute_vehicles"/>
      <w:r>
        <w:rPr>
          <w:rFonts w:ascii="Georgia" w:hAnsi="Georgia" w:eastAsia="Georgia"/>
          <w:b/>
          <w:i w:val="0"/>
          <w:color w:val="2E5C4E"/>
          <w:sz w:val="25"/>
        </w:rPr>
        <w:t>Substitute Vehicles</w:t>
      </w:r>
      <w:bookmarkEnd w:id="43"/>
    </w:p>
    <w:p>
      <w:hyperlink w:anchor="c_mot_cover_third_party_property_damage">
        <w:r>
          <w:rPr>
            <w:color w:val="2E5C4E"/>
            <w:u w:val="single"/>
          </w:rPr>
          <w:t xml:space="preserve">the Third Party Property Damage clause</w:t>
        </w:r>
      </w:hyperlink>
      <w:r>
        <w:rPr>
          <w:b w:val="0"/>
          <w:i w:val="0"/>
        </w:rPr>
        <w:t xml:space="preserve"> extends to liability arising from the use of a Substitute vehicle, as though it were an Insured vehicle. It does not extend to loss of or damage to the Substitute vehicle itself.</w:t>
      </w:r>
    </w:p>
    <w:p>
      <w:bookmarkStart w:id="44" w:name="c_mot_ext_non_owned_trailers"/>
      <w:r>
        <w:rPr>
          <w:rFonts w:ascii="Georgia" w:hAnsi="Georgia" w:eastAsia="Georgia"/>
          <w:b/>
          <w:i w:val="0"/>
          <w:color w:val="2E5C4E"/>
          <w:sz w:val="25"/>
        </w:rPr>
        <w:t>Trailers</w:t>
      </w:r>
      <w:bookmarkEnd w:id="44"/>
    </w:p>
    <w:p>
      <w:hyperlink w:anchor="c_mot_cover_third_party_property_damage">
        <w:r>
          <w:rPr>
            <w:color w:val="2E5C4E"/>
            <w:u w:val="single"/>
          </w:rPr>
          <w:t xml:space="preserve">the Third Party Property Damage clause</w:t>
        </w:r>
      </w:hyperlink>
      <w:r>
        <w:rPr>
          <w:b w:val="0"/>
          <w:i w:val="0"/>
        </w:rPr>
        <w:t xml:space="preserve"> extends to liability arising from a trailer while it is attached to, or has accidentally become detached from, an Insured vehicle, whether or not you own it.</w:t>
      </w:r>
    </w:p>
    <w:p>
      <w:bookmarkStart w:id="45" w:name="c_mot_excl_liability"/>
      <w:r>
        <w:rPr>
          <w:rFonts w:ascii="Georgia" w:hAnsi="Georgia" w:eastAsia="Georgia"/>
          <w:b/>
          <w:i w:val="0"/>
          <w:color w:val="2E5C4E"/>
          <w:sz w:val="25"/>
        </w:rPr>
        <w:t>What Is Not Covered for Your Legal Liability</w:t>
      </w:r>
      <w:bookmarkEnd w:id="45"/>
    </w:p>
    <w:p>
      <w:r>
        <w:rPr>
          <w:b w:val="0"/>
          <w:i w:val="0"/>
        </w:rPr>
        <w:t xml:space="preserve">In addition to </w:t>
      </w:r>
      <w:hyperlink w:anchor="c_mot_section_general_exclusions">
        <w:r>
          <w:rPr>
            <w:color w:val="2E5C4E"/>
            <w:u w:val="single"/>
          </w:rPr>
          <w:t xml:space="preserve">the General Exclusions section</w:t>
        </w:r>
      </w:hyperlink>
      <w:r>
        <w:rPr>
          <w:b w:val="0"/>
          <w:i w:val="0"/>
        </w:rPr>
        <w:t xml:space="preserve">, we do not pay under </w:t>
      </w:r>
      <w:hyperlink w:anchor="c_mot_section_liability">
        <w:r>
          <w:rPr>
            <w:color w:val="2E5C4E"/>
            <w:u w:val="single"/>
          </w:rPr>
          <w:t xml:space="preserve">Your Legal Liability</w:t>
        </w:r>
      </w:hyperlink>
      <w:r>
        <w:rPr>
          <w:b w:val="0"/>
          <w:i w:val="0"/>
        </w:rPr>
        <w:t xml:space="preserve"> for liability:</w:t>
      </w:r>
    </w:p>
    <w:p>
      <w:pPr>
        <w:pStyle w:val="ListBullet"/>
      </w:pPr>
      <w:r>
        <w:rPr>
          <w:b w:val="0"/>
          <w:i w:val="0"/>
        </w:rPr>
        <w:t xml:space="preserve">for damage to property owned by, leased to, or in the custody or control of an Insured person, other than a Substitute vehicle, a trailer covered by </w:t>
      </w:r>
      <w:hyperlink w:anchor="c_mot_ext_non_owned_trailers">
        <w:r>
          <w:rPr>
            <w:color w:val="2E5C4E"/>
            <w:u w:val="single"/>
          </w:rPr>
          <w:t xml:space="preserve">the Trailers extension</w:t>
        </w:r>
      </w:hyperlink>
      <w:r>
        <w:rPr>
          <w:b w:val="0"/>
          <w:i w:val="0"/>
        </w:rPr>
        <w:t>, and employees' and visitors' vehicles in a car park you operate as part of your business;</w:t>
      </w:r>
    </w:p>
    <w:p>
      <w:pPr>
        <w:pStyle w:val="ListBullet"/>
      </w:pPr>
      <w:r>
        <w:rPr>
          <w:b w:val="0"/>
          <w:i w:val="0"/>
        </w:rPr>
        <w:t xml:space="preserve">for death or bodily injury, except as provided by </w:t>
      </w:r>
      <w:hyperlink w:anchor="c_mot_ext_supplementary_bodily_injury">
        <w:r>
          <w:rPr>
            <w:color w:val="2E5C4E"/>
            <w:u w:val="single"/>
          </w:rPr>
          <w:t xml:space="preserve">the Supplementary Bodily Injury extension</w:t>
        </w:r>
      </w:hyperlink>
      <w:r>
        <w:rPr>
          <w:b w:val="0"/>
          <w:i w:val="0"/>
        </w:rPr>
        <w:t>;</w:t>
      </w:r>
    </w:p>
    <w:p>
      <w:pPr>
        <w:pStyle w:val="ListBullet"/>
      </w:pPr>
      <w:r>
        <w:rPr>
          <w:b w:val="0"/>
          <w:i w:val="0"/>
        </w:rPr>
        <w:t>that is covered, or is required by law to be covered, by workers' compensation insurance, or that arises under an industrial award or agreement;</w:t>
      </w:r>
    </w:p>
    <w:p>
      <w:pPr>
        <w:pStyle w:val="ListBullet"/>
      </w:pPr>
      <w:r>
        <w:rPr>
          <w:b w:val="0"/>
          <w:i w:val="0"/>
        </w:rPr>
        <w:t>arising from the carriage of Dangerous goods in breach of the law that applies to their carriage;</w:t>
      </w:r>
    </w:p>
    <w:p>
      <w:pPr>
        <w:pStyle w:val="ListBullet"/>
      </w:pPr>
      <w:r>
        <w:rPr>
          <w:b w:val="0"/>
          <w:i w:val="0"/>
        </w:rPr>
        <w:t>arising from the use of a vehicle as a Tool of trade (road risk while the vehicle is driven as transport remains covered);</w:t>
      </w:r>
    </w:p>
    <w:p>
      <w:pPr>
        <w:pStyle w:val="ListBullet"/>
      </w:pPr>
      <w:r>
        <w:rPr>
          <w:b w:val="0"/>
          <w:i w:val="0"/>
        </w:rPr>
        <w:t>assumed under a contract, except to the extent you would have been liable without it; or</w:t>
      </w:r>
    </w:p>
    <w:p>
      <w:pPr>
        <w:pStyle w:val="ListBullet"/>
      </w:pPr>
      <w:r>
        <w:rPr>
          <w:b w:val="0"/>
          <w:i w:val="0"/>
        </w:rPr>
        <w:t>for fines or penalties, or aggravated, punitive or exemplary damages.</w:t>
      </w:r>
    </w:p>
    <w:p>
      <w:bookmarkStart w:id="46" w:name="c_mot_section_fleet"/>
      <w:r>
        <w:rPr>
          <w:rFonts w:ascii="Georgia" w:hAnsi="Georgia" w:eastAsia="Georgia"/>
          <w:b/>
          <w:i w:val="0"/>
          <w:color w:val="1C1915"/>
          <w:sz w:val="32"/>
        </w:rPr>
        <w:t>Fleet Provisions</w:t>
      </w:r>
      <w:bookmarkEnd w:id="46"/>
    </w:p>
    <w:p>
      <w:r>
        <w:rPr>
          <w:b w:val="0"/>
          <w:i w:val="0"/>
        </w:rPr>
        <w:t>This section applies only where the Schedule shows that the Policy is written on a Fleet basis. Where it applies, it applies to every Insured vehicle.</w:t>
      </w:r>
    </w:p>
    <w:p>
      <w:bookmarkStart w:id="47" w:name="c_mot_fleet_automatic_cover"/>
      <w:r>
        <w:rPr>
          <w:rFonts w:ascii="Georgia" w:hAnsi="Georgia" w:eastAsia="Georgia"/>
          <w:b/>
          <w:i w:val="0"/>
          <w:color w:val="2E5C4E"/>
          <w:sz w:val="25"/>
        </w:rPr>
        <w:t>Automatic Cover for New and Replacement Vehicles</w:t>
      </w:r>
      <w:bookmarkEnd w:id="47"/>
    </w:p>
    <w:p>
      <w:r>
        <w:rPr>
          <w:b w:val="0"/>
          <w:i w:val="0"/>
        </w:rPr>
        <w:t xml:space="preserve">A vehicle you buy or lease during the Period of Insurance is covered automatically from the time you take possession of it, on the same cover level and terms as the highest-covered Insured vehicle of the same type, up to the value limit shown in </w:t>
      </w:r>
      <w:hyperlink w:anchor="c_mot_appendix_default_schedule_values">
        <w:r>
          <w:rPr>
            <w:color w:val="2E5C4E"/>
            <w:u w:val="single"/>
          </w:rPr>
          <w:t xml:space="preserve">the Default Schedule Values</w:t>
        </w:r>
      </w:hyperlink>
      <w:r>
        <w:rPr>
          <w:b w:val="0"/>
          <w:i w:val="0"/>
        </w:rPr>
        <w:t>, provided that you declare it by the earlier of the next Declaration date and the notice period shown in that appendix, its type is consistent with the vehicles you have declared, and you pay any additional premium. A vehicle declared after the notice period is covered from the date we accept it in writing.</w:t>
      </w:r>
    </w:p>
    <w:p>
      <w:bookmarkStart w:id="48" w:name="c_mot_fleet_declarations"/>
      <w:r>
        <w:rPr>
          <w:rFonts w:ascii="Georgia" w:hAnsi="Georgia" w:eastAsia="Georgia"/>
          <w:b/>
          <w:i w:val="0"/>
          <w:color w:val="2E5C4E"/>
          <w:sz w:val="25"/>
        </w:rPr>
        <w:t>Declarations and Premium Adjustment</w:t>
      </w:r>
      <w:bookmarkEnd w:id="48"/>
    </w:p>
    <w:p>
      <w:r>
        <w:rPr>
          <w:b w:val="0"/>
          <w:i w:val="0"/>
        </w:rPr>
        <w:t xml:space="preserve">You must declare vehicles added to and removed from the fleet at the frequency shown in the Schedule (monthly, quarterly or at the end of the Period of Insurance). Where the Schedule shows a pro-rata basis, we adjust the premium for each vehicle added or removed from the date of the change. Where the Schedule shows an annual declaration basis, we adjust the premium at the end of the Period of Insurance on the difference between the vehicles declared at inception and at expiry, at the percentage of the annual rate shown in the Schedule. We will not refuse or reduce a claim only because a vehicle had not yet been declared, where it was covered under </w:t>
      </w:r>
      <w:hyperlink w:anchor="c_mot_fleet_automatic_cover">
        <w:r>
          <w:rPr>
            <w:color w:val="2E5C4E"/>
            <w:u w:val="single"/>
          </w:rPr>
          <w:t xml:space="preserve">the Automatic Cover for New and Replacement Vehicles extension</w:t>
        </w:r>
      </w:hyperlink>
      <w:r>
        <w:rPr>
          <w:b w:val="0"/>
          <w:i w:val="0"/>
        </w:rPr>
        <w:t>.</w:t>
      </w:r>
    </w:p>
    <w:p>
      <w:bookmarkStart w:id="49" w:name="c_mot_fleet_employees_vehicles"/>
      <w:r>
        <w:rPr>
          <w:rFonts w:ascii="Georgia" w:hAnsi="Georgia" w:eastAsia="Georgia"/>
          <w:b/>
          <w:i w:val="0"/>
          <w:color w:val="2E5C4E"/>
          <w:sz w:val="25"/>
        </w:rPr>
        <w:t>Employees' and Directors' Vehicles</w:t>
      </w:r>
      <w:bookmarkEnd w:id="49"/>
    </w:p>
    <w:p>
      <w:r>
        <w:rPr>
          <w:b w:val="0"/>
          <w:i w:val="0"/>
        </w:rPr>
        <w:t xml:space="preserve">While an employee or director uses their own private vehicle in your business, </w:t>
      </w:r>
      <w:hyperlink w:anchor="c_mot_cover_third_party_property_damage">
        <w:r>
          <w:rPr>
            <w:color w:val="2E5C4E"/>
            <w:u w:val="single"/>
          </w:rPr>
          <w:t xml:space="preserve">the Third Party Property Damage clause</w:t>
        </w:r>
      </w:hyperlink>
      <w:r>
        <w:rPr>
          <w:b w:val="0"/>
          <w:i w:val="0"/>
        </w:rPr>
        <w:t xml:space="preserve"> extends to your liability arising from that use, where their own motor insurance does not respond or is not enough. This extension does not cover loss of or damage to the employee's or director's own vehicle.</w:t>
      </w:r>
    </w:p>
    <w:p>
      <w:bookmarkStart w:id="50" w:name="c_mot_fleet_courtesy_vehicles"/>
      <w:r>
        <w:rPr>
          <w:rFonts w:ascii="Georgia" w:hAnsi="Georgia" w:eastAsia="Georgia"/>
          <w:b/>
          <w:i w:val="0"/>
          <w:color w:val="2E5C4E"/>
          <w:sz w:val="25"/>
        </w:rPr>
        <w:t>Courtesy and Loan Vehicles</w:t>
      </w:r>
      <w:bookmarkEnd w:id="50"/>
    </w:p>
    <w:p>
      <w:r>
        <w:rPr>
          <w:b w:val="0"/>
          <w:i w:val="0"/>
        </w:rPr>
        <w:t xml:space="preserve">Vehicles you own and lend to customers as courtesy or loan vehicles are covered on the same terms as your other Insured vehicles of the same type, provided they are shown in the Schedule or declared within the notice period in </w:t>
      </w:r>
      <w:hyperlink w:anchor="c_mot_fleet_automatic_cover">
        <w:r>
          <w:rPr>
            <w:color w:val="2E5C4E"/>
            <w:u w:val="single"/>
          </w:rPr>
          <w:t xml:space="preserve">the Automatic Cover for New and Replacement Vehicles extension</w:t>
        </w:r>
      </w:hyperlink>
      <w:r>
        <w:rPr>
          <w:b w:val="0"/>
          <w:i w:val="0"/>
        </w:rPr>
        <w:t>.</w:t>
      </w:r>
    </w:p>
    <w:p>
      <w:bookmarkStart w:id="51" w:name="c_mot_fleet_undeclared_vehicles"/>
      <w:r>
        <w:rPr>
          <w:rFonts w:ascii="Georgia" w:hAnsi="Georgia" w:eastAsia="Georgia"/>
          <w:b/>
          <w:i w:val="0"/>
          <w:color w:val="2E5C4E"/>
          <w:sz w:val="25"/>
        </w:rPr>
        <w:t>Undeclared Vehicles</w:t>
      </w:r>
      <w:bookmarkEnd w:id="51"/>
    </w:p>
    <w:p>
      <w:r>
        <w:rPr>
          <w:b w:val="0"/>
          <w:i w:val="0"/>
        </w:rPr>
        <w:t xml:space="preserve">Where you use a vehicle in your business that is not shown in the Schedule and is not covered by </w:t>
      </w:r>
      <w:hyperlink w:anchor="c_mot_fleet_automatic_cover">
        <w:r>
          <w:rPr>
            <w:color w:val="2E5C4E"/>
            <w:u w:val="single"/>
          </w:rPr>
          <w:t xml:space="preserve">the Automatic Cover for New and Replacement Vehicles extension</w:t>
        </w:r>
      </w:hyperlink>
      <w:r>
        <w:rPr>
          <w:b w:val="0"/>
          <w:i w:val="0"/>
        </w:rPr>
        <w:t xml:space="preserve">, </w:t>
      </w:r>
      <w:hyperlink w:anchor="c_mot_section_liability">
        <w:r>
          <w:rPr>
            <w:color w:val="2E5C4E"/>
            <w:u w:val="single"/>
          </w:rPr>
          <w:t xml:space="preserve">Your Legal Liability</w:t>
        </w:r>
      </w:hyperlink>
      <w:r>
        <w:rPr>
          <w:b w:val="0"/>
          <w:i w:val="0"/>
        </w:rPr>
        <w:t xml:space="preserve"> applies to it for up to the grace period shown in </w:t>
      </w:r>
      <w:hyperlink w:anchor="c_mot_appendix_default_schedule_values">
        <w:r>
          <w:rPr>
            <w:color w:val="2E5C4E"/>
            <w:u w:val="single"/>
          </w:rPr>
          <w:t xml:space="preserve">the Default Schedule Values</w:t>
        </w:r>
      </w:hyperlink>
      <w:r>
        <w:rPr>
          <w:b w:val="0"/>
          <w:i w:val="0"/>
        </w:rPr>
        <w:t>, provided you tell us about it and pay any additional premium.</w:t>
      </w:r>
    </w:p>
    <w:p>
      <w:bookmarkStart w:id="52" w:name="c_mot_fleet_interstate_registration"/>
      <w:r>
        <w:rPr>
          <w:rFonts w:ascii="Georgia" w:hAnsi="Georgia" w:eastAsia="Georgia"/>
          <w:b/>
          <w:i w:val="0"/>
          <w:color w:val="2E5C4E"/>
          <w:sz w:val="25"/>
        </w:rPr>
        <w:t>Interstate Registration and Garaging</w:t>
      </w:r>
      <w:bookmarkEnd w:id="52"/>
    </w:p>
    <w:p>
      <w:r>
        <w:rPr>
          <w:b w:val="0"/>
          <w:i w:val="0"/>
        </w:rPr>
        <w:t>Vehicles registered or garaged in different States and Territories are covered under this one Policy. Stamp duty and levies are charged according to the State or Territory where each vehicle is normally garaged. You must tell us when a vehicle's normal garaging changes to another State or Territory.</w:t>
      </w:r>
    </w:p>
    <w:p>
      <w:bookmarkStart w:id="53" w:name="c_mot_fleet_claims_experience"/>
      <w:r>
        <w:rPr>
          <w:rFonts w:ascii="Georgia" w:hAnsi="Georgia" w:eastAsia="Georgia"/>
          <w:b/>
          <w:i w:val="0"/>
          <w:color w:val="2E5C4E"/>
          <w:sz w:val="25"/>
        </w:rPr>
        <w:t>Fleet Claims Experience Report</w:t>
      </w:r>
      <w:bookmarkEnd w:id="53"/>
    </w:p>
    <w:p>
      <w:r>
        <w:rPr>
          <w:b w:val="0"/>
          <w:i w:val="0"/>
        </w:rPr>
        <w:t>Within 30 days of your request, we will give you a written summary of the fleet's claims experience for the current and previous Periods of Insurance with us: the number of claims, the amount paid and the amount reserved for each Period of Insurance.</w:t>
      </w:r>
    </w:p>
    <w:p>
      <w:bookmarkStart w:id="54" w:name="c_mot_fleet_excess_discount"/>
      <w:r>
        <w:rPr>
          <w:rFonts w:ascii="Georgia" w:hAnsi="Georgia" w:eastAsia="Georgia"/>
          <w:b/>
          <w:i w:val="0"/>
          <w:color w:val="2E5C4E"/>
          <w:sz w:val="25"/>
        </w:rPr>
        <w:t>Fleet Excess Discount</w:t>
      </w:r>
      <w:bookmarkEnd w:id="54"/>
    </w:p>
    <w:p>
      <w:r>
        <w:rPr>
          <w:b w:val="0"/>
          <w:i w:val="0"/>
        </w:rPr>
        <w:t xml:space="preserve">Where the fleet has 10 or more Insured vehicles and there are no more than the number of at-fault claims shown in </w:t>
      </w:r>
      <w:hyperlink w:anchor="c_mot_appendix_default_schedule_values">
        <w:r>
          <w:rPr>
            <w:color w:val="2E5C4E"/>
            <w:u w:val="single"/>
          </w:rPr>
          <w:t xml:space="preserve">the Default Schedule Values</w:t>
        </w:r>
      </w:hyperlink>
      <w:r>
        <w:rPr>
          <w:b w:val="0"/>
          <w:i w:val="0"/>
        </w:rPr>
        <w:t xml:space="preserve"> across the fleet in a Period of Insurance, we will reduce the basic excess at the next renewal by the percentage shown there.</w:t>
      </w:r>
    </w:p>
    <w:p>
      <w:bookmarkStart w:id="55" w:name="c_mot_section_general_exclusions"/>
      <w:r>
        <w:rPr>
          <w:rFonts w:ascii="Georgia" w:hAnsi="Georgia" w:eastAsia="Georgia"/>
          <w:b/>
          <w:i w:val="0"/>
          <w:color w:val="1C1915"/>
          <w:sz w:val="32"/>
        </w:rPr>
        <w:t>General Exclusions</w:t>
      </w:r>
      <w:bookmarkEnd w:id="55"/>
    </w:p>
    <w:p>
      <w:r>
        <w:rPr>
          <w:b w:val="0"/>
          <w:i w:val="0"/>
        </w:rPr>
        <w:t xml:space="preserve">These exclusions apply to every section of this Policy. A section may have its own exclusions as well. Where an exclusion refers to a driver, it applies only to loss, damage or liability that arises while that person is in charge of the Insured vehicle. </w:t>
      </w:r>
      <w:hyperlink w:anchor="c_mot_cond_insurance_contracts_act">
        <w:r>
          <w:rPr>
            <w:color w:val="2E5C4E"/>
            <w:u w:val="single"/>
          </w:rPr>
          <w:t xml:space="preserve">the The Insurance Contracts Act condition</w:t>
        </w:r>
      </w:hyperlink>
      <w:r>
        <w:rPr>
          <w:b w:val="0"/>
          <w:i w:val="0"/>
        </w:rPr>
        <w:t xml:space="preserve"> applies to each of them.</w:t>
      </w:r>
    </w:p>
    <w:p>
      <w:bookmarkStart w:id="56" w:name="c_mot_excl_unlicensed_driver"/>
      <w:r>
        <w:rPr>
          <w:rFonts w:ascii="Georgia" w:hAnsi="Georgia" w:eastAsia="Georgia"/>
          <w:b/>
          <w:i w:val="0"/>
          <w:color w:val="2E5C4E"/>
          <w:sz w:val="25"/>
        </w:rPr>
        <w:t>Unlicensed or Disqualified Driver</w:t>
      </w:r>
      <w:bookmarkEnd w:id="56"/>
    </w:p>
    <w:p>
      <w:r>
        <w:rPr>
          <w:b w:val="0"/>
          <w:i w:val="0"/>
        </w:rPr>
        <w:t>Loss, damage or liability while the Insured vehicle is driven by a person who does not hold a current licence appropriate for the vehicle, or whose licence is suspended, cancelled or disqualified. This exclusion does not apply where you did not know, and could not reasonably have known, that the driver was unlicensed or disqualified.</w:t>
      </w:r>
    </w:p>
    <w:p>
      <w:bookmarkStart w:id="57" w:name="c_mot_excl_alcohol_and_drugs"/>
      <w:r>
        <w:rPr>
          <w:rFonts w:ascii="Georgia" w:hAnsi="Georgia" w:eastAsia="Georgia"/>
          <w:b/>
          <w:i w:val="0"/>
          <w:color w:val="2E5C4E"/>
          <w:sz w:val="25"/>
        </w:rPr>
        <w:t>Alcohol and Drugs</w:t>
      </w:r>
      <w:bookmarkEnd w:id="57"/>
    </w:p>
    <w:p>
      <w:r>
        <w:rPr>
          <w:b w:val="0"/>
          <w:i w:val="0"/>
        </w:rPr>
        <w:t>Loss, damage or liability while the Insured vehicle is driven by a person whose ability to drive is impaired by alcohol or a drug, who has a blood or breath alcohol level above the legal limit for that driver, or who refuses a lawful test. This exclusion does not apply where the vehicle was driven without your consent.</w:t>
      </w:r>
    </w:p>
    <w:p>
      <w:bookmarkStart w:id="58" w:name="c_mot_excl_unroadworthy_condition"/>
      <w:r>
        <w:rPr>
          <w:rFonts w:ascii="Georgia" w:hAnsi="Georgia" w:eastAsia="Georgia"/>
          <w:b/>
          <w:i w:val="0"/>
          <w:color w:val="2E5C4E"/>
          <w:sz w:val="25"/>
        </w:rPr>
        <w:t>Unsafe or Unroadworthy Condition</w:t>
      </w:r>
      <w:bookmarkEnd w:id="58"/>
    </w:p>
    <w:p>
      <w:r>
        <w:rPr>
          <w:b w:val="0"/>
          <w:i w:val="0"/>
        </w:rPr>
        <w:t>Loss, damage or liability caused by the use of a vehicle in an unsafe or unroadworthy condition that you knew about, or ought reasonably to have known about, before the loss.</w:t>
      </w:r>
    </w:p>
    <w:p>
      <w:bookmarkStart w:id="59" w:name="c_mot_excl_racing"/>
      <w:r>
        <w:rPr>
          <w:rFonts w:ascii="Georgia" w:hAnsi="Georgia" w:eastAsia="Georgia"/>
          <w:b/>
          <w:i w:val="0"/>
          <w:color w:val="2E5C4E"/>
          <w:sz w:val="25"/>
        </w:rPr>
        <w:t>Racing and Competition</w:t>
      </w:r>
      <w:bookmarkEnd w:id="59"/>
    </w:p>
    <w:p>
      <w:r>
        <w:rPr>
          <w:b w:val="0"/>
          <w:i w:val="0"/>
        </w:rPr>
        <w:t>Loss, damage or liability while the vehicle is used for racing, pace-making, speed or reliability testing, rallying or any competition, or on a racetrack.</w:t>
      </w:r>
    </w:p>
    <w:p>
      <w:bookmarkStart w:id="60" w:name="c_mot_excl_overloading"/>
      <w:r>
        <w:rPr>
          <w:rFonts w:ascii="Georgia" w:hAnsi="Georgia" w:eastAsia="Georgia"/>
          <w:b/>
          <w:i w:val="0"/>
          <w:color w:val="2E5C4E"/>
          <w:sz w:val="25"/>
        </w:rPr>
        <w:t>Overloading</w:t>
      </w:r>
      <w:bookmarkEnd w:id="60"/>
    </w:p>
    <w:p>
      <w:r>
        <w:rPr>
          <w:b w:val="0"/>
          <w:i w:val="0"/>
        </w:rPr>
        <w:t>Loss, damage or liability caused by a load carried or a weight towed that exceeds the manufacturer's rated capacity or the vehicle's registered capacity.</w:t>
      </w:r>
    </w:p>
    <w:p>
      <w:bookmarkStart w:id="61" w:name="c_mot_excl_outside_australia"/>
      <w:r>
        <w:rPr>
          <w:rFonts w:ascii="Georgia" w:hAnsi="Georgia" w:eastAsia="Georgia"/>
          <w:b/>
          <w:i w:val="0"/>
          <w:color w:val="2E5C4E"/>
          <w:sz w:val="25"/>
        </w:rPr>
        <w:t>Outside Australia</w:t>
      </w:r>
      <w:bookmarkEnd w:id="61"/>
    </w:p>
    <w:p>
      <w:r>
        <w:rPr>
          <w:b w:val="0"/>
          <w:i w:val="0"/>
        </w:rPr>
        <w:t>Loss, damage or liability that occurs outside Australia, unless the Schedule shows otherwise.</w:t>
      </w:r>
    </w:p>
    <w:p>
      <w:bookmarkStart w:id="62" w:name="c_mot_excl_hire_fare_or_reward"/>
      <w:r>
        <w:rPr>
          <w:rFonts w:ascii="Georgia" w:hAnsi="Georgia" w:eastAsia="Georgia"/>
          <w:b/>
          <w:i w:val="0"/>
          <w:color w:val="2E5C4E"/>
          <w:sz w:val="25"/>
        </w:rPr>
        <w:t>Hire, Fare or Reward</w:t>
      </w:r>
      <w:bookmarkEnd w:id="62"/>
    </w:p>
    <w:p>
      <w:r>
        <w:rPr>
          <w:b w:val="0"/>
          <w:i w:val="0"/>
        </w:rPr>
        <w:t>Loss, damage or liability while the vehicle is used for hire, fare or reward, including rideshare and food delivery for a platform, unless the Schedule shows it as Permitted use or an Endorsement covers it. Carrying your own goods, staff or customers in the course of your business is not use for hire, fare or reward.</w:t>
      </w:r>
    </w:p>
    <w:p>
      <w:bookmarkStart w:id="63" w:name="c_mot_excl_other_than_permitted_use"/>
      <w:r>
        <w:rPr>
          <w:rFonts w:ascii="Georgia" w:hAnsi="Georgia" w:eastAsia="Georgia"/>
          <w:b/>
          <w:i w:val="0"/>
          <w:color w:val="2E5C4E"/>
          <w:sz w:val="25"/>
        </w:rPr>
        <w:t>Use Other Than the Permitted Use</w:t>
      </w:r>
      <w:bookmarkEnd w:id="63"/>
    </w:p>
    <w:p>
      <w:r>
        <w:rPr>
          <w:b w:val="0"/>
          <w:i w:val="0"/>
        </w:rPr>
        <w:t>Loss, damage or liability while the vehicle is used other than for its Permitted use, where you knew of or consented to that use.</w:t>
      </w:r>
    </w:p>
    <w:p>
      <w:bookmarkStart w:id="64" w:name="c_mot_excl_deliberate_acts"/>
      <w:r>
        <w:rPr>
          <w:rFonts w:ascii="Georgia" w:hAnsi="Georgia" w:eastAsia="Georgia"/>
          <w:b/>
          <w:i w:val="0"/>
          <w:color w:val="2E5C4E"/>
          <w:sz w:val="25"/>
        </w:rPr>
        <w:t>Deliberate Acts</w:t>
      </w:r>
      <w:bookmarkEnd w:id="64"/>
    </w:p>
    <w:p>
      <w:r>
        <w:rPr>
          <w:b w:val="0"/>
          <w:i w:val="0"/>
        </w:rPr>
        <w:t>Loss, damage or liability that you deliberately cause, or that is deliberately caused by a person acting with your consent or knowledge who intends the loss or damage.</w:t>
      </w:r>
    </w:p>
    <w:p>
      <w:bookmarkStart w:id="65" w:name="c_mot_excl_war"/>
      <w:r>
        <w:rPr>
          <w:rFonts w:ascii="Georgia" w:hAnsi="Georgia" w:eastAsia="Georgia"/>
          <w:b/>
          <w:i w:val="0"/>
          <w:color w:val="2E5C4E"/>
          <w:sz w:val="25"/>
        </w:rPr>
        <w:t>War</w:t>
      </w:r>
      <w:bookmarkEnd w:id="65"/>
    </w:p>
    <w:p>
      <w:r>
        <w:rPr>
          <w:b w:val="0"/>
          <w:i w:val="0"/>
        </w:rPr>
        <w:t>Loss, damage or liability arising from war, invasion, act of a foreign enemy, hostilities (whether war is declared or not), civil war, rebellion, revolution, insurrection, or military or usurped power.</w:t>
      </w:r>
    </w:p>
    <w:p>
      <w:bookmarkStart w:id="66" w:name="c_mot_excl_nuclear"/>
      <w:r>
        <w:rPr>
          <w:rFonts w:ascii="Georgia" w:hAnsi="Georgia" w:eastAsia="Georgia"/>
          <w:b/>
          <w:i w:val="0"/>
          <w:color w:val="2E5C4E"/>
          <w:sz w:val="25"/>
        </w:rPr>
        <w:t>Nuclear</w:t>
      </w:r>
      <w:bookmarkEnd w:id="66"/>
    </w:p>
    <w:p>
      <w:r>
        <w:rPr>
          <w:b w:val="0"/>
          <w:i w:val="0"/>
        </w:rPr>
        <w:t>Loss, damage or liability arising from ionising radiation or contamination by radioactivity from nuclear fuel or nuclear waste, or from nuclear weapons material.</w:t>
      </w:r>
    </w:p>
    <w:p>
      <w:bookmarkStart w:id="67" w:name="c_mot_excl_terrorism"/>
      <w:r>
        <w:rPr>
          <w:rFonts w:ascii="Georgia" w:hAnsi="Georgia" w:eastAsia="Georgia"/>
          <w:b/>
          <w:i w:val="0"/>
          <w:color w:val="2E5C4E"/>
          <w:sz w:val="25"/>
        </w:rPr>
        <w:t>Terrorism</w:t>
      </w:r>
      <w:bookmarkEnd w:id="67"/>
    </w:p>
    <w:p>
      <w:r>
        <w:rPr>
          <w:b w:val="0"/>
          <w:i w:val="0"/>
        </w:rPr>
        <w:t>Loss, damage or liability arising from an act of terrorism. Motor vehicle insurance is not an eligible insurance contract under the Terrorism Insurance Act 2003 (Cth), so that Act does not affect this exclusion.</w:t>
      </w:r>
    </w:p>
    <w:p>
      <w:bookmarkStart w:id="68" w:name="c_mot_section_claims"/>
      <w:r>
        <w:rPr>
          <w:rFonts w:ascii="Georgia" w:hAnsi="Georgia" w:eastAsia="Georgia"/>
          <w:b/>
          <w:i w:val="0"/>
          <w:color w:val="1C1915"/>
          <w:sz w:val="32"/>
        </w:rPr>
        <w:t>Your Obligations When Something Happens</w:t>
      </w:r>
      <w:bookmarkEnd w:id="68"/>
    </w:p>
    <w:p>
      <w:r>
        <w:rPr>
          <w:b w:val="0"/>
          <w:i w:val="0"/>
        </w:rPr>
        <w:t xml:space="preserve">These obligations apply to every claim. </w:t>
      </w:r>
      <w:hyperlink w:anchor="c_mot_cond_insurance_contracts_act">
        <w:r>
          <w:rPr>
            <w:color w:val="2E5C4E"/>
            <w:u w:val="single"/>
          </w:rPr>
          <w:t xml:space="preserve">the The Insurance Contracts Act condition</w:t>
        </w:r>
      </w:hyperlink>
      <w:r>
        <w:rPr>
          <w:b w:val="0"/>
          <w:i w:val="0"/>
        </w:rPr>
        <w:t xml:space="preserve"> applies to each of them: we will not refuse a claim only because you did not meet one of them, except to the extent the Insurance Contracts Act 1984 (Cth) allows.</w:t>
      </w:r>
    </w:p>
    <w:p>
      <w:bookmarkStart w:id="69" w:name="c_mot_obl_notify_us"/>
      <w:r>
        <w:rPr>
          <w:rFonts w:ascii="Georgia" w:hAnsi="Georgia" w:eastAsia="Georgia"/>
          <w:b/>
          <w:i w:val="0"/>
          <w:color w:val="2E5C4E"/>
          <w:sz w:val="25"/>
        </w:rPr>
        <w:t>Tell Us About an Incident</w:t>
      </w:r>
      <w:bookmarkEnd w:id="69"/>
    </w:p>
    <w:p>
      <w:r>
        <w:rPr>
          <w:b w:val="0"/>
          <w:i w:val="0"/>
        </w:rPr>
        <w:t>Tell us as soon as reasonably practicable after any accident, theft or other event that may give rise to a claim. Give us when and where it happened; the registration and description of each vehicle involved; the names and contact details of the drivers, passengers and witnesses; what happened and what was damaged; the other party's insurance details if known; and a copy of any police report. Report theft and malicious damage to the police as soon as reasonably practicable.</w:t>
      </w:r>
    </w:p>
    <w:p>
      <w:bookmarkStart w:id="70" w:name="c_mot_obl_do_not_admit_liability"/>
      <w:r>
        <w:rPr>
          <w:rFonts w:ascii="Georgia" w:hAnsi="Georgia" w:eastAsia="Georgia"/>
          <w:b/>
          <w:i w:val="0"/>
          <w:color w:val="2E5C4E"/>
          <w:sz w:val="25"/>
        </w:rPr>
        <w:t>Do Not Admit Liability</w:t>
      </w:r>
      <w:bookmarkEnd w:id="70"/>
    </w:p>
    <w:p>
      <w:r>
        <w:rPr>
          <w:b w:val="0"/>
          <w:i w:val="0"/>
        </w:rPr>
        <w:t>Do not admit fault or liability, or offer or agree to pay anything, without our written consent, except as the law requires. You may exchange details with the other driver.</w:t>
      </w:r>
    </w:p>
    <w:p>
      <w:bookmarkStart w:id="71" w:name="c_mot_obl_protect_the_vehicle"/>
      <w:r>
        <w:rPr>
          <w:rFonts w:ascii="Georgia" w:hAnsi="Georgia" w:eastAsia="Georgia"/>
          <w:b/>
          <w:i w:val="0"/>
          <w:color w:val="2E5C4E"/>
          <w:sz w:val="25"/>
        </w:rPr>
        <w:t>Protect the Vehicle</w:t>
      </w:r>
      <w:bookmarkEnd w:id="71"/>
    </w:p>
    <w:p>
      <w:r>
        <w:rPr>
          <w:b w:val="0"/>
          <w:i w:val="0"/>
        </w:rPr>
        <w:t>Take reasonable steps to prevent further loss or damage. If the vehicle is not safe to drive, arrange for it to be towed. Reasonable towing costs are covered as an additional benefit for the cover levels that include it.</w:t>
      </w:r>
    </w:p>
    <w:p>
      <w:bookmarkStart w:id="72" w:name="c_mot_obl_cooperate"/>
      <w:r>
        <w:rPr>
          <w:rFonts w:ascii="Georgia" w:hAnsi="Georgia" w:eastAsia="Georgia"/>
          <w:b/>
          <w:i w:val="0"/>
          <w:color w:val="2E5C4E"/>
          <w:sz w:val="25"/>
        </w:rPr>
        <w:t>Cooperate With Us</w:t>
      </w:r>
      <w:bookmarkEnd w:id="72"/>
    </w:p>
    <w:p>
      <w:r>
        <w:rPr>
          <w:b w:val="0"/>
          <w:i w:val="0"/>
        </w:rPr>
        <w:t>Give us the information and help we reasonably need to assess, defend or settle a claim and to recover from others. Let us inspect the vehicle before repairs start, except emergency repairs needed to make it safe.</w:t>
      </w:r>
    </w:p>
    <w:p>
      <w:bookmarkStart w:id="73" w:name="c_mot_obl_maintain_vehicles"/>
      <w:r>
        <w:rPr>
          <w:rFonts w:ascii="Georgia" w:hAnsi="Georgia" w:eastAsia="Georgia"/>
          <w:b/>
          <w:i w:val="0"/>
          <w:color w:val="2E5C4E"/>
          <w:sz w:val="25"/>
        </w:rPr>
        <w:t>Maintain Your Vehicles</w:t>
      </w:r>
      <w:bookmarkEnd w:id="73"/>
    </w:p>
    <w:p>
      <w:r>
        <w:rPr>
          <w:b w:val="0"/>
          <w:i w:val="0"/>
        </w:rPr>
        <w:t>Keep each Insured vehicle registered and roadworthy, and comply with the registration, licensing and safety laws that apply to it, including the fatigue, mass, maintenance and chain of responsibility duties of the Heavy Vehicle National Law where that law applies.</w:t>
      </w:r>
    </w:p>
    <w:p>
      <w:bookmarkStart w:id="74" w:name="c_mot_obl_tell_us_about_changes"/>
      <w:r>
        <w:rPr>
          <w:rFonts w:ascii="Georgia" w:hAnsi="Georgia" w:eastAsia="Georgia"/>
          <w:b/>
          <w:i w:val="0"/>
          <w:color w:val="2E5C4E"/>
          <w:sz w:val="25"/>
        </w:rPr>
        <w:t>Tell Us About Changes</w:t>
      </w:r>
      <w:bookmarkEnd w:id="74"/>
    </w:p>
    <w:p>
      <w:r>
        <w:rPr>
          <w:b w:val="0"/>
          <w:i w:val="0"/>
        </w:rPr>
        <w:t xml:space="preserve">Tell us during the Period of Insurance about vehicles added to or removed from the Schedule; a change in the use of a vehicle, for example starting to carry Dangerous goods or starting rideshare, courier or delivery work for a platform; a change in where a vehicle is normally garaged; modifications to a vehicle worth more than the amount shown in </w:t>
      </w:r>
      <w:hyperlink w:anchor="c_mot_appendix_default_schedule_values">
        <w:r>
          <w:rPr>
            <w:color w:val="2E5C4E"/>
            <w:u w:val="single"/>
          </w:rPr>
          <w:t xml:space="preserve">the Default Schedule Values</w:t>
        </w:r>
      </w:hyperlink>
      <w:r>
        <w:rPr>
          <w:b w:val="0"/>
          <w:i w:val="0"/>
        </w:rPr>
        <w:t>; and a change to the drivers, where the Schedule shows named drivers. We may change the premium or terms from the date of the change.</w:t>
      </w:r>
    </w:p>
    <w:p>
      <w:bookmarkStart w:id="75" w:name="c_mot_section_general_conditions"/>
      <w:r>
        <w:rPr>
          <w:rFonts w:ascii="Georgia" w:hAnsi="Georgia" w:eastAsia="Georgia"/>
          <w:b/>
          <w:i w:val="0"/>
          <w:color w:val="1C1915"/>
          <w:sz w:val="32"/>
        </w:rPr>
        <w:t>General Conditions</w:t>
      </w:r>
      <w:bookmarkEnd w:id="75"/>
    </w:p>
    <w:p>
      <w:r>
        <w:rPr>
          <w:b w:val="0"/>
          <w:i w:val="0"/>
        </w:rPr>
        <w:t>These conditions apply to every section of this Policy.</w:t>
      </w:r>
    </w:p>
    <w:p>
      <w:bookmarkStart w:id="76" w:name="c_mot_cond_insurance_contracts_act"/>
      <w:r>
        <w:rPr>
          <w:rFonts w:ascii="Georgia" w:hAnsi="Georgia" w:eastAsia="Georgia"/>
          <w:b/>
          <w:i w:val="0"/>
          <w:color w:val="2E5C4E"/>
          <w:sz w:val="25"/>
        </w:rPr>
        <w:t>The Insurance Contracts Act</w:t>
      </w:r>
      <w:bookmarkEnd w:id="76"/>
    </w:p>
    <w:p>
      <w:r>
        <w:rPr>
          <w:b w:val="0"/>
          <w:i w:val="0"/>
        </w:rPr>
        <w:t>Nothing in this Policy excludes, restricts or modifies the operation of the Insurance Contracts Act 1984 (Cth). Where this Policy is inconsistent with that Act, the Act applies. In particular, where a condition or exclusion of this Policy would allow us to refuse a claim because of an act or omission after the Policy was entered into, s 54 of that Act applies: we may not refuse to pay the claim only because of that act or omission, and our liability is reduced only by the amount that fairly represents the extent to which our interests were prejudiced, unless the Act allows otherwise.</w:t>
      </w:r>
    </w:p>
    <w:p>
      <w:bookmarkStart w:id="77" w:name="c_mot_cond_duty_of_disclosure"/>
      <w:r>
        <w:rPr>
          <w:rFonts w:ascii="Georgia" w:hAnsi="Georgia" w:eastAsia="Georgia"/>
          <w:b/>
          <w:i w:val="0"/>
          <w:color w:val="2E5C4E"/>
          <w:sz w:val="25"/>
        </w:rPr>
        <w:t>Your Duty of Disclosure</w:t>
      </w:r>
      <w:bookmarkEnd w:id="77"/>
    </w:p>
    <w:p>
      <w:r>
        <w:rPr>
          <w:b w:val="0"/>
          <w:i w:val="0"/>
        </w:rPr>
        <w:t>Before you enter into, renew, extend, vary or reinstate this Policy, you have a duty under s 21 of the Insurance Contracts Act 1984 (Cth) to tell us every matter that you know, or that a reasonable person in the circumstances could be expected to know, is relevant to our decision whether to insure you and on what terms. You do not need to tell us anything that reduces the risk, that is of common knowledge, that we know or should know in the ordinary course of our business, or that we have told you we do not need to know.</w:t>
      </w:r>
    </w:p>
    <w:p>
      <w:r>
        <w:rPr>
          <w:b w:val="0"/>
          <w:i w:val="0"/>
        </w:rPr>
        <w:t>If you do not comply with this duty, we may be entitled to reduce our liability for a claim or to cancel the Policy, as the Act allows. If the non-disclosure is fraudulent, we may also be entitled to avoid the Policy from its beginning.</w:t>
      </w:r>
    </w:p>
    <w:p>
      <w:bookmarkStart w:id="78" w:name="c_mot_cond_premium"/>
      <w:r>
        <w:rPr>
          <w:rFonts w:ascii="Georgia" w:hAnsi="Georgia" w:eastAsia="Georgia"/>
          <w:b/>
          <w:i w:val="0"/>
          <w:color w:val="2E5C4E"/>
          <w:sz w:val="25"/>
        </w:rPr>
        <w:t>Premium and Instalments</w:t>
      </w:r>
      <w:bookmarkEnd w:id="78"/>
    </w:p>
    <w:p>
      <w:r>
        <w:rPr>
          <w:b w:val="0"/>
          <w:i w:val="0"/>
        </w:rPr>
        <w:t>The premium is shown in the Schedule. Where you pay by instalments and an instalment is unpaid for one month or more, we may refuse a claim that arises after the instalment fell due, and we may cancel the Policy by written notice in accordance with the Insurance Contracts Act 1984 (Cth). [WP REVIEW: align with s 39 of the Insurance Contracts Act and the issuer's instalment terms.]</w:t>
      </w:r>
    </w:p>
    <w:p>
      <w:bookmarkStart w:id="79" w:name="c_mot_cond_excess"/>
      <w:r>
        <w:rPr>
          <w:rFonts w:ascii="Georgia" w:hAnsi="Georgia" w:eastAsia="Georgia"/>
          <w:b/>
          <w:i w:val="0"/>
          <w:color w:val="2E5C4E"/>
          <w:sz w:val="25"/>
        </w:rPr>
        <w:t>Excesses</w:t>
      </w:r>
      <w:bookmarkEnd w:id="79"/>
    </w:p>
    <w:p>
      <w:r>
        <w:rPr>
          <w:b w:val="0"/>
          <w:i w:val="0"/>
        </w:rPr>
        <w:t>The Excesses shown in the Schedule apply to each claim, for each Insured vehicle, as follows:</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Excess</w:t>
            </w:r>
          </w:p>
        </w:tc>
        <w:tc>
          <w:tcPr>
            <w:tcW w:type="dxa" w:w="4873"/>
          </w:tcPr>
          <w:p>
            <w:r/>
            <w:r>
              <w:rPr>
                <w:b w:val="0"/>
                <w:i w:val="0"/>
              </w:rPr>
              <w:t>When it applies</w:t>
            </w:r>
          </w:p>
        </w:tc>
      </w:tr>
      <w:tr>
        <w:tc>
          <w:tcPr>
            <w:tcW w:type="dxa" w:w="4873"/>
          </w:tcPr>
          <w:p>
            <w:r/>
            <w:r>
              <w:rPr>
                <w:b w:val="0"/>
                <w:i w:val="0"/>
              </w:rPr>
              <w:t>Basic excess</w:t>
            </w:r>
          </w:p>
        </w:tc>
        <w:tc>
          <w:tcPr>
            <w:tcW w:type="dxa" w:w="4873"/>
          </w:tcPr>
          <w:p>
            <w:r/>
            <w:r>
              <w:rPr>
                <w:b w:val="0"/>
                <w:i w:val="0"/>
              </w:rPr>
              <w:t>Every claim, unless this condition says no excess applies</w:t>
            </w:r>
          </w:p>
        </w:tc>
      </w:tr>
      <w:tr>
        <w:tc>
          <w:tcPr>
            <w:tcW w:type="dxa" w:w="4873"/>
          </w:tcPr>
          <w:p>
            <w:r/>
            <w:r>
              <w:rPr>
                <w:b w:val="0"/>
                <w:i w:val="0"/>
              </w:rPr>
              <w:t>Age excess</w:t>
            </w:r>
          </w:p>
        </w:tc>
        <w:tc>
          <w:tcPr>
            <w:tcW w:type="dxa" w:w="4873"/>
          </w:tcPr>
          <w:p>
            <w:r/>
            <w:r>
              <w:rPr>
                <w:b w:val="0"/>
                <w:i w:val="0"/>
              </w:rPr>
              <w:t>In addition, where the driver at the time of the loss was under the age shown in the Schedule</w:t>
            </w:r>
          </w:p>
        </w:tc>
      </w:tr>
      <w:tr>
        <w:tc>
          <w:tcPr>
            <w:tcW w:type="dxa" w:w="4873"/>
          </w:tcPr>
          <w:p>
            <w:r/>
            <w:r>
              <w:rPr>
                <w:b w:val="0"/>
                <w:i w:val="0"/>
              </w:rPr>
              <w:t>Inexperienced driver excess</w:t>
            </w:r>
          </w:p>
        </w:tc>
        <w:tc>
          <w:tcPr>
            <w:tcW w:type="dxa" w:w="4873"/>
          </w:tcPr>
          <w:p>
            <w:r/>
            <w:r>
              <w:rPr>
                <w:b w:val="0"/>
                <w:i w:val="0"/>
              </w:rPr>
              <w:t>In addition, where the driver had held a licence for that class of vehicle for less than the period shown in the Schedule</w:t>
            </w:r>
          </w:p>
        </w:tc>
      </w:tr>
      <w:tr>
        <w:tc>
          <w:tcPr>
            <w:tcW w:type="dxa" w:w="4873"/>
          </w:tcPr>
          <w:p>
            <w:r/>
            <w:r>
              <w:rPr>
                <w:b w:val="0"/>
                <w:i w:val="0"/>
              </w:rPr>
              <w:t>Unlisted driver excess</w:t>
            </w:r>
          </w:p>
        </w:tc>
        <w:tc>
          <w:tcPr>
            <w:tcW w:type="dxa" w:w="4873"/>
          </w:tcPr>
          <w:p>
            <w:r/>
            <w:r>
              <w:rPr>
                <w:b w:val="0"/>
                <w:i w:val="0"/>
              </w:rPr>
              <w:t>In addition, where the Schedule shows named drivers and the driver was not one of them</w:t>
            </w:r>
          </w:p>
        </w:tc>
      </w:tr>
      <w:tr>
        <w:tc>
          <w:tcPr>
            <w:tcW w:type="dxa" w:w="4873"/>
          </w:tcPr>
          <w:p>
            <w:r/>
            <w:r>
              <w:rPr>
                <w:b w:val="0"/>
                <w:i w:val="0"/>
              </w:rPr>
              <w:t>Voluntary excess</w:t>
            </w:r>
          </w:p>
        </w:tc>
        <w:tc>
          <w:tcPr>
            <w:tcW w:type="dxa" w:w="4873"/>
          </w:tcPr>
          <w:p>
            <w:r/>
            <w:r>
              <w:rPr>
                <w:b w:val="0"/>
                <w:i w:val="0"/>
              </w:rPr>
              <w:t>In addition, where you chose a higher excess for a lower premium</w:t>
            </w:r>
          </w:p>
        </w:tc>
      </w:tr>
    </w:tbl>
    <w:p>
      <w:r>
        <w:rPr>
          <w:b w:val="0"/>
          <w:i w:val="0"/>
        </w:rPr>
        <w:t>No excess applies to a claim for windscreen or window glass only, or where we agree that the driver of the Insured vehicle was not at fault and you give us the name and address of the person responsible. Where more than one Insured vehicle is damaged in the same Occurrence, you pay one basic excess (the highest that applies), plus any additional excess for each driver.</w:t>
      </w:r>
    </w:p>
    <w:p>
      <w:bookmarkStart w:id="80" w:name="c_mot_cond_cancellation"/>
      <w:r>
        <w:rPr>
          <w:rFonts w:ascii="Georgia" w:hAnsi="Georgia" w:eastAsia="Georgia"/>
          <w:b/>
          <w:i w:val="0"/>
          <w:color w:val="2E5C4E"/>
          <w:sz w:val="25"/>
        </w:rPr>
        <w:t>Cancellation</w:t>
      </w:r>
      <w:bookmarkEnd w:id="80"/>
    </w:p>
    <w:p>
      <w:r>
        <w:rPr>
          <w:b w:val="0"/>
          <w:i w:val="0"/>
        </w:rPr>
        <w:t>You may cancel this Policy, or remove an Insured vehicle from it, at any time by telling us in writing. We will refund the premium for the unexpired Period of Insurance on a pro-rata basis, less any amount we have paid or reserved for a claim on that vehicle and any non-refundable government charges.</w:t>
      </w:r>
    </w:p>
    <w:p>
      <w:r>
        <w:rPr>
          <w:b w:val="0"/>
          <w:i w:val="0"/>
        </w:rPr>
        <w:t>We may cancel this Policy only on a ground permitted by the Insurance Contracts Act 1984 (Cth), by giving you at least 30 days' written notice, or any longer notice the Act requires. We will refund the premium for the unexpired Period of Insurance on a pro-rata basis.</w:t>
      </w:r>
    </w:p>
    <w:p>
      <w:r>
        <w:rPr>
          <w:b w:val="0"/>
          <w:i w:val="0"/>
        </w:rPr>
        <w:t>Cancellation does not affect a claim for loss, damage or liability that occurred before the cancellation took effect.</w:t>
      </w:r>
    </w:p>
    <w:p>
      <w:bookmarkStart w:id="81" w:name="c_mot_cond_other_insurance"/>
      <w:r>
        <w:rPr>
          <w:rFonts w:ascii="Georgia" w:hAnsi="Georgia" w:eastAsia="Georgia"/>
          <w:b/>
          <w:i w:val="0"/>
          <w:color w:val="2E5C4E"/>
          <w:sz w:val="25"/>
        </w:rPr>
        <w:t>Other Insurance</w:t>
      </w:r>
      <w:bookmarkEnd w:id="81"/>
    </w:p>
    <w:p>
      <w:r>
        <w:rPr>
          <w:b w:val="0"/>
          <w:i w:val="0"/>
        </w:rPr>
        <w:t>If other insurance covers the same loss, damage or liability, you must tell us about it when you make a claim. We will not refuse or reduce a claim because the other insurance exists, but we may seek contribution from the other insurer as the law allows.</w:t>
      </w:r>
    </w:p>
    <w:p>
      <w:bookmarkStart w:id="82" w:name="c_mot_cond_gst"/>
      <w:r>
        <w:rPr>
          <w:rFonts w:ascii="Georgia" w:hAnsi="Georgia" w:eastAsia="Georgia"/>
          <w:b/>
          <w:i w:val="0"/>
          <w:color w:val="2E5C4E"/>
          <w:sz w:val="25"/>
        </w:rPr>
        <w:t>GST</w:t>
      </w:r>
      <w:bookmarkEnd w:id="82"/>
    </w:p>
    <w:p>
      <w:r>
        <w:rPr>
          <w:b w:val="0"/>
          <w:i w:val="0"/>
        </w:rPr>
        <w:t>Where you are entitled to an input tax credit for the GST on a payment we make, we reduce the payment by that entitlement. You must tell us the extent of your entitlement when you make a claim. Limits and Sums insured include GST unless the Schedule says otherwise.</w:t>
      </w:r>
    </w:p>
    <w:p>
      <w:bookmarkStart w:id="83" w:name="c_mot_cond_subrogation_and_interested_pa"/>
      <w:r>
        <w:rPr>
          <w:rFonts w:ascii="Georgia" w:hAnsi="Georgia" w:eastAsia="Georgia"/>
          <w:b/>
          <w:i w:val="0"/>
          <w:color w:val="2E5C4E"/>
          <w:sz w:val="25"/>
        </w:rPr>
        <w:t>Subrogation and Interested Parties</w:t>
      </w:r>
      <w:bookmarkEnd w:id="83"/>
    </w:p>
    <w:p>
      <w:r>
        <w:rPr>
          <w:b w:val="0"/>
          <w:i w:val="0"/>
        </w:rPr>
        <w:t>After we pay a claim, we may take recovery action in your name against any person responsible, and you must give us reasonable help with it. We will not take recovery action against a person you agreed in writing, before the loss, to hold harmless or not to pursue, where the agreement was disclosed to us or is usual for your business, or against an Insured person or an employee, unless the loss was caused by their deliberate or criminal act.</w:t>
      </w:r>
    </w:p>
    <w:p>
      <w:r>
        <w:rPr>
          <w:b w:val="0"/>
          <w:i w:val="0"/>
        </w:rPr>
        <w:t>Where the Schedule names a financier or lessor as an interested party, we will pay a claim for the loss of or damage to that Insured vehicle to them, or to you and them jointly, to the extent of their interest.</w:t>
      </w:r>
    </w:p>
    <w:p>
      <w:bookmarkStart w:id="84" w:name="c_mot_cond_salvage"/>
      <w:r>
        <w:rPr>
          <w:rFonts w:ascii="Georgia" w:hAnsi="Georgia" w:eastAsia="Georgia"/>
          <w:b/>
          <w:i w:val="0"/>
          <w:color w:val="2E5C4E"/>
          <w:sz w:val="25"/>
        </w:rPr>
        <w:t>Salvage</w:t>
      </w:r>
      <w:bookmarkEnd w:id="84"/>
    </w:p>
    <w:p>
      <w:r>
        <w:rPr>
          <w:b w:val="0"/>
          <w:i w:val="0"/>
        </w:rPr>
        <w:t>If we pay a claim for a Total loss, the salvage belongs to us. Before we sell it or dispose of it, we will offer you the chance to keep it at its salvage value, unless the law prevents the vehicle from being repaired or re-registered.</w:t>
      </w:r>
    </w:p>
    <w:p>
      <w:bookmarkStart w:id="85" w:name="c_mot_cond_fraudulent_claims"/>
      <w:r>
        <w:rPr>
          <w:rFonts w:ascii="Georgia" w:hAnsi="Georgia" w:eastAsia="Georgia"/>
          <w:b/>
          <w:i w:val="0"/>
          <w:color w:val="2E5C4E"/>
          <w:sz w:val="25"/>
        </w:rPr>
        <w:t>Fraudulent Claims</w:t>
      </w:r>
      <w:bookmarkEnd w:id="85"/>
    </w:p>
    <w:p>
      <w:r>
        <w:rPr>
          <w:b w:val="0"/>
          <w:i w:val="0"/>
        </w:rPr>
        <w:t>If a claim is made fraudulently, we may refuse to pay it, as s 56 of the Insurance Contracts Act 1984 (Cth) allows, and we may cancel the Policy.</w:t>
      </w:r>
    </w:p>
    <w:p>
      <w:bookmarkStart w:id="86" w:name="c_mot_cond_complaints"/>
      <w:r>
        <w:rPr>
          <w:rFonts w:ascii="Georgia" w:hAnsi="Georgia" w:eastAsia="Georgia"/>
          <w:b/>
          <w:i w:val="0"/>
          <w:color w:val="2E5C4E"/>
          <w:sz w:val="25"/>
        </w:rPr>
        <w:t>Complaints and Disputes</w:t>
      </w:r>
      <w:bookmarkEnd w:id="86"/>
    </w:p>
    <w:p>
      <w:r>
        <w:rPr>
          <w:b w:val="0"/>
          <w:i w:val="0"/>
        </w:rPr>
        <w:t>If you have a complaint about this Policy or about a claim, contact us first. We will acknowledge your complaint within one business day and give you a written response within 30 calendar days. If you are not satisfied with our response, or we do not respond in time, you may take the complaint to the Australian Financial Complaints Authority (AFCA), www.afca.org.au, 1800 931 678, subject to its terms of reference. AFCA's service is free to you.</w:t>
      </w:r>
    </w:p>
    <w:p>
      <w:bookmarkStart w:id="87" w:name="c_mot_cond_privacy"/>
      <w:r>
        <w:rPr>
          <w:rFonts w:ascii="Georgia" w:hAnsi="Georgia" w:eastAsia="Georgia"/>
          <w:b/>
          <w:i w:val="0"/>
          <w:color w:val="2E5C4E"/>
          <w:sz w:val="25"/>
        </w:rPr>
        <w:t>Privacy</w:t>
      </w:r>
      <w:bookmarkEnd w:id="87"/>
    </w:p>
    <w:p>
      <w:r>
        <w:rPr>
          <w:b w:val="0"/>
          <w:i w:val="0"/>
        </w:rPr>
        <w:t>We collect, use and disclose personal information in accordance with the Privacy Act 1988 (Cth) and our privacy policy, which explains how to access and correct it and how to complain about a privacy matter.</w:t>
      </w:r>
    </w:p>
    <w:p>
      <w:bookmarkStart w:id="88" w:name="c_mot_cond_sanctions"/>
      <w:r>
        <w:rPr>
          <w:rFonts w:ascii="Georgia" w:hAnsi="Georgia" w:eastAsia="Georgia"/>
          <w:b/>
          <w:i w:val="0"/>
          <w:color w:val="2E5C4E"/>
          <w:sz w:val="25"/>
        </w:rPr>
        <w:t>Sanctions</w:t>
      </w:r>
      <w:bookmarkEnd w:id="88"/>
    </w:p>
    <w:p>
      <w:r>
        <w:rPr>
          <w:b w:val="0"/>
          <w:i w:val="0"/>
        </w:rPr>
        <w:t>We do not provide cover, pay any claim or provide any benefit to the extent that doing so would expose us to a sanction, prohibition or restriction under the Autonomous Sanctions Act 2011 (Cth), the Charter of the United Nations Act 1945 (Cth), United Nations resolutions, or the trade or economic sanctions laws or regulations of the European Union, the United Kingdom or the United States of America.</w:t>
      </w:r>
    </w:p>
    <w:p>
      <w:bookmarkStart w:id="89" w:name="c_mot_cond_governing_law_and_jurisdictio"/>
      <w:r>
        <w:rPr>
          <w:rFonts w:ascii="Georgia" w:hAnsi="Georgia" w:eastAsia="Georgia"/>
          <w:b/>
          <w:i w:val="0"/>
          <w:color w:val="2E5C4E"/>
          <w:sz w:val="25"/>
        </w:rPr>
        <w:t>Governing Law and Jurisdiction</w:t>
      </w:r>
      <w:bookmarkEnd w:id="89"/>
    </w:p>
    <w:p>
      <w:r>
        <w:rPr>
          <w:b w:val="0"/>
          <w:i w:val="0"/>
        </w:rPr>
        <w:t>This Policy is governed by the law of the State or Territory shown in the Schedule as the governing-law jurisdiction at inception. Each party submits to the non-exclusive jurisdiction of the courts of that State or Territory. [WP REVIEW: add a service-of-suit clause where the insurer is not APRA-authorised.]</w:t>
      </w:r>
    </w:p>
    <w:p>
      <w:bookmarkStart w:id="90" w:name="c_mot_cond_version_of_this_wording"/>
      <w:r>
        <w:rPr>
          <w:rFonts w:ascii="Georgia" w:hAnsi="Georgia" w:eastAsia="Georgia"/>
          <w:b/>
          <w:i w:val="0"/>
          <w:color w:val="2E5C4E"/>
          <w:sz w:val="25"/>
        </w:rPr>
        <w:t>Version of This Wording</w:t>
      </w:r>
      <w:bookmarkEnd w:id="90"/>
    </w:p>
    <w:p>
      <w:r>
        <w:rPr>
          <w:b w:val="0"/>
          <w:i w:val="0"/>
        </w:rPr>
        <w:t>The version of this wording that applies to your Policy is the version shown in the Schedule. A later version applies only from the next renewal, or from an earlier date we agree with you in writing.</w:t>
      </w:r>
    </w:p>
    <w:p>
      <w:bookmarkStart w:id="91" w:name="c_mot_endorsement_library"/>
      <w:r>
        <w:rPr>
          <w:rFonts w:ascii="Georgia" w:hAnsi="Georgia" w:eastAsia="Georgia"/>
          <w:b/>
          <w:i w:val="0"/>
          <w:color w:val="1C1915"/>
          <w:sz w:val="32"/>
        </w:rPr>
        <w:t>Endorsement Library</w:t>
      </w:r>
      <w:bookmarkEnd w:id="91"/>
    </w:p>
    <w:p>
      <w:r>
        <w:rPr>
          <w:b w:val="0"/>
          <w:i w:val="0"/>
        </w:rPr>
        <w:t xml:space="preserve">An Endorsement applies only where its code is shown in the Schedule. Each modifies only the clauses it names, and is read together with the variables shown for it in the Schedule. Other terms of this Policy continue to apply. If a variable an Endorsement needs is not shown in the Schedule, the default in </w:t>
      </w:r>
      <w:hyperlink w:anchor="c_mot_appendix_default_schedule_values">
        <w:r>
          <w:rPr>
            <w:color w:val="2E5C4E"/>
            <w:u w:val="single"/>
          </w:rPr>
          <w:t xml:space="preserve">the Default Schedule Values</w:t>
        </w:r>
      </w:hyperlink>
      <w:r>
        <w:rPr>
          <w:b w:val="0"/>
          <w:i w:val="0"/>
        </w:rPr>
        <w:t xml:space="preserve"> applies; if there is none, the Endorsement does not apply until we show the variable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Heavy Vehicles</w:t>
            </w:r>
          </w:p>
        </w:tc>
      </w:tr>
      <w:tr>
        <w:tc>
          <w:tcPr>
            <w:tcW w:type="dxa" w:w="4873"/>
          </w:tcPr>
          <w:p>
            <w:r/>
            <w:r>
              <w:rPr>
                <w:b w:val="0"/>
                <w:i w:val="0"/>
              </w:rPr>
              <w:t>E02</w:t>
            </w:r>
          </w:p>
        </w:tc>
        <w:tc>
          <w:tcPr>
            <w:tcW w:type="dxa" w:w="4873"/>
          </w:tcPr>
          <w:p>
            <w:r/>
            <w:r>
              <w:rPr>
                <w:b w:val="0"/>
                <w:i w:val="0"/>
              </w:rPr>
              <w:t>Refrigerated Vehicles</w:t>
            </w:r>
          </w:p>
        </w:tc>
      </w:tr>
      <w:tr>
        <w:tc>
          <w:tcPr>
            <w:tcW w:type="dxa" w:w="4873"/>
          </w:tcPr>
          <w:p>
            <w:r/>
            <w:r>
              <w:rPr>
                <w:b w:val="0"/>
                <w:i w:val="0"/>
              </w:rPr>
              <w:t>E03</w:t>
            </w:r>
          </w:p>
        </w:tc>
        <w:tc>
          <w:tcPr>
            <w:tcW w:type="dxa" w:w="4873"/>
          </w:tcPr>
          <w:p>
            <w:r/>
            <w:r>
              <w:rPr>
                <w:b w:val="0"/>
                <w:i w:val="0"/>
              </w:rPr>
              <w:t>Hire, Fare or Reward</w:t>
            </w:r>
          </w:p>
        </w:tc>
      </w:tr>
      <w:tr>
        <w:tc>
          <w:tcPr>
            <w:tcW w:type="dxa" w:w="4873"/>
          </w:tcPr>
          <w:p>
            <w:r/>
            <w:r>
              <w:rPr>
                <w:b w:val="0"/>
                <w:i w:val="0"/>
              </w:rPr>
              <w:t>E04</w:t>
            </w:r>
          </w:p>
        </w:tc>
        <w:tc>
          <w:tcPr>
            <w:tcW w:type="dxa" w:w="4873"/>
          </w:tcPr>
          <w:p>
            <w:r/>
            <w:r>
              <w:rPr>
                <w:b w:val="0"/>
                <w:i w:val="0"/>
              </w:rPr>
              <w:t>Increased Tools of Trade</w:t>
            </w:r>
          </w:p>
        </w:tc>
      </w:tr>
      <w:tr>
        <w:tc>
          <w:tcPr>
            <w:tcW w:type="dxa" w:w="4873"/>
          </w:tcPr>
          <w:p>
            <w:r/>
            <w:r>
              <w:rPr>
                <w:b w:val="0"/>
                <w:i w:val="0"/>
              </w:rPr>
              <w:t>E05</w:t>
            </w:r>
          </w:p>
        </w:tc>
        <w:tc>
          <w:tcPr>
            <w:tcW w:type="dxa" w:w="4873"/>
          </w:tcPr>
          <w:p>
            <w:r/>
            <w:r>
              <w:rPr>
                <w:b w:val="0"/>
                <w:i w:val="0"/>
              </w:rPr>
              <w:t>Agreed Value</w:t>
            </w:r>
          </w:p>
        </w:tc>
      </w:tr>
      <w:tr>
        <w:tc>
          <w:tcPr>
            <w:tcW w:type="dxa" w:w="4873"/>
          </w:tcPr>
          <w:p>
            <w:r/>
            <w:r>
              <w:rPr>
                <w:b w:val="0"/>
                <w:i w:val="0"/>
              </w:rPr>
              <w:t>E06</w:t>
            </w:r>
          </w:p>
        </w:tc>
        <w:tc>
          <w:tcPr>
            <w:tcW w:type="dxa" w:w="4873"/>
          </w:tcPr>
          <w:p>
            <w:r/>
            <w:r>
              <w:rPr>
                <w:b w:val="0"/>
                <w:i w:val="0"/>
              </w:rPr>
              <w:t>Increased Windscreen Cover</w:t>
            </w:r>
          </w:p>
        </w:tc>
      </w:tr>
      <w:tr>
        <w:tc>
          <w:tcPr>
            <w:tcW w:type="dxa" w:w="4873"/>
          </w:tcPr>
          <w:p>
            <w:r/>
            <w:r>
              <w:rPr>
                <w:b w:val="0"/>
                <w:i w:val="0"/>
              </w:rPr>
              <w:t>E07</w:t>
            </w:r>
          </w:p>
        </w:tc>
        <w:tc>
          <w:tcPr>
            <w:tcW w:type="dxa" w:w="4873"/>
          </w:tcPr>
          <w:p>
            <w:r/>
            <w:r>
              <w:rPr>
                <w:b w:val="0"/>
                <w:i w:val="0"/>
              </w:rPr>
              <w:t>Fleet Telematics</w:t>
            </w:r>
          </w:p>
        </w:tc>
      </w:tr>
      <w:tr>
        <w:tc>
          <w:tcPr>
            <w:tcW w:type="dxa" w:w="4873"/>
          </w:tcPr>
          <w:p>
            <w:r/>
            <w:r>
              <w:rPr>
                <w:b w:val="0"/>
                <w:i w:val="0"/>
              </w:rPr>
              <w:t>E08</w:t>
            </w:r>
          </w:p>
        </w:tc>
        <w:tc>
          <w:tcPr>
            <w:tcW w:type="dxa" w:w="4873"/>
          </w:tcPr>
          <w:p>
            <w:r/>
            <w:r>
              <w:rPr>
                <w:b w:val="0"/>
                <w:i w:val="0"/>
              </w:rPr>
              <w:t>Novated Lease Vehicles</w:t>
            </w:r>
          </w:p>
        </w:tc>
      </w:tr>
      <w:tr>
        <w:tc>
          <w:tcPr>
            <w:tcW w:type="dxa" w:w="4873"/>
          </w:tcPr>
          <w:p>
            <w:r/>
            <w:r>
              <w:rPr>
                <w:b w:val="0"/>
                <w:i w:val="0"/>
              </w:rPr>
              <w:t>E09</w:t>
            </w:r>
          </w:p>
        </w:tc>
        <w:tc>
          <w:tcPr>
            <w:tcW w:type="dxa" w:w="4873"/>
          </w:tcPr>
          <w:p>
            <w:r/>
            <w:r>
              <w:rPr>
                <w:b w:val="0"/>
                <w:i w:val="0"/>
              </w:rPr>
              <w:t>Large Fleet Excess Layer</w:t>
            </w:r>
          </w:p>
        </w:tc>
      </w:tr>
      <w:tr>
        <w:tc>
          <w:tcPr>
            <w:tcW w:type="dxa" w:w="4873"/>
          </w:tcPr>
          <w:p>
            <w:r/>
            <w:r>
              <w:rPr>
                <w:b w:val="0"/>
                <w:i w:val="0"/>
              </w:rPr>
              <w:t>E10</w:t>
            </w:r>
          </w:p>
        </w:tc>
        <w:tc>
          <w:tcPr>
            <w:tcW w:type="dxa" w:w="4873"/>
          </w:tcPr>
          <w:p>
            <w:r/>
            <w:r>
              <w:rPr>
                <w:b w:val="0"/>
                <w:i w:val="0"/>
              </w:rPr>
              <w:t>Extended Hire Vehicle</w:t>
            </w:r>
          </w:p>
        </w:tc>
      </w:tr>
      <w:tr>
        <w:tc>
          <w:tcPr>
            <w:tcW w:type="dxa" w:w="4873"/>
          </w:tcPr>
          <w:p>
            <w:r/>
            <w:r>
              <w:rPr>
                <w:b w:val="0"/>
                <w:i w:val="0"/>
              </w:rPr>
              <w:t>E11</w:t>
            </w:r>
          </w:p>
        </w:tc>
        <w:tc>
          <w:tcPr>
            <w:tcW w:type="dxa" w:w="4873"/>
          </w:tcPr>
          <w:p>
            <w:r/>
            <w:r>
              <w:rPr>
                <w:b w:val="0"/>
                <w:i w:val="0"/>
              </w:rPr>
              <w:t>Registered Mobile Plant</w:t>
            </w:r>
          </w:p>
        </w:tc>
      </w:tr>
      <w:tr>
        <w:tc>
          <w:tcPr>
            <w:tcW w:type="dxa" w:w="4873"/>
          </w:tcPr>
          <w:p>
            <w:r/>
            <w:r>
              <w:rPr>
                <w:b w:val="0"/>
                <w:i w:val="0"/>
              </w:rPr>
              <w:t>E12</w:t>
            </w:r>
          </w:p>
        </w:tc>
        <w:tc>
          <w:tcPr>
            <w:tcW w:type="dxa" w:w="4873"/>
          </w:tcPr>
          <w:p>
            <w:r/>
            <w:r>
              <w:rPr>
                <w:b w:val="0"/>
                <w:i w:val="0"/>
              </w:rPr>
              <w:t>Dangerous Goods Transport</w:t>
            </w:r>
          </w:p>
        </w:tc>
      </w:tr>
      <w:tr>
        <w:tc>
          <w:tcPr>
            <w:tcW w:type="dxa" w:w="4873"/>
          </w:tcPr>
          <w:p>
            <w:r/>
            <w:r>
              <w:rPr>
                <w:b w:val="0"/>
                <w:i w:val="0"/>
              </w:rPr>
              <w:t>E13</w:t>
            </w:r>
          </w:p>
        </w:tc>
        <w:tc>
          <w:tcPr>
            <w:tcW w:type="dxa" w:w="4873"/>
          </w:tcPr>
          <w:p>
            <w:r/>
            <w:r>
              <w:rPr>
                <w:b w:val="0"/>
                <w:i w:val="0"/>
              </w:rPr>
              <w:t>Interstate Long-Haul</w:t>
            </w:r>
          </w:p>
        </w:tc>
      </w:tr>
      <w:tr>
        <w:tc>
          <w:tcPr>
            <w:tcW w:type="dxa" w:w="4873"/>
          </w:tcPr>
          <w:p>
            <w:r/>
            <w:r>
              <w:rPr>
                <w:b w:val="0"/>
                <w:i w:val="0"/>
              </w:rPr>
              <w:t>E14</w:t>
            </w:r>
          </w:p>
        </w:tc>
        <w:tc>
          <w:tcPr>
            <w:tcW w:type="dxa" w:w="4873"/>
          </w:tcPr>
          <w:p>
            <w:r/>
            <w:r>
              <w:rPr>
                <w:b w:val="0"/>
                <w:i w:val="0"/>
              </w:rPr>
              <w:t>Electric and Hybrid Vehicles</w:t>
            </w:r>
          </w:p>
        </w:tc>
      </w:tr>
      <w:tr>
        <w:tc>
          <w:tcPr>
            <w:tcW w:type="dxa" w:w="4873"/>
          </w:tcPr>
          <w:p>
            <w:r/>
            <w:r>
              <w:rPr>
                <w:b w:val="0"/>
                <w:i w:val="0"/>
              </w:rPr>
              <w:t>E15</w:t>
            </w:r>
          </w:p>
        </w:tc>
        <w:tc>
          <w:tcPr>
            <w:tcW w:type="dxa" w:w="4873"/>
          </w:tcPr>
          <w:p>
            <w:r/>
            <w:r>
              <w:rPr>
                <w:b w:val="0"/>
                <w:i w:val="0"/>
              </w:rPr>
              <w:t>Automated Driving Systems</w:t>
            </w:r>
          </w:p>
        </w:tc>
      </w:tr>
      <w:tr>
        <w:tc>
          <w:tcPr>
            <w:tcW w:type="dxa" w:w="4873"/>
          </w:tcPr>
          <w:p>
            <w:r/>
            <w:r>
              <w:rPr>
                <w:b w:val="0"/>
                <w:i w:val="0"/>
              </w:rPr>
              <w:t>E16</w:t>
            </w:r>
          </w:p>
        </w:tc>
        <w:tc>
          <w:tcPr>
            <w:tcW w:type="dxa" w:w="4873"/>
          </w:tcPr>
          <w:p>
            <w:r/>
            <w:r>
              <w:rPr>
                <w:b w:val="0"/>
                <w:i w:val="0"/>
              </w:rPr>
              <w:t>Tow Trucks and Recovery Vehicles</w:t>
            </w:r>
          </w:p>
        </w:tc>
      </w:tr>
      <w:tr>
        <w:tc>
          <w:tcPr>
            <w:tcW w:type="dxa" w:w="4873"/>
          </w:tcPr>
          <w:p>
            <w:r/>
            <w:r>
              <w:rPr>
                <w:b w:val="0"/>
                <w:i w:val="0"/>
              </w:rPr>
              <w:t>E17</w:t>
            </w:r>
          </w:p>
        </w:tc>
        <w:tc>
          <w:tcPr>
            <w:tcW w:type="dxa" w:w="4873"/>
          </w:tcPr>
          <w:p>
            <w:r/>
            <w:r>
              <w:rPr>
                <w:b w:val="0"/>
                <w:i w:val="0"/>
              </w:rPr>
              <w:t>Courtesy Vehicle Fleets</w:t>
            </w:r>
          </w:p>
        </w:tc>
      </w:tr>
      <w:tr>
        <w:tc>
          <w:tcPr>
            <w:tcW w:type="dxa" w:w="4873"/>
          </w:tcPr>
          <w:p>
            <w:r/>
            <w:r>
              <w:rPr>
                <w:b w:val="0"/>
                <w:i w:val="0"/>
              </w:rPr>
              <w:t>E18</w:t>
            </w:r>
          </w:p>
        </w:tc>
        <w:tc>
          <w:tcPr>
            <w:tcW w:type="dxa" w:w="4873"/>
          </w:tcPr>
          <w:p>
            <w:r/>
            <w:r>
              <w:rPr>
                <w:b w:val="0"/>
                <w:i w:val="0"/>
              </w:rPr>
              <w:t>Sole Operator</w:t>
            </w:r>
          </w:p>
        </w:tc>
      </w:tr>
    </w:tbl>
    <w:p>
      <w:bookmarkStart w:id="92" w:name="c_mot_end_e01"/>
      <w:r>
        <w:rPr>
          <w:rFonts w:ascii="Georgia" w:hAnsi="Georgia" w:eastAsia="Georgia"/>
          <w:b/>
          <w:i w:val="0"/>
          <w:color w:val="2E5C4E"/>
          <w:sz w:val="25"/>
        </w:rPr>
        <w:t>E01 Heavy Vehicles</w:t>
      </w:r>
      <w:bookmarkEnd w:id="92"/>
    </w:p>
    <w:p>
      <w:r>
        <w:rPr>
          <w:b w:val="0"/>
          <w:i w:val="0"/>
        </w:rPr>
        <w:t xml:space="preserve">This Endorsement applies to each Insured vehicle shown in the Schedule with a gross vehicle mass over 4.5 tonnes. For those vehicles: the basic excess shown for heavy vehicles in the Schedule applies; we pay the reasonable cost of a replacement vehicle hired while the vehicle is off the road after loss or damage covered by </w:t>
      </w:r>
      <w:hyperlink w:anchor="c_mot_section_vehicle_cover">
        <w:r>
          <w:rPr>
            <w:color w:val="2E5C4E"/>
            <w:u w:val="single"/>
          </w:rPr>
          <w:t xml:space="preserve">the Cover for Your Vehicles section</w:t>
        </w:r>
      </w:hyperlink>
      <w:r>
        <w:rPr>
          <w:b w:val="0"/>
          <w:i w:val="0"/>
        </w:rPr>
        <w:t xml:space="preserve">, up to the daily amount and period shown in the Schedule, after a waiting period of 48 hours; and </w:t>
      </w:r>
      <w:hyperlink w:anchor="c_mot_obl_maintain_vehicles">
        <w:r>
          <w:rPr>
            <w:color w:val="2E5C4E"/>
            <w:u w:val="single"/>
          </w:rPr>
          <w:t xml:space="preserve">the Maintain Your Vehicles obligation</w:t>
        </w:r>
      </w:hyperlink>
      <w:r>
        <w:rPr>
          <w:b w:val="0"/>
          <w:i w:val="0"/>
        </w:rPr>
        <w:t xml:space="preserve"> applies with the addition that you must keep the maintenance, fatigue and mass records the Heavy Vehicle National Law requires and give them to us on request.</w:t>
      </w:r>
    </w:p>
    <w:p>
      <w:r>
        <w:rPr>
          <w:b w:val="0"/>
          <w:i w:val="0"/>
        </w:rPr>
        <w:t>Schedule variables: heavy vehicle basic excess; replacement vehicle daily amount and period.</w:t>
      </w:r>
    </w:p>
    <w:p>
      <w:bookmarkStart w:id="93" w:name="c_mot_end_e02"/>
      <w:r>
        <w:rPr>
          <w:rFonts w:ascii="Georgia" w:hAnsi="Georgia" w:eastAsia="Georgia"/>
          <w:b/>
          <w:i w:val="0"/>
          <w:color w:val="2E5C4E"/>
          <w:sz w:val="25"/>
        </w:rPr>
        <w:t>E02 Refrigerated Vehicles</w:t>
      </w:r>
      <w:bookmarkEnd w:id="93"/>
    </w:p>
    <w:p>
      <w:r>
        <w:rPr>
          <w:b w:val="0"/>
          <w:i w:val="0"/>
        </w:rPr>
        <w:t xml:space="preserve">For each Insured vehicle shown in the Schedule as refrigerated, we pay for the spoilage of goods carried in it caused by the failure of its refrigeration unit following loss or damage covered by </w:t>
      </w:r>
      <w:hyperlink w:anchor="c_mot_section_vehicle_cover">
        <w:r>
          <w:rPr>
            <w:color w:val="2E5C4E"/>
            <w:u w:val="single"/>
          </w:rPr>
          <w:t xml:space="preserve">the Cover for Your Vehicles section</w:t>
        </w:r>
      </w:hyperlink>
      <w:r>
        <w:rPr>
          <w:b w:val="0"/>
          <w:i w:val="0"/>
        </w:rPr>
        <w:t>, or following a mechanical or electrical breakdown of the refrigeration unit, up to the amount shown in the Schedule for each Occurrence. We do not pay for spoilage caused by the unit being switched off, a failure to maintain it, or a delay in delivery alone.</w:t>
      </w:r>
    </w:p>
    <w:p>
      <w:r>
        <w:rPr>
          <w:b w:val="0"/>
          <w:i w:val="0"/>
        </w:rPr>
        <w:t>Schedule variables: vehicles covered; spoilage limit each Occurrence; spoilage excess.</w:t>
      </w:r>
    </w:p>
    <w:p>
      <w:bookmarkStart w:id="94" w:name="c_mot_end_e03"/>
      <w:r>
        <w:rPr>
          <w:rFonts w:ascii="Georgia" w:hAnsi="Georgia" w:eastAsia="Georgia"/>
          <w:b/>
          <w:i w:val="0"/>
          <w:color w:val="2E5C4E"/>
          <w:sz w:val="25"/>
        </w:rPr>
        <w:t>E03 Hire, Fare or Reward</w:t>
      </w:r>
      <w:bookmarkEnd w:id="94"/>
    </w:p>
    <w:p>
      <w:hyperlink w:anchor="c_mot_excl_hire_fare_or_reward">
        <w:r>
          <w:rPr>
            <w:color w:val="2E5C4E"/>
            <w:u w:val="single"/>
          </w:rPr>
          <w:t xml:space="preserve">the Hire, Fare or Reward exclusion</w:t>
        </w:r>
      </w:hyperlink>
      <w:r>
        <w:rPr>
          <w:b w:val="0"/>
          <w:i w:val="0"/>
        </w:rPr>
        <w:t xml:space="preserve"> does not apply to the Insured vehicles shown in the Schedule for this Endorsement while they are used for the hire, fare or reward purposes shown, including rideshare or delivery for the platforms named. The vehicle must be registered for that use where the law requires it, and the driver must hold any authority the law requires for it.</w:t>
      </w:r>
    </w:p>
    <w:p>
      <w:r>
        <w:rPr>
          <w:b w:val="0"/>
          <w:i w:val="0"/>
        </w:rPr>
        <w:t>Schedule variables: vehicles covered; purposes and platforms; additional excess.</w:t>
      </w:r>
    </w:p>
    <w:p>
      <w:bookmarkStart w:id="95" w:name="c_mot_end_e04"/>
      <w:r>
        <w:rPr>
          <w:rFonts w:ascii="Georgia" w:hAnsi="Georgia" w:eastAsia="Georgia"/>
          <w:b/>
          <w:i w:val="0"/>
          <w:color w:val="2E5C4E"/>
          <w:sz w:val="25"/>
        </w:rPr>
        <w:t>E04 Increased Tools of Trade</w:t>
      </w:r>
      <w:bookmarkEnd w:id="95"/>
    </w:p>
    <w:p>
      <w:r>
        <w:rPr>
          <w:b w:val="0"/>
          <w:i w:val="0"/>
        </w:rPr>
        <w:t xml:space="preserve">The tools of trade benefit in </w:t>
      </w:r>
      <w:hyperlink w:anchor="c_mot_ext_additional_benefits">
        <w:r>
          <w:rPr>
            <w:color w:val="2E5C4E"/>
            <w:u w:val="single"/>
          </w:rPr>
          <w:t xml:space="preserve">the Additional Benefits extension</w:t>
        </w:r>
      </w:hyperlink>
      <w:r>
        <w:rPr>
          <w:b w:val="0"/>
          <w:i w:val="0"/>
        </w:rPr>
        <w:t xml:space="preserve"> is increased to the amount shown in the Schedule for each vehicle. Tools of trade must be kept in a locked vehicle or a locked toolbox fixed to it when unattended; we do not pay for theft from an unattended vehicle without signs of forced entry.</w:t>
      </w:r>
    </w:p>
    <w:p>
      <w:r>
        <w:rPr>
          <w:b w:val="0"/>
          <w:i w:val="0"/>
        </w:rPr>
        <w:t>Schedule variables: tools of trade limit for each vehicle.</w:t>
      </w:r>
    </w:p>
    <w:p>
      <w:bookmarkStart w:id="96" w:name="c_mot_end_e05"/>
      <w:r>
        <w:rPr>
          <w:rFonts w:ascii="Georgia" w:hAnsi="Georgia" w:eastAsia="Georgia"/>
          <w:b/>
          <w:i w:val="0"/>
          <w:color w:val="2E5C4E"/>
          <w:sz w:val="25"/>
        </w:rPr>
        <w:t>E05 Agreed Value</w:t>
      </w:r>
      <w:bookmarkEnd w:id="96"/>
    </w:p>
    <w:p>
      <w:r>
        <w:rPr>
          <w:b w:val="0"/>
          <w:i w:val="0"/>
        </w:rPr>
        <w:t xml:space="preserve">Each Insured vehicle shown in the Schedule for this Endorsement is insured for its Agreed value, and </w:t>
      </w:r>
      <w:hyperlink w:anchor="c_mot_pay_basis_of_settlement">
        <w:r>
          <w:rPr>
            <w:color w:val="2E5C4E"/>
            <w:u w:val="single"/>
          </w:rPr>
          <w:t xml:space="preserve">the Basis of Settlement provision</w:t>
        </w:r>
      </w:hyperlink>
      <w:r>
        <w:rPr>
          <w:b w:val="0"/>
          <w:i w:val="0"/>
        </w:rPr>
        <w:t xml:space="preserve"> settles a Total loss on that basis. The Agreed value is fixed at inception or renewal and does not change because the Schedule is reissued for another reason.</w:t>
      </w:r>
    </w:p>
    <w:p>
      <w:r>
        <w:rPr>
          <w:b w:val="0"/>
          <w:i w:val="0"/>
        </w:rPr>
        <w:t>Schedule variables: vehicles covered; Agreed value of each.</w:t>
      </w:r>
    </w:p>
    <w:p>
      <w:bookmarkStart w:id="97" w:name="c_mot_end_e06"/>
      <w:r>
        <w:rPr>
          <w:rFonts w:ascii="Georgia" w:hAnsi="Georgia" w:eastAsia="Georgia"/>
          <w:b/>
          <w:i w:val="0"/>
          <w:color w:val="2E5C4E"/>
          <w:sz w:val="25"/>
        </w:rPr>
        <w:t>E06 Increased Windscreen Cover</w:t>
      </w:r>
      <w:bookmarkEnd w:id="97"/>
    </w:p>
    <w:p>
      <w:r>
        <w:rPr>
          <w:b w:val="0"/>
          <w:i w:val="0"/>
        </w:rPr>
        <w:t>The windscreen and window glass additional benefit is increased to the amount shown in the Schedule for each Occurrence, and includes the recalibration of cameras and sensors mounted on the glass.</w:t>
      </w:r>
    </w:p>
    <w:p>
      <w:r>
        <w:rPr>
          <w:b w:val="0"/>
          <w:i w:val="0"/>
        </w:rPr>
        <w:t>Schedule variables: windscreen limit each Occurrence.</w:t>
      </w:r>
    </w:p>
    <w:p>
      <w:bookmarkStart w:id="98" w:name="c_mot_end_e07"/>
      <w:r>
        <w:rPr>
          <w:rFonts w:ascii="Georgia" w:hAnsi="Georgia" w:eastAsia="Georgia"/>
          <w:b/>
          <w:i w:val="0"/>
          <w:color w:val="2E5C4E"/>
          <w:sz w:val="25"/>
        </w:rPr>
        <w:t>E07 Fleet Telematics</w:t>
      </w:r>
      <w:bookmarkEnd w:id="98"/>
    </w:p>
    <w:p>
      <w:r>
        <w:rPr>
          <w:b w:val="0"/>
          <w:i w:val="0"/>
        </w:rPr>
        <w:t>You agree to keep the telematics system named in the Schedule installed and operating in the Insured vehicles shown, and to give us, on request and not more often than quarterly, the summary reports named in the Schedule. We use the reports only to review the premium and terms at renewal and to assess claims. A failure of the system that you did not cause does not affect cover.</w:t>
      </w:r>
    </w:p>
    <w:p>
      <w:r>
        <w:rPr>
          <w:b w:val="0"/>
          <w:i w:val="0"/>
        </w:rPr>
        <w:t>Schedule variables: telematics system; vehicles covered; reports.</w:t>
      </w:r>
    </w:p>
    <w:p>
      <w:bookmarkStart w:id="99" w:name="c_mot_end_e08"/>
      <w:r>
        <w:rPr>
          <w:rFonts w:ascii="Georgia" w:hAnsi="Georgia" w:eastAsia="Georgia"/>
          <w:b/>
          <w:i w:val="0"/>
          <w:color w:val="2E5C4E"/>
          <w:sz w:val="25"/>
        </w:rPr>
        <w:t>E08 Novated Lease Vehicles</w:t>
      </w:r>
      <w:bookmarkEnd w:id="99"/>
    </w:p>
    <w:p>
      <w:r>
        <w:rPr>
          <w:b w:val="0"/>
          <w:i w:val="0"/>
        </w:rPr>
        <w:t xml:space="preserve">For each Insured vehicle shown in the Schedule as held under a novated lease, the employee named for it is an Insured person and the vehicle's Permitted use includes their private use. The lessor named is an interested party under </w:t>
      </w:r>
      <w:hyperlink w:anchor="c_mot_cond_subrogation_and_interested_pa">
        <w:r>
          <w:rPr>
            <w:color w:val="2E5C4E"/>
            <w:u w:val="single"/>
          </w:rPr>
          <w:t xml:space="preserve">the Subrogation and Interested Parties condition</w:t>
        </w:r>
      </w:hyperlink>
      <w:r>
        <w:rPr>
          <w:b w:val="0"/>
          <w:i w:val="0"/>
        </w:rPr>
        <w:t>. Where the employee leaves your employment, cover for the vehicle continues until the end of the Period of Insurance or until the lease is assigned, whichever is earlier.</w:t>
      </w:r>
    </w:p>
    <w:p>
      <w:r>
        <w:rPr>
          <w:b w:val="0"/>
          <w:i w:val="0"/>
        </w:rPr>
        <w:t>Schedule variables: vehicles covered; employee; lessor.</w:t>
      </w:r>
    </w:p>
    <w:p>
      <w:bookmarkStart w:id="100" w:name="c_mot_end_e09"/>
      <w:r>
        <w:rPr>
          <w:rFonts w:ascii="Georgia" w:hAnsi="Georgia" w:eastAsia="Georgia"/>
          <w:b/>
          <w:i w:val="0"/>
          <w:color w:val="2E5C4E"/>
          <w:sz w:val="25"/>
        </w:rPr>
        <w:t>E09 Large Fleet Excess Layer</w:t>
      </w:r>
      <w:bookmarkEnd w:id="100"/>
    </w:p>
    <w:p>
      <w:r>
        <w:rPr>
          <w:b w:val="0"/>
          <w:i w:val="0"/>
        </w:rPr>
        <w:t xml:space="preserve">For claims under </w:t>
      </w:r>
      <w:hyperlink w:anchor="c_mot_section_vehicle_cover">
        <w:r>
          <w:rPr>
            <w:color w:val="2E5C4E"/>
            <w:u w:val="single"/>
          </w:rPr>
          <w:t xml:space="preserve">the Cover for Your Vehicles section</w:t>
        </w:r>
      </w:hyperlink>
      <w:r>
        <w:rPr>
          <w:b w:val="0"/>
          <w:i w:val="0"/>
        </w:rPr>
        <w:t>, you bear each claim up to the self-insured amount shown in the Schedule, in place of the basic excess, and we pay the amount above it. Where the Schedule shows an aggregate, once the self-insured amounts you have borne in the Period of Insurance reach the aggregate, the basic excess applies to later claims instead.</w:t>
      </w:r>
    </w:p>
    <w:p>
      <w:r>
        <w:rPr>
          <w:b w:val="0"/>
          <w:i w:val="0"/>
        </w:rPr>
        <w:t>Schedule variables: self-insured amount each claim; annual aggregate.</w:t>
      </w:r>
    </w:p>
    <w:p>
      <w:bookmarkStart w:id="101" w:name="c_mot_end_e10"/>
      <w:r>
        <w:rPr>
          <w:rFonts w:ascii="Georgia" w:hAnsi="Georgia" w:eastAsia="Georgia"/>
          <w:b/>
          <w:i w:val="0"/>
          <w:color w:val="2E5C4E"/>
          <w:sz w:val="25"/>
        </w:rPr>
        <w:t>E10 Extended Hire Vehicle</w:t>
      </w:r>
      <w:bookmarkEnd w:id="101"/>
    </w:p>
    <w:p>
      <w:r>
        <w:rPr>
          <w:b w:val="0"/>
          <w:i w:val="0"/>
        </w:rPr>
        <w:t>The hire vehicle additional benefits are increased to the daily amount and period shown in the Schedule, and the benefit for hire after an accident applies whoever was at fault.</w:t>
      </w:r>
    </w:p>
    <w:p>
      <w:r>
        <w:rPr>
          <w:b w:val="0"/>
          <w:i w:val="0"/>
        </w:rPr>
        <w:t>Schedule variables: daily amount; period.</w:t>
      </w:r>
    </w:p>
    <w:p>
      <w:bookmarkStart w:id="102" w:name="c_mot_end_e11"/>
      <w:r>
        <w:rPr>
          <w:rFonts w:ascii="Georgia" w:hAnsi="Georgia" w:eastAsia="Georgia"/>
          <w:b/>
          <w:i w:val="0"/>
          <w:color w:val="2E5C4E"/>
          <w:sz w:val="25"/>
        </w:rPr>
        <w:t>E11 Registered Mobile Plant</w:t>
      </w:r>
      <w:bookmarkEnd w:id="102"/>
    </w:p>
    <w:p>
      <w:r>
        <w:rPr>
          <w:b w:val="0"/>
          <w:i w:val="0"/>
        </w:rPr>
        <w:t>Registered mobile plant shown in the Schedule is an Insured vehicle while it is driven on a public road, at the cover level shown. Loss, damage and liability while it is operated as a Tool of trade are not covered by this Policy and should be insured under a plant and equipment or liability policy.</w:t>
      </w:r>
    </w:p>
    <w:p>
      <w:r>
        <w:rPr>
          <w:b w:val="0"/>
          <w:i w:val="0"/>
        </w:rPr>
        <w:t>Schedule variables: plant covered; cover level; Sum insured.</w:t>
      </w:r>
    </w:p>
    <w:p>
      <w:bookmarkStart w:id="103" w:name="c_mot_end_e12"/>
      <w:r>
        <w:rPr>
          <w:rFonts w:ascii="Georgia" w:hAnsi="Georgia" w:eastAsia="Georgia"/>
          <w:b/>
          <w:i w:val="0"/>
          <w:color w:val="2E5C4E"/>
          <w:sz w:val="25"/>
        </w:rPr>
        <w:t>E12 Dangerous Goods Transport</w:t>
      </w:r>
      <w:bookmarkEnd w:id="103"/>
    </w:p>
    <w:p>
      <w:r>
        <w:rPr>
          <w:b w:val="0"/>
          <w:i w:val="0"/>
        </w:rPr>
        <w:t xml:space="preserve">The Dangerous goods sub-limit in </w:t>
      </w:r>
      <w:hyperlink w:anchor="c_mot_ext_dangerous_goods">
        <w:r>
          <w:rPr>
            <w:color w:val="2E5C4E"/>
            <w:u w:val="single"/>
          </w:rPr>
          <w:t xml:space="preserve">the Dangerous Goods Liability extension</w:t>
        </w:r>
      </w:hyperlink>
      <w:r>
        <w:rPr>
          <w:b w:val="0"/>
          <w:i w:val="0"/>
        </w:rPr>
        <w:t xml:space="preserve"> is increased to the amount shown in the Schedule. You must comply with the law that applies to the carriage of the classes of Dangerous goods shown, including placarding, driver licensing and vehicle approval, and we cover the reasonable cost of clean-up and removal of Dangerous goods spilled from an Insured vehicle that a public authority requires, within that sub-limit.</w:t>
      </w:r>
    </w:p>
    <w:p>
      <w:r>
        <w:rPr>
          <w:b w:val="0"/>
          <w:i w:val="0"/>
        </w:rPr>
        <w:t>Schedule variables: Dangerous goods sub-limit; classes carried.</w:t>
      </w:r>
    </w:p>
    <w:p>
      <w:bookmarkStart w:id="104" w:name="c_mot_end_e13"/>
      <w:r>
        <w:rPr>
          <w:rFonts w:ascii="Georgia" w:hAnsi="Georgia" w:eastAsia="Georgia"/>
          <w:b/>
          <w:i w:val="0"/>
          <w:color w:val="2E5C4E"/>
          <w:sz w:val="25"/>
        </w:rPr>
        <w:t>E13 Interstate Long-Haul</w:t>
      </w:r>
      <w:bookmarkEnd w:id="104"/>
    </w:p>
    <w:p>
      <w:r>
        <w:rPr>
          <w:b w:val="0"/>
          <w:i w:val="0"/>
        </w:rPr>
        <w:t xml:space="preserve">For Insured vehicles used on interstate long-haul routes, we also pay, after loss or damage covered by </w:t>
      </w:r>
      <w:hyperlink w:anchor="c_mot_section_vehicle_cover">
        <w:r>
          <w:rPr>
            <w:color w:val="2E5C4E"/>
            <w:u w:val="single"/>
          </w:rPr>
          <w:t xml:space="preserve">the Cover for Your Vehicles section</w:t>
        </w:r>
      </w:hyperlink>
      <w:r>
        <w:rPr>
          <w:b w:val="0"/>
          <w:i w:val="0"/>
        </w:rPr>
        <w:t xml:space="preserve"> more than 500 km from the vehicle's garaging address, the reasonable cost of roadside assistance, the driver's accommodation and return travel, and a relief driver to complete the trip, up to the amount shown in the Schedule for each Occurrence.</w:t>
      </w:r>
    </w:p>
    <w:p>
      <w:r>
        <w:rPr>
          <w:b w:val="0"/>
          <w:i w:val="0"/>
        </w:rPr>
        <w:t>Schedule variables: limit each Occurrence.</w:t>
      </w:r>
    </w:p>
    <w:p>
      <w:bookmarkStart w:id="105" w:name="c_mot_end_e14"/>
      <w:r>
        <w:rPr>
          <w:rFonts w:ascii="Georgia" w:hAnsi="Georgia" w:eastAsia="Georgia"/>
          <w:b/>
          <w:i w:val="0"/>
          <w:color w:val="2E5C4E"/>
          <w:sz w:val="25"/>
        </w:rPr>
        <w:t>E14 Electric and Hybrid Vehicles</w:t>
      </w:r>
      <w:bookmarkEnd w:id="105"/>
    </w:p>
    <w:p>
      <w:r>
        <w:rPr>
          <w:b w:val="0"/>
          <w:i w:val="0"/>
        </w:rPr>
        <w:t xml:space="preserve">For each Insured vehicle that is electric or hybrid, </w:t>
      </w:r>
      <w:hyperlink w:anchor="c_mot_section_vehicle_cover">
        <w:r>
          <w:rPr>
            <w:color w:val="2E5C4E"/>
            <w:u w:val="single"/>
          </w:rPr>
          <w:t xml:space="preserve">the Cover for Your Vehicles section</w:t>
        </w:r>
      </w:hyperlink>
      <w:r>
        <w:rPr>
          <w:b w:val="0"/>
          <w:i w:val="0"/>
        </w:rPr>
        <w:t xml:space="preserve"> includes Accidental loss or damage to its traction battery, and to charging equipment you own at the garaging address and portable charging cables, up to the amount shown in the Schedule; and </w:t>
      </w:r>
      <w:hyperlink w:anchor="c_mot_cover_third_party_property_damage">
        <w:r>
          <w:rPr>
            <w:color w:val="2E5C4E"/>
            <w:u w:val="single"/>
          </w:rPr>
          <w:t xml:space="preserve">the Third Party Property Damage clause</w:t>
        </w:r>
      </w:hyperlink>
      <w:r>
        <w:rPr>
          <w:b w:val="0"/>
          <w:i w:val="0"/>
        </w:rPr>
        <w:t xml:space="preserve"> extends to liability arising from charging the vehicle. We do not pay for loss of battery capacity through age or use.</w:t>
      </w:r>
    </w:p>
    <w:p>
      <w:r>
        <w:rPr>
          <w:b w:val="0"/>
          <w:i w:val="0"/>
        </w:rPr>
        <w:t>Schedule variables: charging equipment limit.</w:t>
      </w:r>
    </w:p>
    <w:p>
      <w:bookmarkStart w:id="106" w:name="c_mot_end_e15"/>
      <w:r>
        <w:rPr>
          <w:rFonts w:ascii="Georgia" w:hAnsi="Georgia" w:eastAsia="Georgia"/>
          <w:b/>
          <w:i w:val="0"/>
          <w:color w:val="2E5C4E"/>
          <w:sz w:val="25"/>
        </w:rPr>
        <w:t>E15 Automated Driving Systems</w:t>
      </w:r>
      <w:bookmarkEnd w:id="106"/>
    </w:p>
    <w:p>
      <w:r>
        <w:rPr>
          <w:b w:val="0"/>
          <w:i w:val="0"/>
        </w:rPr>
        <w:t>For each Insured vehicle shown in the Schedule as equipped with an automated driving system, cover under this Policy applies while the system is engaged as though the person responsible for the vehicle were driving it, provided the system is used as its manufacturer instructs and its software updates have been installed when issued. [WP REVIEW: align with the Automated Vehicle Safety Law once enacted.]</w:t>
      </w:r>
    </w:p>
    <w:p>
      <w:r>
        <w:rPr>
          <w:b w:val="0"/>
          <w:i w:val="0"/>
        </w:rPr>
        <w:t>Schedule variables: vehicles covered.</w:t>
      </w:r>
    </w:p>
    <w:p>
      <w:bookmarkStart w:id="107" w:name="c_mot_end_e16"/>
      <w:r>
        <w:rPr>
          <w:rFonts w:ascii="Georgia" w:hAnsi="Georgia" w:eastAsia="Georgia"/>
          <w:b/>
          <w:i w:val="0"/>
          <w:color w:val="2E5C4E"/>
          <w:sz w:val="25"/>
        </w:rPr>
        <w:t>E16 Tow Trucks and Recovery Vehicles</w:t>
      </w:r>
      <w:bookmarkEnd w:id="107"/>
    </w:p>
    <w:p>
      <w:r>
        <w:rPr>
          <w:b w:val="0"/>
          <w:i w:val="0"/>
        </w:rPr>
        <w:t xml:space="preserve">For Insured vehicles used as tow trucks or recovery vehicles, we pay for loss of or damage to a vehicle being towed, carried or recovered by them, for which you are legally liable, up to the amount shown in the Schedule for each Occurrence. </w:t>
      </w:r>
      <w:hyperlink w:anchor="c_mot_excl_liability">
        <w:r>
          <w:rPr>
            <w:color w:val="2E5C4E"/>
            <w:u w:val="single"/>
          </w:rPr>
          <w:t xml:space="preserve">the What Is Not Covered for Your Legal Liability exclusion</w:t>
        </w:r>
      </w:hyperlink>
      <w:r>
        <w:rPr>
          <w:b w:val="0"/>
          <w:i w:val="0"/>
        </w:rPr>
        <w:t xml:space="preserve"> does not apply to that property to that extent. The driver must hold any tow truck licence or authority the law requires.</w:t>
      </w:r>
    </w:p>
    <w:p>
      <w:r>
        <w:rPr>
          <w:b w:val="0"/>
          <w:i w:val="0"/>
        </w:rPr>
        <w:t>Schedule variables: goods in care limit; excess.</w:t>
      </w:r>
    </w:p>
    <w:p>
      <w:bookmarkStart w:id="108" w:name="c_mot_end_e17"/>
      <w:r>
        <w:rPr>
          <w:rFonts w:ascii="Georgia" w:hAnsi="Georgia" w:eastAsia="Georgia"/>
          <w:b/>
          <w:i w:val="0"/>
          <w:color w:val="2E5C4E"/>
          <w:sz w:val="25"/>
        </w:rPr>
        <w:t>E17 Courtesy Vehicle Fleets</w:t>
      </w:r>
      <w:bookmarkEnd w:id="108"/>
    </w:p>
    <w:p>
      <w:r>
        <w:rPr>
          <w:b w:val="0"/>
          <w:i w:val="0"/>
        </w:rPr>
        <w:t xml:space="preserve">Where lending vehicles is part of your business, </w:t>
      </w:r>
      <w:hyperlink w:anchor="c_mot_fleet_courtesy_vehicles">
        <w:r>
          <w:rPr>
            <w:color w:val="2E5C4E"/>
            <w:u w:val="single"/>
          </w:rPr>
          <w:t xml:space="preserve">the Courtesy and Loan Vehicles extension</w:t>
        </w:r>
      </w:hyperlink>
      <w:r>
        <w:rPr>
          <w:b w:val="0"/>
          <w:i w:val="0"/>
        </w:rPr>
        <w:t xml:space="preserve"> applies to the number of courtesy vehicles shown in the Schedule, and a customer driving one with your permission is an Insured person. You must check and copy each customer's licence before lending a vehicle.</w:t>
      </w:r>
    </w:p>
    <w:p>
      <w:r>
        <w:rPr>
          <w:b w:val="0"/>
          <w:i w:val="0"/>
        </w:rPr>
        <w:t>Schedule variables: maximum number of courtesy vehicles; additional excess.</w:t>
      </w:r>
    </w:p>
    <w:p>
      <w:bookmarkStart w:id="109" w:name="c_mot_end_e18"/>
      <w:r>
        <w:rPr>
          <w:rFonts w:ascii="Georgia" w:hAnsi="Georgia" w:eastAsia="Georgia"/>
          <w:b/>
          <w:i w:val="0"/>
          <w:color w:val="2E5C4E"/>
          <w:sz w:val="25"/>
        </w:rPr>
        <w:t>E18 Sole Operator</w:t>
      </w:r>
      <w:bookmarkEnd w:id="109"/>
    </w:p>
    <w:p>
      <w:r>
        <w:rPr>
          <w:b w:val="0"/>
          <w:i w:val="0"/>
        </w:rPr>
        <w:t xml:space="preserve">Where one vehicle is insured and the Named insured is a sole trader or a company with one working director, the driver basis is the Named insured or that director and any driver shown in the Schedule, the declarations in </w:t>
      </w:r>
      <w:hyperlink w:anchor="c_mot_fleet_declarations">
        <w:r>
          <w:rPr>
            <w:color w:val="2E5C4E"/>
            <w:u w:val="single"/>
          </w:rPr>
          <w:t xml:space="preserve">the Declarations and Premium Adjustment condition</w:t>
        </w:r>
      </w:hyperlink>
      <w:r>
        <w:rPr>
          <w:b w:val="0"/>
          <w:i w:val="0"/>
        </w:rPr>
        <w:t xml:space="preserve"> do not apply, and the premium is fixed for the Period of Insurance.</w:t>
      </w:r>
    </w:p>
    <w:p>
      <w:r>
        <w:rPr>
          <w:b w:val="0"/>
          <w:i w:val="0"/>
        </w:rPr>
        <w:t>Schedule variables: drivers.</w:t>
      </w:r>
    </w:p>
    <w:p>
      <w:bookmarkStart w:id="110" w:name="c_mot_appendix_default_schedule_values"/>
      <w:r>
        <w:rPr>
          <w:rFonts w:ascii="Georgia" w:hAnsi="Georgia" w:eastAsia="Georgia"/>
          <w:b/>
          <w:i w:val="0"/>
          <w:color w:val="1C1915"/>
          <w:sz w:val="32"/>
        </w:rPr>
        <w:t>Default Schedule Values</w:t>
      </w:r>
      <w:bookmarkEnd w:id="110"/>
    </w:p>
    <w:p>
      <w:r>
        <w:rPr>
          <w:b w:val="0"/>
          <w:i w:val="0"/>
        </w:rPr>
        <w:t>These are the defaults that apply where the Schedule does not show another amount. Each figure is a Schedule value: an issuer may vary it in the Schedule without amending this wording.</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Clause</w:t>
            </w:r>
          </w:p>
        </w:tc>
        <w:tc>
          <w:tcPr>
            <w:tcW w:type="dxa" w:w="3249"/>
          </w:tcPr>
          <w:p>
            <w:r/>
            <w:r>
              <w:rPr>
                <w:b w:val="0"/>
                <w:i w:val="0"/>
              </w:rPr>
              <w:t>Item</w:t>
            </w:r>
          </w:p>
        </w:tc>
        <w:tc>
          <w:tcPr>
            <w:tcW w:type="dxa" w:w="3249"/>
          </w:tcPr>
          <w:p>
            <w:r/>
            <w:r>
              <w:rPr>
                <w:b w:val="0"/>
                <w:i w:val="0"/>
              </w:rPr>
              <w:t>Default</w:t>
            </w:r>
          </w:p>
        </w:tc>
      </w:tr>
      <w:tr>
        <w:tc>
          <w:tcPr>
            <w:tcW w:type="dxa" w:w="3249"/>
          </w:tcPr>
          <w:p>
            <w:r/>
            <w:hyperlink w:anchor="c_mot_cover_third_party_property_damage">
              <w:r>
                <w:rPr>
                  <w:color w:val="2E5C4E"/>
                  <w:u w:val="single"/>
                </w:rPr>
                <w:t xml:space="preserve">the Third Party Property Damage clause</w:t>
              </w:r>
            </w:hyperlink>
          </w:p>
        </w:tc>
        <w:tc>
          <w:tcPr>
            <w:tcW w:type="dxa" w:w="3249"/>
          </w:tcPr>
          <w:p>
            <w:r/>
            <w:r>
              <w:rPr>
                <w:b w:val="0"/>
                <w:i w:val="0"/>
              </w:rPr>
              <w:t>Third party property damage limit each Occurrence</w:t>
            </w:r>
          </w:p>
        </w:tc>
        <w:tc>
          <w:tcPr>
            <w:tcW w:type="dxa" w:w="3249"/>
          </w:tcPr>
          <w:p>
            <w:r/>
            <w:r>
              <w:rPr>
                <w:b w:val="0"/>
                <w:i w:val="0"/>
              </w:rPr>
              <w:t>$30,000,000</w:t>
            </w:r>
          </w:p>
        </w:tc>
      </w:tr>
      <w:tr>
        <w:tc>
          <w:tcPr>
            <w:tcW w:type="dxa" w:w="3249"/>
          </w:tcPr>
          <w:p>
            <w:r/>
            <w:hyperlink w:anchor="c_mot_ext_supplementary_bodily_injury">
              <w:r>
                <w:rPr>
                  <w:color w:val="2E5C4E"/>
                  <w:u w:val="single"/>
                </w:rPr>
                <w:t xml:space="preserve">the Supplementary Bodily Injury extension</w:t>
              </w:r>
            </w:hyperlink>
          </w:p>
        </w:tc>
        <w:tc>
          <w:tcPr>
            <w:tcW w:type="dxa" w:w="3249"/>
          </w:tcPr>
          <w:p>
            <w:r/>
            <w:r>
              <w:rPr>
                <w:b w:val="0"/>
                <w:i w:val="0"/>
              </w:rPr>
              <w:t>Supplementary bodily injury sub-limit each Occurrence</w:t>
            </w:r>
          </w:p>
        </w:tc>
        <w:tc>
          <w:tcPr>
            <w:tcW w:type="dxa" w:w="3249"/>
          </w:tcPr>
          <w:p>
            <w:r/>
            <w:r>
              <w:rPr>
                <w:b w:val="0"/>
                <w:i w:val="0"/>
              </w:rPr>
              <w:t>$5,000,000</w:t>
            </w:r>
          </w:p>
        </w:tc>
      </w:tr>
      <w:tr>
        <w:tc>
          <w:tcPr>
            <w:tcW w:type="dxa" w:w="3249"/>
          </w:tcPr>
          <w:p>
            <w:r/>
            <w:hyperlink w:anchor="c_mot_ext_dangerous_goods">
              <w:r>
                <w:rPr>
                  <w:color w:val="2E5C4E"/>
                  <w:u w:val="single"/>
                </w:rPr>
                <w:t xml:space="preserve">the Dangerous Goods Liability extension</w:t>
              </w:r>
            </w:hyperlink>
          </w:p>
        </w:tc>
        <w:tc>
          <w:tcPr>
            <w:tcW w:type="dxa" w:w="3249"/>
          </w:tcPr>
          <w:p>
            <w:r/>
            <w:r>
              <w:rPr>
                <w:b w:val="0"/>
                <w:i w:val="0"/>
              </w:rPr>
              <w:t>Dangerous goods sub-limit each Occurrence</w:t>
            </w:r>
          </w:p>
        </w:tc>
        <w:tc>
          <w:tcPr>
            <w:tcW w:type="dxa" w:w="3249"/>
          </w:tcPr>
          <w:p>
            <w:r/>
            <w:r>
              <w:rPr>
                <w:b w:val="0"/>
                <w:i w:val="0"/>
              </w:rPr>
              <w:t>$1,000,000</w:t>
            </w:r>
          </w:p>
        </w:tc>
      </w:tr>
      <w:tr>
        <w:tc>
          <w:tcPr>
            <w:tcW w:type="dxa" w:w="3249"/>
          </w:tcPr>
          <w:p>
            <w:r/>
            <w:hyperlink w:anchor="c_mot_ext_uninsured_motorist">
              <w:r>
                <w:rPr>
                  <w:color w:val="2E5C4E"/>
                  <w:u w:val="single"/>
                </w:rPr>
                <w:t xml:space="preserve">the Uninsured Motorist Damage extension</w:t>
              </w:r>
            </w:hyperlink>
          </w:p>
        </w:tc>
        <w:tc>
          <w:tcPr>
            <w:tcW w:type="dxa" w:w="3249"/>
          </w:tcPr>
          <w:p>
            <w:r/>
            <w:r>
              <w:rPr>
                <w:b w:val="0"/>
                <w:i w:val="0"/>
              </w:rPr>
              <w:t>Uninsured motorist damage</w:t>
            </w:r>
          </w:p>
        </w:tc>
        <w:tc>
          <w:tcPr>
            <w:tcW w:type="dxa" w:w="3249"/>
          </w:tcPr>
          <w:p>
            <w:r/>
            <w:r>
              <w:rPr>
                <w:b w:val="0"/>
                <w:i w:val="0"/>
              </w:rPr>
              <w:t>$5,000</w:t>
            </w:r>
          </w:p>
        </w:tc>
      </w:tr>
      <w:tr>
        <w:tc>
          <w:tcPr>
            <w:tcW w:type="dxa" w:w="3249"/>
          </w:tcPr>
          <w:p>
            <w:r/>
            <w:hyperlink w:anchor="c_mot_def_total_loss">
              <w:r>
                <w:rPr>
                  <w:color w:val="2E5C4E"/>
                  <w:u w:val="single"/>
                </w:rPr>
                <w:t xml:space="preserve">the definition of Total Loss</w:t>
              </w:r>
            </w:hyperlink>
          </w:p>
        </w:tc>
        <w:tc>
          <w:tcPr>
            <w:tcW w:type="dxa" w:w="3249"/>
          </w:tcPr>
          <w:p>
            <w:r/>
            <w:r>
              <w:rPr>
                <w:b w:val="0"/>
                <w:i w:val="0"/>
              </w:rPr>
              <w:t>Period before a stolen vehicle is a Total loss</w:t>
            </w:r>
          </w:p>
        </w:tc>
        <w:tc>
          <w:tcPr>
            <w:tcW w:type="dxa" w:w="3249"/>
          </w:tcPr>
          <w:p>
            <w:r/>
            <w:r>
              <w:rPr>
                <w:b w:val="0"/>
                <w:i w:val="0"/>
              </w:rPr>
              <w:t>30 days</w:t>
            </w:r>
          </w:p>
        </w:tc>
      </w:tr>
      <w:tr>
        <w:tc>
          <w:tcPr>
            <w:tcW w:type="dxa" w:w="3249"/>
          </w:tcPr>
          <w:p>
            <w:r/>
            <w:hyperlink w:anchor="c_mot_pay_new_vehicle_replacement">
              <w:r>
                <w:rPr>
                  <w:color w:val="2E5C4E"/>
                  <w:u w:val="single"/>
                </w:rPr>
                <w:t xml:space="preserve">the New Vehicle Replacement provision</w:t>
              </w:r>
            </w:hyperlink>
          </w:p>
        </w:tc>
        <w:tc>
          <w:tcPr>
            <w:tcW w:type="dxa" w:w="3249"/>
          </w:tcPr>
          <w:p>
            <w:r/>
            <w:r>
              <w:rPr>
                <w:b w:val="0"/>
                <w:i w:val="0"/>
              </w:rPr>
              <w:t>Period from first registration; gross vehicle mass limit; most we pay</w:t>
            </w:r>
          </w:p>
        </w:tc>
        <w:tc>
          <w:tcPr>
            <w:tcW w:type="dxa" w:w="3249"/>
          </w:tcPr>
          <w:p>
            <w:r/>
            <w:r>
              <w:rPr>
                <w:b w:val="0"/>
                <w:i w:val="0"/>
              </w:rPr>
              <w:t>24 months; 4.5 tonnes; 120% of the Sum insured</w:t>
            </w:r>
          </w:p>
        </w:tc>
      </w:tr>
      <w:tr>
        <w:tc>
          <w:tcPr>
            <w:tcW w:type="dxa" w:w="3249"/>
          </w:tcPr>
          <w:p>
            <w:r/>
            <w:hyperlink w:anchor="c_mot_ext_additional_benefits">
              <w:r>
                <w:rPr>
                  <w:color w:val="2E5C4E"/>
                  <w:u w:val="single"/>
                </w:rPr>
                <w:t xml:space="preserve">the Additional Benefits extension</w:t>
              </w:r>
            </w:hyperlink>
          </w:p>
        </w:tc>
        <w:tc>
          <w:tcPr>
            <w:tcW w:type="dxa" w:w="3249"/>
          </w:tcPr>
          <w:p>
            <w:r/>
            <w:r>
              <w:rPr>
                <w:b w:val="0"/>
                <w:i w:val="0"/>
              </w:rPr>
              <w:t>Hire vehicle after theft or Total loss</w:t>
            </w:r>
          </w:p>
        </w:tc>
        <w:tc>
          <w:tcPr>
            <w:tcW w:type="dxa" w:w="3249"/>
          </w:tcPr>
          <w:p>
            <w:r/>
            <w:r>
              <w:rPr>
                <w:b w:val="0"/>
                <w:i w:val="0"/>
              </w:rPr>
              <w:t>$150 a day for up to 30 days</w:t>
            </w:r>
          </w:p>
        </w:tc>
      </w:tr>
      <w:tr>
        <w:tc>
          <w:tcPr>
            <w:tcW w:type="dxa" w:w="3249"/>
          </w:tcPr>
          <w:p>
            <w:r/>
            <w:hyperlink w:anchor="c_mot_ext_additional_benefits">
              <w:r>
                <w:rPr>
                  <w:color w:val="2E5C4E"/>
                  <w:u w:val="single"/>
                </w:rPr>
                <w:t xml:space="preserve">the Additional Benefits extension</w:t>
              </w:r>
            </w:hyperlink>
          </w:p>
        </w:tc>
        <w:tc>
          <w:tcPr>
            <w:tcW w:type="dxa" w:w="3249"/>
          </w:tcPr>
          <w:p>
            <w:r/>
            <w:r>
              <w:rPr>
                <w:b w:val="0"/>
                <w:i w:val="0"/>
              </w:rPr>
              <w:t>Hire vehicle after accident</w:t>
            </w:r>
          </w:p>
        </w:tc>
        <w:tc>
          <w:tcPr>
            <w:tcW w:type="dxa" w:w="3249"/>
          </w:tcPr>
          <w:p>
            <w:r/>
            <w:r>
              <w:rPr>
                <w:b w:val="0"/>
                <w:i w:val="0"/>
              </w:rPr>
              <w:t>$150 a day for up to 14 days</w:t>
            </w:r>
          </w:p>
        </w:tc>
      </w:tr>
      <w:tr>
        <w:tc>
          <w:tcPr>
            <w:tcW w:type="dxa" w:w="3249"/>
          </w:tcPr>
          <w:p>
            <w:r/>
            <w:hyperlink w:anchor="c_mot_ext_additional_benefits">
              <w:r>
                <w:rPr>
                  <w:color w:val="2E5C4E"/>
                  <w:u w:val="single"/>
                </w:rPr>
                <w:t xml:space="preserve">the Additional Benefits extension</w:t>
              </w:r>
            </w:hyperlink>
          </w:p>
        </w:tc>
        <w:tc>
          <w:tcPr>
            <w:tcW w:type="dxa" w:w="3249"/>
          </w:tcPr>
          <w:p>
            <w:r/>
            <w:r>
              <w:rPr>
                <w:b w:val="0"/>
                <w:i w:val="0"/>
              </w:rPr>
              <w:t>Towing and recovery</w:t>
            </w:r>
          </w:p>
        </w:tc>
        <w:tc>
          <w:tcPr>
            <w:tcW w:type="dxa" w:w="3249"/>
          </w:tcPr>
          <w:p>
            <w:r/>
            <w:r>
              <w:rPr>
                <w:b w:val="0"/>
                <w:i w:val="0"/>
              </w:rPr>
              <w:t>$5,000 each Occurrence</w:t>
            </w:r>
          </w:p>
        </w:tc>
      </w:tr>
      <w:tr>
        <w:tc>
          <w:tcPr>
            <w:tcW w:type="dxa" w:w="3249"/>
          </w:tcPr>
          <w:p>
            <w:r/>
            <w:hyperlink w:anchor="c_mot_ext_additional_benefits">
              <w:r>
                <w:rPr>
                  <w:color w:val="2E5C4E"/>
                  <w:u w:val="single"/>
                </w:rPr>
                <w:t xml:space="preserve">the Additional Benefits extension</w:t>
              </w:r>
            </w:hyperlink>
          </w:p>
        </w:tc>
        <w:tc>
          <w:tcPr>
            <w:tcW w:type="dxa" w:w="3249"/>
          </w:tcPr>
          <w:p>
            <w:r/>
            <w:r>
              <w:rPr>
                <w:b w:val="0"/>
                <w:i w:val="0"/>
              </w:rPr>
              <w:t>Emergency repairs</w:t>
            </w:r>
          </w:p>
        </w:tc>
        <w:tc>
          <w:tcPr>
            <w:tcW w:type="dxa" w:w="3249"/>
          </w:tcPr>
          <w:p>
            <w:r/>
            <w:r>
              <w:rPr>
                <w:b w:val="0"/>
                <w:i w:val="0"/>
              </w:rPr>
              <w:t>$1,500 each Occurrence</w:t>
            </w:r>
          </w:p>
        </w:tc>
      </w:tr>
      <w:tr>
        <w:tc>
          <w:tcPr>
            <w:tcW w:type="dxa" w:w="3249"/>
          </w:tcPr>
          <w:p>
            <w:r/>
            <w:hyperlink w:anchor="c_mot_ext_additional_benefits">
              <w:r>
                <w:rPr>
                  <w:color w:val="2E5C4E"/>
                  <w:u w:val="single"/>
                </w:rPr>
                <w:t xml:space="preserve">the Additional Benefits extension</w:t>
              </w:r>
            </w:hyperlink>
          </w:p>
        </w:tc>
        <w:tc>
          <w:tcPr>
            <w:tcW w:type="dxa" w:w="3249"/>
          </w:tcPr>
          <w:p>
            <w:r/>
            <w:r>
              <w:rPr>
                <w:b w:val="0"/>
                <w:i w:val="0"/>
              </w:rPr>
              <w:t>Windscreen and window glass</w:t>
            </w:r>
          </w:p>
        </w:tc>
        <w:tc>
          <w:tcPr>
            <w:tcW w:type="dxa" w:w="3249"/>
          </w:tcPr>
          <w:p>
            <w:r/>
            <w:r>
              <w:rPr>
                <w:b w:val="0"/>
                <w:i w:val="0"/>
              </w:rPr>
              <w:t>$3,000 each Occurrence</w:t>
            </w:r>
          </w:p>
        </w:tc>
      </w:tr>
      <w:tr>
        <w:tc>
          <w:tcPr>
            <w:tcW w:type="dxa" w:w="3249"/>
          </w:tcPr>
          <w:p>
            <w:r/>
            <w:hyperlink w:anchor="c_mot_ext_additional_benefits">
              <w:r>
                <w:rPr>
                  <w:color w:val="2E5C4E"/>
                  <w:u w:val="single"/>
                </w:rPr>
                <w:t xml:space="preserve">the Additional Benefits extension</w:t>
              </w:r>
            </w:hyperlink>
          </w:p>
        </w:tc>
        <w:tc>
          <w:tcPr>
            <w:tcW w:type="dxa" w:w="3249"/>
          </w:tcPr>
          <w:p>
            <w:r/>
            <w:r>
              <w:rPr>
                <w:b w:val="0"/>
                <w:i w:val="0"/>
              </w:rPr>
              <w:t>Personal effects</w:t>
            </w:r>
          </w:p>
        </w:tc>
        <w:tc>
          <w:tcPr>
            <w:tcW w:type="dxa" w:w="3249"/>
          </w:tcPr>
          <w:p>
            <w:r/>
            <w:r>
              <w:rPr>
                <w:b w:val="0"/>
                <w:i w:val="0"/>
              </w:rPr>
              <w:t>$2,000 each vehicle</w:t>
            </w:r>
          </w:p>
        </w:tc>
      </w:tr>
      <w:tr>
        <w:tc>
          <w:tcPr>
            <w:tcW w:type="dxa" w:w="3249"/>
          </w:tcPr>
          <w:p>
            <w:r/>
            <w:hyperlink w:anchor="c_mot_ext_additional_benefits">
              <w:r>
                <w:rPr>
                  <w:color w:val="2E5C4E"/>
                  <w:u w:val="single"/>
                </w:rPr>
                <w:t xml:space="preserve">the Additional Benefits extension</w:t>
              </w:r>
            </w:hyperlink>
          </w:p>
        </w:tc>
        <w:tc>
          <w:tcPr>
            <w:tcW w:type="dxa" w:w="3249"/>
          </w:tcPr>
          <w:p>
            <w:r/>
            <w:r>
              <w:rPr>
                <w:b w:val="0"/>
                <w:i w:val="0"/>
              </w:rPr>
              <w:t>Tools of trade</w:t>
            </w:r>
          </w:p>
        </w:tc>
        <w:tc>
          <w:tcPr>
            <w:tcW w:type="dxa" w:w="3249"/>
          </w:tcPr>
          <w:p>
            <w:r/>
            <w:r>
              <w:rPr>
                <w:b w:val="0"/>
                <w:i w:val="0"/>
              </w:rPr>
              <w:t>$5,000 each vehicle</w:t>
            </w:r>
          </w:p>
        </w:tc>
      </w:tr>
      <w:tr>
        <w:tc>
          <w:tcPr>
            <w:tcW w:type="dxa" w:w="3249"/>
          </w:tcPr>
          <w:p>
            <w:r/>
            <w:hyperlink w:anchor="c_mot_ext_additional_benefits">
              <w:r>
                <w:rPr>
                  <w:color w:val="2E5C4E"/>
                  <w:u w:val="single"/>
                </w:rPr>
                <w:t xml:space="preserve">the Additional Benefits extension</w:t>
              </w:r>
            </w:hyperlink>
          </w:p>
        </w:tc>
        <w:tc>
          <w:tcPr>
            <w:tcW w:type="dxa" w:w="3249"/>
          </w:tcPr>
          <w:p>
            <w:r/>
            <w:r>
              <w:rPr>
                <w:b w:val="0"/>
                <w:i w:val="0"/>
              </w:rPr>
              <w:t>Locks and keys</w:t>
            </w:r>
          </w:p>
        </w:tc>
        <w:tc>
          <w:tcPr>
            <w:tcW w:type="dxa" w:w="3249"/>
          </w:tcPr>
          <w:p>
            <w:r/>
            <w:r>
              <w:rPr>
                <w:b w:val="0"/>
                <w:i w:val="0"/>
              </w:rPr>
              <w:t>$3,000 each vehicle</w:t>
            </w:r>
          </w:p>
        </w:tc>
      </w:tr>
      <w:tr>
        <w:tc>
          <w:tcPr>
            <w:tcW w:type="dxa" w:w="3249"/>
          </w:tcPr>
          <w:p>
            <w:r/>
            <w:hyperlink w:anchor="c_mot_ext_additional_benefits">
              <w:r>
                <w:rPr>
                  <w:color w:val="2E5C4E"/>
                  <w:u w:val="single"/>
                </w:rPr>
                <w:t xml:space="preserve">the Additional Benefits extension</w:t>
              </w:r>
            </w:hyperlink>
          </w:p>
        </w:tc>
        <w:tc>
          <w:tcPr>
            <w:tcW w:type="dxa" w:w="3249"/>
          </w:tcPr>
          <w:p>
            <w:r/>
            <w:r>
              <w:rPr>
                <w:b w:val="0"/>
                <w:i w:val="0"/>
              </w:rPr>
              <w:t>Child seats and restraints</w:t>
            </w:r>
          </w:p>
        </w:tc>
        <w:tc>
          <w:tcPr>
            <w:tcW w:type="dxa" w:w="3249"/>
          </w:tcPr>
          <w:p>
            <w:r/>
            <w:r>
              <w:rPr>
                <w:b w:val="0"/>
                <w:i w:val="0"/>
              </w:rPr>
              <w:t>$750 each seat</w:t>
            </w:r>
          </w:p>
        </w:tc>
      </w:tr>
      <w:tr>
        <w:tc>
          <w:tcPr>
            <w:tcW w:type="dxa" w:w="3249"/>
          </w:tcPr>
          <w:p>
            <w:r/>
            <w:hyperlink w:anchor="c_mot_ext_additional_benefits">
              <w:r>
                <w:rPr>
                  <w:color w:val="2E5C4E"/>
                  <w:u w:val="single"/>
                </w:rPr>
                <w:t xml:space="preserve">the Additional Benefits extension</w:t>
              </w:r>
            </w:hyperlink>
          </w:p>
        </w:tc>
        <w:tc>
          <w:tcPr>
            <w:tcW w:type="dxa" w:w="3249"/>
          </w:tcPr>
          <w:p>
            <w:r/>
            <w:r>
              <w:rPr>
                <w:b w:val="0"/>
                <w:i w:val="0"/>
              </w:rPr>
              <w:t>Trailer while attached</w:t>
            </w:r>
          </w:p>
        </w:tc>
        <w:tc>
          <w:tcPr>
            <w:tcW w:type="dxa" w:w="3249"/>
          </w:tcPr>
          <w:p>
            <w:r/>
            <w:r>
              <w:rPr>
                <w:b w:val="0"/>
                <w:i w:val="0"/>
              </w:rPr>
              <w:t>$20,000 each trailer</w:t>
            </w:r>
          </w:p>
        </w:tc>
      </w:tr>
      <w:tr>
        <w:tc>
          <w:tcPr>
            <w:tcW w:type="dxa" w:w="3249"/>
          </w:tcPr>
          <w:p>
            <w:r/>
            <w:hyperlink w:anchor="c_mot_ext_additional_benefits">
              <w:r>
                <w:rPr>
                  <w:color w:val="2E5C4E"/>
                  <w:u w:val="single"/>
                </w:rPr>
                <w:t xml:space="preserve">the Additional Benefits extension</w:t>
              </w:r>
            </w:hyperlink>
          </w:p>
        </w:tc>
        <w:tc>
          <w:tcPr>
            <w:tcW w:type="dxa" w:w="3249"/>
          </w:tcPr>
          <w:p>
            <w:r/>
            <w:r>
              <w:rPr>
                <w:b w:val="0"/>
                <w:i w:val="0"/>
              </w:rPr>
              <w:t>Emergency travel and accommodation</w:t>
            </w:r>
          </w:p>
        </w:tc>
        <w:tc>
          <w:tcPr>
            <w:tcW w:type="dxa" w:w="3249"/>
          </w:tcPr>
          <w:p>
            <w:r/>
            <w:r>
              <w:rPr>
                <w:b w:val="0"/>
                <w:i w:val="0"/>
              </w:rPr>
              <w:t>$1,000 each Occurrence; more than 100 km from the garaging address</w:t>
            </w:r>
          </w:p>
        </w:tc>
      </w:tr>
      <w:tr>
        <w:tc>
          <w:tcPr>
            <w:tcW w:type="dxa" w:w="3249"/>
          </w:tcPr>
          <w:p>
            <w:r/>
            <w:hyperlink w:anchor="c_mot_ext_additional_benefits">
              <w:r>
                <w:rPr>
                  <w:color w:val="2E5C4E"/>
                  <w:u w:val="single"/>
                </w:rPr>
                <w:t xml:space="preserve">the Additional Benefits extension</w:t>
              </w:r>
            </w:hyperlink>
          </w:p>
        </w:tc>
        <w:tc>
          <w:tcPr>
            <w:tcW w:type="dxa" w:w="3249"/>
          </w:tcPr>
          <w:p>
            <w:r/>
            <w:r>
              <w:rPr>
                <w:b w:val="0"/>
                <w:i w:val="0"/>
              </w:rPr>
              <w:t>Recovery after theft</w:t>
            </w:r>
          </w:p>
        </w:tc>
        <w:tc>
          <w:tcPr>
            <w:tcW w:type="dxa" w:w="3249"/>
          </w:tcPr>
          <w:p>
            <w:r/>
            <w:r>
              <w:rPr>
                <w:b w:val="0"/>
                <w:i w:val="0"/>
              </w:rPr>
              <w:t>$3,000 each Occurrence</w:t>
            </w:r>
          </w:p>
        </w:tc>
      </w:tr>
      <w:tr>
        <w:tc>
          <w:tcPr>
            <w:tcW w:type="dxa" w:w="3249"/>
          </w:tcPr>
          <w:p>
            <w:r/>
            <w:hyperlink w:anchor="c_mot_ext_additional_benefits">
              <w:r>
                <w:rPr>
                  <w:color w:val="2E5C4E"/>
                  <w:u w:val="single"/>
                </w:rPr>
                <w:t xml:space="preserve">the Additional Benefits extension</w:t>
              </w:r>
            </w:hyperlink>
          </w:p>
        </w:tc>
        <w:tc>
          <w:tcPr>
            <w:tcW w:type="dxa" w:w="3249"/>
          </w:tcPr>
          <w:p>
            <w:r/>
            <w:r>
              <w:rPr>
                <w:b w:val="0"/>
                <w:i w:val="0"/>
              </w:rPr>
              <w:t>Employees' effects</w:t>
            </w:r>
          </w:p>
        </w:tc>
        <w:tc>
          <w:tcPr>
            <w:tcW w:type="dxa" w:w="3249"/>
          </w:tcPr>
          <w:p>
            <w:r/>
            <w:r>
              <w:rPr>
                <w:b w:val="0"/>
                <w:i w:val="0"/>
              </w:rPr>
              <w:t>$1,000 each Occurrence</w:t>
            </w:r>
          </w:p>
        </w:tc>
      </w:tr>
      <w:tr>
        <w:tc>
          <w:tcPr>
            <w:tcW w:type="dxa" w:w="3249"/>
          </w:tcPr>
          <w:p>
            <w:r/>
            <w:hyperlink w:anchor="c_mot_ext_additional_benefits">
              <w:r>
                <w:rPr>
                  <w:color w:val="2E5C4E"/>
                  <w:u w:val="single"/>
                </w:rPr>
                <w:t xml:space="preserve">the Additional Benefits extension</w:t>
              </w:r>
            </w:hyperlink>
            <w:r>
              <w:rPr>
                <w:b w:val="0"/>
                <w:i w:val="0"/>
              </w:rPr>
              <w:t xml:space="preserve">, </w:t>
            </w:r>
            <w:hyperlink w:anchor="c_mot_obl_tell_us_about_changes">
              <w:r>
                <w:rPr>
                  <w:color w:val="2E5C4E"/>
                  <w:u w:val="single"/>
                </w:rPr>
                <w:t xml:space="preserve">the Tell Us About Changes obligation</w:t>
              </w:r>
            </w:hyperlink>
          </w:p>
        </w:tc>
        <w:tc>
          <w:tcPr>
            <w:tcW w:type="dxa" w:w="3249"/>
          </w:tcPr>
          <w:p>
            <w:r/>
            <w:r>
              <w:rPr>
                <w:b w:val="0"/>
                <w:i w:val="0"/>
              </w:rPr>
              <w:t>Modifications and accessories to declare</w:t>
            </w:r>
          </w:p>
        </w:tc>
        <w:tc>
          <w:tcPr>
            <w:tcW w:type="dxa" w:w="3249"/>
          </w:tcPr>
          <w:p>
            <w:r/>
            <w:r>
              <w:rPr>
                <w:b w:val="0"/>
                <w:i w:val="0"/>
              </w:rPr>
              <w:t>Worth more than $5,000 on a vehicle</w:t>
            </w:r>
          </w:p>
        </w:tc>
      </w:tr>
      <w:tr>
        <w:tc>
          <w:tcPr>
            <w:tcW w:type="dxa" w:w="3249"/>
          </w:tcPr>
          <w:p>
            <w:r/>
            <w:hyperlink w:anchor="c_mot_cond_excess">
              <w:r>
                <w:rPr>
                  <w:color w:val="2E5C4E"/>
                  <w:u w:val="single"/>
                </w:rPr>
                <w:t xml:space="preserve">the Excesses condition</w:t>
              </w:r>
            </w:hyperlink>
          </w:p>
        </w:tc>
        <w:tc>
          <w:tcPr>
            <w:tcW w:type="dxa" w:w="3249"/>
          </w:tcPr>
          <w:p>
            <w:r/>
            <w:r>
              <w:rPr>
                <w:b w:val="0"/>
                <w:i w:val="0"/>
              </w:rPr>
              <w:t>Basic excess</w:t>
            </w:r>
          </w:p>
        </w:tc>
        <w:tc>
          <w:tcPr>
            <w:tcW w:type="dxa" w:w="3249"/>
          </w:tcPr>
          <w:p>
            <w:r/>
            <w:r>
              <w:rPr>
                <w:b w:val="0"/>
                <w:i w:val="0"/>
              </w:rPr>
              <w:t>$1,000 each vehicle</w:t>
            </w:r>
          </w:p>
        </w:tc>
      </w:tr>
      <w:tr>
        <w:tc>
          <w:tcPr>
            <w:tcW w:type="dxa" w:w="3249"/>
          </w:tcPr>
          <w:p>
            <w:r/>
            <w:hyperlink w:anchor="c_mot_cond_excess">
              <w:r>
                <w:rPr>
                  <w:color w:val="2E5C4E"/>
                  <w:u w:val="single"/>
                </w:rPr>
                <w:t xml:space="preserve">the Excesses condition</w:t>
              </w:r>
            </w:hyperlink>
          </w:p>
        </w:tc>
        <w:tc>
          <w:tcPr>
            <w:tcW w:type="dxa" w:w="3249"/>
          </w:tcPr>
          <w:p>
            <w:r/>
            <w:r>
              <w:rPr>
                <w:b w:val="0"/>
                <w:i w:val="0"/>
              </w:rPr>
              <w:t>Age excess; age</w:t>
            </w:r>
          </w:p>
        </w:tc>
        <w:tc>
          <w:tcPr>
            <w:tcW w:type="dxa" w:w="3249"/>
          </w:tcPr>
          <w:p>
            <w:r/>
            <w:r>
              <w:rPr>
                <w:b w:val="0"/>
                <w:i w:val="0"/>
              </w:rPr>
              <w:t>$750; driver under 25</w:t>
            </w:r>
          </w:p>
        </w:tc>
      </w:tr>
      <w:tr>
        <w:tc>
          <w:tcPr>
            <w:tcW w:type="dxa" w:w="3249"/>
          </w:tcPr>
          <w:p>
            <w:r/>
            <w:hyperlink w:anchor="c_mot_cond_excess">
              <w:r>
                <w:rPr>
                  <w:color w:val="2E5C4E"/>
                  <w:u w:val="single"/>
                </w:rPr>
                <w:t xml:space="preserve">the Excesses condition</w:t>
              </w:r>
            </w:hyperlink>
          </w:p>
        </w:tc>
        <w:tc>
          <w:tcPr>
            <w:tcW w:type="dxa" w:w="3249"/>
          </w:tcPr>
          <w:p>
            <w:r/>
            <w:r>
              <w:rPr>
                <w:b w:val="0"/>
                <w:i w:val="0"/>
              </w:rPr>
              <w:t>Inexperienced driver excess; period</w:t>
            </w:r>
          </w:p>
        </w:tc>
        <w:tc>
          <w:tcPr>
            <w:tcW w:type="dxa" w:w="3249"/>
          </w:tcPr>
          <w:p>
            <w:r/>
            <w:r>
              <w:rPr>
                <w:b w:val="0"/>
                <w:i w:val="0"/>
              </w:rPr>
              <w:t>$500; licence held for less than 2 years</w:t>
            </w:r>
          </w:p>
        </w:tc>
      </w:tr>
      <w:tr>
        <w:tc>
          <w:tcPr>
            <w:tcW w:type="dxa" w:w="3249"/>
          </w:tcPr>
          <w:p>
            <w:r/>
            <w:hyperlink w:anchor="c_mot_cond_excess">
              <w:r>
                <w:rPr>
                  <w:color w:val="2E5C4E"/>
                  <w:u w:val="single"/>
                </w:rPr>
                <w:t xml:space="preserve">the Excesses condition</w:t>
              </w:r>
            </w:hyperlink>
          </w:p>
        </w:tc>
        <w:tc>
          <w:tcPr>
            <w:tcW w:type="dxa" w:w="3249"/>
          </w:tcPr>
          <w:p>
            <w:r/>
            <w:r>
              <w:rPr>
                <w:b w:val="0"/>
                <w:i w:val="0"/>
              </w:rPr>
              <w:t>Unlisted driver excess</w:t>
            </w:r>
          </w:p>
        </w:tc>
        <w:tc>
          <w:tcPr>
            <w:tcW w:type="dxa" w:w="3249"/>
          </w:tcPr>
          <w:p>
            <w:r/>
            <w:r>
              <w:rPr>
                <w:b w:val="0"/>
                <w:i w:val="0"/>
              </w:rPr>
              <w:t>$1,000</w:t>
            </w:r>
          </w:p>
        </w:tc>
      </w:tr>
      <w:tr>
        <w:tc>
          <w:tcPr>
            <w:tcW w:type="dxa" w:w="3249"/>
          </w:tcPr>
          <w:p>
            <w:r/>
            <w:hyperlink w:anchor="c_mot_fleet_automatic_cover">
              <w:r>
                <w:rPr>
                  <w:color w:val="2E5C4E"/>
                  <w:u w:val="single"/>
                </w:rPr>
                <w:t xml:space="preserve">the Automatic Cover for New and Replacement Vehicles extension</w:t>
              </w:r>
            </w:hyperlink>
          </w:p>
        </w:tc>
        <w:tc>
          <w:tcPr>
            <w:tcW w:type="dxa" w:w="3249"/>
          </w:tcPr>
          <w:p>
            <w:r/>
            <w:r>
              <w:rPr>
                <w:b w:val="0"/>
                <w:i w:val="0"/>
              </w:rPr>
              <w:t>Value limit; notice period</w:t>
            </w:r>
          </w:p>
        </w:tc>
        <w:tc>
          <w:tcPr>
            <w:tcW w:type="dxa" w:w="3249"/>
          </w:tcPr>
          <w:p>
            <w:r/>
            <w:r>
              <w:rPr>
                <w:b w:val="0"/>
                <w:i w:val="0"/>
              </w:rPr>
              <w:t>$150,000 each vehicle; 30 days</w:t>
            </w:r>
          </w:p>
        </w:tc>
      </w:tr>
      <w:tr>
        <w:tc>
          <w:tcPr>
            <w:tcW w:type="dxa" w:w="3249"/>
          </w:tcPr>
          <w:p>
            <w:r/>
            <w:hyperlink w:anchor="c_mot_fleet_undeclared_vehicles">
              <w:r>
                <w:rPr>
                  <w:color w:val="2E5C4E"/>
                  <w:u w:val="single"/>
                </w:rPr>
                <w:t xml:space="preserve">the Undeclared Vehicles extension</w:t>
              </w:r>
            </w:hyperlink>
          </w:p>
        </w:tc>
        <w:tc>
          <w:tcPr>
            <w:tcW w:type="dxa" w:w="3249"/>
          </w:tcPr>
          <w:p>
            <w:r/>
            <w:r>
              <w:rPr>
                <w:b w:val="0"/>
                <w:i w:val="0"/>
              </w:rPr>
              <w:t>Grace period</w:t>
            </w:r>
          </w:p>
        </w:tc>
        <w:tc>
          <w:tcPr>
            <w:tcW w:type="dxa" w:w="3249"/>
          </w:tcPr>
          <w:p>
            <w:r/>
            <w:r>
              <w:rPr>
                <w:b w:val="0"/>
                <w:i w:val="0"/>
              </w:rPr>
              <w:t>30 days</w:t>
            </w:r>
          </w:p>
        </w:tc>
      </w:tr>
      <w:tr>
        <w:tc>
          <w:tcPr>
            <w:tcW w:type="dxa" w:w="3249"/>
          </w:tcPr>
          <w:p>
            <w:r/>
            <w:hyperlink w:anchor="c_mot_fleet_declarations">
              <w:r>
                <w:rPr>
                  <w:color w:val="2E5C4E"/>
                  <w:u w:val="single"/>
                </w:rPr>
                <w:t xml:space="preserve">the Declarations and Premium Adjustment condition</w:t>
              </w:r>
            </w:hyperlink>
          </w:p>
        </w:tc>
        <w:tc>
          <w:tcPr>
            <w:tcW w:type="dxa" w:w="3249"/>
          </w:tcPr>
          <w:p>
            <w:r/>
            <w:r>
              <w:rPr>
                <w:b w:val="0"/>
                <w:i w:val="0"/>
              </w:rPr>
              <w:t>Annual declaration adjustment</w:t>
            </w:r>
          </w:p>
        </w:tc>
        <w:tc>
          <w:tcPr>
            <w:tcW w:type="dxa" w:w="3249"/>
          </w:tcPr>
          <w:p>
            <w:r/>
            <w:r>
              <w:rPr>
                <w:b w:val="0"/>
                <w:i w:val="0"/>
              </w:rPr>
              <w:t>50% of the annual rate</w:t>
            </w:r>
          </w:p>
        </w:tc>
      </w:tr>
      <w:tr>
        <w:tc>
          <w:tcPr>
            <w:tcW w:type="dxa" w:w="3249"/>
          </w:tcPr>
          <w:p>
            <w:r/>
            <w:hyperlink w:anchor="c_mot_fleet_excess_discount">
              <w:r>
                <w:rPr>
                  <w:color w:val="2E5C4E"/>
                  <w:u w:val="single"/>
                </w:rPr>
                <w:t xml:space="preserve">the Fleet Excess Discount condition</w:t>
              </w:r>
            </w:hyperlink>
          </w:p>
        </w:tc>
        <w:tc>
          <w:tcPr>
            <w:tcW w:type="dxa" w:w="3249"/>
          </w:tcPr>
          <w:p>
            <w:r/>
            <w:r>
              <w:rPr>
                <w:b w:val="0"/>
                <w:i w:val="0"/>
              </w:rPr>
              <w:t>At-fault claims; excess reduction</w:t>
            </w:r>
          </w:p>
        </w:tc>
        <w:tc>
          <w:tcPr>
            <w:tcW w:type="dxa" w:w="3249"/>
          </w:tcPr>
          <w:p>
            <w:r/>
            <w:r>
              <w:rPr>
                <w:b w:val="0"/>
                <w:i w:val="0"/>
              </w:rPr>
              <w:t>No more than 3 in a Period of Insurance; 10%</w:t>
            </w:r>
          </w:p>
        </w:tc>
      </w:tr>
    </w:tbl>
    <w:p>
      <w:bookmarkStart w:id="111" w:name="c_mot_licence_notice"/>
      <w:r>
        <w:rPr>
          <w:rFonts w:ascii="Georgia" w:hAnsi="Georgia" w:eastAsia="Georgia"/>
          <w:b/>
          <w:i w:val="0"/>
          <w:color w:val="1C1915"/>
          <w:sz w:val="32"/>
        </w:rPr>
        <w:t>Licence and Trademark Notice</w:t>
      </w:r>
      <w:bookmarkEnd w:id="111"/>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and a Product Disclosure Statement and target market determination where the law requires them.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Commons release of the Meridian Commercial Motor wording. It replaces version 2.0.0 (July 2026) and Small Fleet Motor version 1.0.0 (2026/SFMO/0001), both published outside the Commons. The cover is that of version 2.0.0 except where this note says otherwise. Changes from version 2.0.0:</w:t>
      </w:r>
    </w:p>
    <w:p>
      <w:pPr>
        <w:pStyle w:val="ListBullet"/>
      </w:pPr>
      <w:r>
        <w:rPr>
          <w:b w:val="0"/>
          <w:i w:val="0"/>
        </w:rPr>
        <w:t>Clause numbers are removed. Each clause is identified by its heading, and cross-references name the clause they point to.</w:t>
      </w:r>
    </w:p>
    <w:p>
      <w:pPr>
        <w:pStyle w:val="ListBullet"/>
      </w:pPr>
      <w:r>
        <w:rPr>
          <w:b w:val="0"/>
          <w:i w:val="0"/>
        </w:rPr>
        <w:t>The exclusions that applied to both vehicle cover and liability are moved into one General Exclusions section. The unlicensed driver and alcohol and drugs exclusions no longer apply where you did not know of, or consent to, the driver's state; version 2.0.0 relied on s 54 of the Insurance Contracts Act 1984 (Cth) for that result.</w:t>
      </w:r>
    </w:p>
    <w:p>
      <w:pPr>
        <w:pStyle w:val="ListBullet"/>
      </w:pPr>
      <w:r>
        <w:rPr>
          <w:b w:val="0"/>
          <w:i w:val="0"/>
        </w:rPr>
        <w:t>A general condition states that the Insurance Contracts Act 1984 (Cth) applies and that s 54 governs every condition and exclusion. Version 2.0.0 cited s 54 only in the late notification clause.</w:t>
      </w:r>
    </w:p>
    <w:p>
      <w:pPr>
        <w:pStyle w:val="ListBullet"/>
      </w:pPr>
      <w:r>
        <w:rPr>
          <w:b w:val="0"/>
          <w:i w:val="0"/>
        </w:rPr>
        <w:t>Governing law is the law of the State or Territory shown in the Schedule at inception, with submission to the jurisdiction of its courts. Version 2.0.0 followed the insured's principal place of business, which can move.</w:t>
      </w:r>
    </w:p>
    <w:p>
      <w:pPr>
        <w:pStyle w:val="ListBullet"/>
      </w:pPr>
      <w:r>
        <w:rPr>
          <w:b w:val="0"/>
          <w:i w:val="0"/>
        </w:rPr>
        <w:t>The sanctions condition names the Australian and foreign regimes.</w:t>
      </w:r>
    </w:p>
    <w:p>
      <w:pPr>
        <w:pStyle w:val="ListBullet"/>
      </w:pPr>
      <w:r>
        <w:rPr>
          <w:b w:val="0"/>
          <w:i w:val="0"/>
        </w:rPr>
        <w:t>The amounts in the additional benefits, excesses and fleet provisions are Schedule values, listed with their defaults in a Default Schedule Values appendix. The defaults are those of version 2.0.0.</w:t>
      </w:r>
    </w:p>
    <w:p>
      <w:pPr>
        <w:pStyle w:val="ListBullet"/>
      </w:pPr>
      <w:r>
        <w:rPr>
          <w:b w:val="0"/>
          <w:i w:val="0"/>
        </w:rPr>
        <w:t>New definitions: Dangerous goods, Declaration date, Endorsement, Fleet basis, Period of insurance, Substitute vehicle. Total loss now takes the theft period from the Schedule.</w:t>
      </w:r>
    </w:p>
    <w:p>
      <w:pPr>
        <w:pStyle w:val="ListBullet"/>
      </w:pPr>
      <w:r>
        <w:rPr>
          <w:b w:val="0"/>
          <w:i w:val="0"/>
        </w:rPr>
        <w:t>The fleet provisions add duty and levies by garaging state, an automatic-cover value limit, and the annual declaration adjustment as an option beside pro-rata adjustment.</w:t>
      </w:r>
    </w:p>
    <w:p>
      <w:pPr>
        <w:pStyle w:val="ListBullet"/>
      </w:pPr>
      <w:r>
        <w:rPr>
          <w:b w:val="0"/>
          <w:i w:val="0"/>
        </w:rPr>
        <w:t>The insurer may cancel only on the grounds the Insurance Contracts Act 1984 (Cth) permits, with at least 30 days' written notice.</w:t>
      </w:r>
    </w:p>
    <w:p>
      <w:pPr>
        <w:pStyle w:val="ListBullet"/>
      </w:pPr>
      <w:r>
        <w:rPr>
          <w:b w:val="0"/>
          <w:i w:val="0"/>
        </w:rPr>
        <w:t>Each of the 18 endorsements now has operative text. Version 2.0.0 listed their titles only. Each states when the platform uses it (questions, default rules, reason and underwriter responses); the trigger is a wording note on the web page and is not part of the policy.</w:t>
      </w:r>
    </w:p>
    <w:p>
      <w:pPr>
        <w:pStyle w:val="ListBullet"/>
      </w:pPr>
      <w:r>
        <w:rPr>
          <w:b w:val="0"/>
          <w:i w:val="0"/>
        </w:rPr>
        <w:t>The Private Motor wording (2026/PMV/0001) is built on this wording.</w:t>
      </w:r>
    </w:p>
    <w:p>
      <w:pPr>
        <w:pStyle w:val="ListBullet"/>
      </w:pPr>
      <w:r>
        <w:rPr>
          <w:b w:val="0"/>
          <w:i w:val="0"/>
        </w:rPr>
        <w:t>The licence is now CC BY 4.0, in line with the rest of the Commons. Version 2.0.0 was CC BY-SA 4.0.</w:t>
      </w:r>
    </w:p>
    <w:p>
      <w:r>
        <w:rPr>
          <w:b w:val="0"/>
          <w:i/>
          <w:sz w:val="18"/>
        </w:rPr>
        <w:t>Cuttleflow Systems — Open Source Insurance Wording</w:t>
      </w:r>
    </w:p>
    <w:p>
      <w:r>
        <w:rPr>
          <w:rFonts w:ascii="Consolas" w:hAnsi="Consolas" w:eastAsia="Consolas"/>
          <w:b w:val="0"/>
          <w:i w:val="0"/>
          <w:sz w:val="16"/>
        </w:rPr>
        <w:t>2026/CMV/0001 · v3.0.0-DRAFT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2026/CMV/0001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COMMERCIAL MOTOR INSURANCE — INDIVIDUAL VEHICLES AND FLEETS · V3.0.0-DRAFT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Motor Insurance — Individual Vehicles and Fleets</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