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TECHNOLOGY LIABILITY</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1.4.0-DRAFT · November 2026 · CC BY 4.0 (wording text only)</w:t>
      </w:r>
    </w:p>
    <w:p>
      <w:r>
        <w:rPr>
          <w:rFonts w:ascii="Consolas" w:hAnsi="Consolas" w:eastAsia="Consolas"/>
          <w:b w:val="0"/>
          <w:i w:val="0"/>
          <w:sz w:val="18"/>
        </w:rPr>
        <w:t>Document ref 2026/TL/0001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tl_about"/>
      <w:r>
        <w:rPr>
          <w:rFonts w:ascii="Georgia" w:hAnsi="Georgia" w:eastAsia="Georgia"/>
          <w:b/>
          <w:i w:val="0"/>
          <w:color w:val="1C1915"/>
          <w:sz w:val="32"/>
        </w:rPr>
        <w:t>About This Policy</w:t>
      </w:r>
      <w:bookmarkEnd w:id="0"/>
    </w:p>
    <w:p>
      <w:r>
        <w:rPr>
          <w:b w:val="0"/>
          <w:i w:val="0"/>
        </w:rPr>
        <w:t>This policy is designed to cover technology companies for the three main liability risks they face: professional liability for technology products and services, cyber and data security risks, and public and products liability. We have combined these into one policy because technology risks don't fit neatly into separate boxes — a single event can trigger all three.</w:t>
      </w:r>
    </w:p>
    <w:p>
      <w:r>
        <w:rPr>
          <w:b w:val="0"/>
          <w:i w:val="0"/>
        </w:rPr>
        <w:t xml:space="preserve">Status of this document: this is a </w:t>
      </w:r>
      <w:r>
        <w:rPr>
          <w:b/>
          <w:i w:val="0"/>
        </w:rPr>
        <w:t>DRAFT</w:t>
      </w:r>
      <w:r>
        <w:rPr>
          <w:b w:val="0"/>
          <w:i w:val="0"/>
        </w:rPr>
        <w:t xml:space="preserve"> wording, subject to legal review by Cuttleflow's Wording Partner. It must not be issued, bound, quoted from, or relied upon as a policy of insurance until that review is complete and the DRAFT marking is removed.</w:t>
      </w:r>
    </w:p>
    <w:p>
      <w:r>
        <w:rPr>
          <w:b w:val="0"/>
          <w:i w:val="0"/>
        </w:rPr>
        <w:t>Distribution posture: this wording is drafted on the assumption of wholesale distribution to business insureds through an authorised intermediary. Where a prospective insured meets the retail client test in section 761G of the Corporations Act 2001 (Cth) and regulation 7.1.11, the issuing agency must prepare and provide a Product Disclosure Statement and Target Market Determination before use, and must not rely on this wording's wholesale-distribution drafting assumption.</w:t>
      </w:r>
    </w:p>
    <w:p>
      <w:r>
        <w:rPr>
          <w:b/>
          <w:i w:val="0"/>
        </w:rPr>
        <w:t>Notice under s.40(1) of the Insurance Contracts Act 1984 (Cth):</w:t>
      </w:r>
      <w:r>
        <w:rPr>
          <w:b w:val="0"/>
          <w:i w:val="0"/>
        </w:rPr>
        <w:t xml:space="preserve">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of this policy are issued on a claims-made basis — they cover claims first made against you and notified to us during the policy period. s.40(3) of the Act provides that, where you become aware of facts that might give rise to a claim and give us written notice of those facts as soon as reasonably practicable and before this policy expires, we may not refuse to pay a later claim arising from those facts only because it is made after the policy has ended. You should be aware that this policy may not cover a claim first made after it expires unless that notification has been given.</w:t>
      </w:r>
    </w:p>
    <w:p>
      <w:r>
        <w:rPr>
          <w:b w:val="0"/>
          <w:i w:val="0"/>
        </w:rPr>
        <w:t>This policy has three operative sections. Your schedule shows which sections apply to you:</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i w:val="0"/>
              </w:rPr>
              <w:t>Section</w:t>
            </w:r>
          </w:p>
        </w:tc>
        <w:tc>
          <w:tcPr>
            <w:tcW w:type="dxa" w:w="3249"/>
          </w:tcPr>
          <w:p>
            <w:r/>
            <w:r>
              <w:rPr>
                <w:b/>
                <w:i w:val="0"/>
              </w:rPr>
              <w:t>What it covers</w:t>
            </w:r>
          </w:p>
        </w:tc>
        <w:tc>
          <w:tcPr>
            <w:tcW w:type="dxa" w:w="3249"/>
          </w:tcPr>
          <w:p>
            <w:r/>
            <w:r>
              <w:rPr>
                <w:b/>
                <w:i w:val="0"/>
              </w:rPr>
              <w:t>Trigger</w:t>
            </w:r>
          </w:p>
        </w:tc>
      </w:tr>
      <w:tr>
        <w:tc>
          <w:tcPr>
            <w:tcW w:type="dxa" w:w="3249"/>
          </w:tcPr>
          <w:p>
            <w:r/>
            <w:r>
              <w:rPr>
                <w:b w:val="0"/>
                <w:i w:val="0"/>
              </w:rPr>
              <w:t>the [[ref:tl.section.professional-liability</w:t>
            </w:r>
          </w:p>
        </w:tc>
        <w:tc>
          <w:tcPr>
            <w:tcW w:type="dxa" w:w="3249"/>
          </w:tcPr>
          <w:p>
            <w:r/>
            <w:r>
              <w:rPr>
                <w:b w:val="0"/>
                <w:i w:val="0"/>
              </w:rPr>
              <w:t>heading]] section — Technology Professional Liability</w:t>
            </w:r>
          </w:p>
        </w:tc>
        <w:tc>
          <w:tcPr>
            <w:tcW w:type="dxa" w:w="3249"/>
          </w:tcPr>
          <w:p>
            <w:r/>
            <w:r>
              <w:rPr>
                <w:b w:val="0"/>
                <w:i w:val="0"/>
              </w:rPr>
              <w:t>Claims arising from your technology products and services</w:t>
            </w:r>
          </w:p>
        </w:tc>
      </w:tr>
      <w:tr>
        <w:tc>
          <w:tcPr>
            <w:tcW w:type="dxa" w:w="3249"/>
          </w:tcPr>
          <w:p>
            <w:r/>
            <w:r>
              <w:rPr>
                <w:b w:val="0"/>
                <w:i w:val="0"/>
              </w:rPr>
              <w:t>the [[ref:tl.section.cyber</w:t>
            </w:r>
          </w:p>
        </w:tc>
        <w:tc>
          <w:tcPr>
            <w:tcW w:type="dxa" w:w="3249"/>
          </w:tcPr>
          <w:p>
            <w:r/>
            <w:r>
              <w:rPr>
                <w:b w:val="0"/>
                <w:i w:val="0"/>
              </w:rPr>
              <w:t>heading]] section — Cyber Protection</w:t>
            </w:r>
          </w:p>
        </w:tc>
        <w:tc>
          <w:tcPr>
            <w:tcW w:type="dxa" w:w="3249"/>
          </w:tcPr>
          <w:p>
            <w:r/>
            <w:r>
              <w:rPr>
                <w:b w:val="0"/>
                <w:i w:val="0"/>
              </w:rPr>
              <w:t>Data breaches, cyber attacks, business interruption, extortion, regulatory proceedings</w:t>
            </w:r>
          </w:p>
        </w:tc>
      </w:tr>
      <w:tr>
        <w:tc>
          <w:tcPr>
            <w:tcW w:type="dxa" w:w="3249"/>
          </w:tcPr>
          <w:p>
            <w:r/>
            <w:r>
              <w:rPr>
                <w:b w:val="0"/>
                <w:i w:val="0"/>
              </w:rPr>
              <w:t>the [[ref:tl.section.liability</w:t>
            </w:r>
          </w:p>
        </w:tc>
        <w:tc>
          <w:tcPr>
            <w:tcW w:type="dxa" w:w="3249"/>
          </w:tcPr>
          <w:p>
            <w:r/>
            <w:r>
              <w:rPr>
                <w:b w:val="0"/>
                <w:i w:val="0"/>
              </w:rPr>
              <w:t>heading]] section — Public and Products Liability</w:t>
            </w:r>
          </w:p>
        </w:tc>
        <w:tc>
          <w:tcPr>
            <w:tcW w:type="dxa" w:w="3249"/>
          </w:tcPr>
          <w:p>
            <w:r/>
            <w:r>
              <w:rPr>
                <w:b w:val="0"/>
                <w:i w:val="0"/>
              </w:rPr>
              <w:t>Bodily injury and property damage from your business operations and technology products</w:t>
            </w:r>
          </w:p>
        </w:tc>
      </w:tr>
    </w:tbl>
    <w:p>
      <w:r>
        <w:rPr>
          <w:b w:val="0"/>
          <w:i w:val="0"/>
        </w:rPr>
        <w:t>If "Not Included" is shown in the schedule against any section, that section and all references to it are deleted.</w:t>
      </w:r>
    </w:p>
    <w:p>
      <w:r>
        <w:rPr>
          <w:b w:val="0"/>
          <w:i w:val="0"/>
        </w:rPr>
        <w:t>This policy, together with your schedule and any endorsements, forms your contract of insurance. Words shown in bold have special meanings — see the Definitions. Your schedule also states, among other things, your retroactive date, continuity date, limits of liability, retentions, sub-limits, waiting periods, indemnity periods and extended reporting period, and the other schedule variables this wording refers to.</w:t>
      </w:r>
    </w:p>
    <w:p>
      <w:bookmarkStart w:id="1" w:name="c_tl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r>
        <w:rPr>
          <w:b w:val="0"/>
          <w:i w:val="0"/>
        </w:rPr>
        <w:t>This is the first release of the Meridian Technology Liability wording built from clause source in the Commons. It replaces version 1.3.0 (July 2026) and brings the endorsement library (2026/TL/0002) into this document. Changes from version 1.3.0:</w:t>
      </w:r>
    </w:p>
    <w:p>
      <w:pPr>
        <w:pStyle w:val="ListBullet"/>
      </w:pPr>
      <w:r>
        <w:rPr>
          <w:b w:val="0"/>
          <w:i w:val="0"/>
        </w:rPr>
        <w:t>Clause numbers are removed. Each clause is identified by its heading, and every cross-reference that used a section number is now a link to the clause it names. Where version 1.3.0 named a group of sections, the reference names each clause in the group.</w:t>
      </w:r>
    </w:p>
    <w:p>
      <w:pPr>
        <w:pStyle w:val="ListBullet"/>
      </w:pPr>
      <w:r>
        <w:rPr>
          <w:b w:val="0"/>
          <w:i w:val="0"/>
        </w:rPr>
        <w:t>New definitions of Related claims and Extended reporting period. Version 1.3.0 used both terms without defining them.</w:t>
      </w:r>
    </w:p>
    <w:p>
      <w:pPr>
        <w:pStyle w:val="ListBullet"/>
      </w:pPr>
      <w:r>
        <w:rPr>
          <w:b w:val="0"/>
          <w:i w:val="0"/>
        </w:rPr>
        <w:t>The Exclusion Applicability Matrix now names each exclusion by its heading.</w:t>
      </w:r>
    </w:p>
    <w:p>
      <w:pPr>
        <w:pStyle w:val="ListBullet"/>
      </w:pPr>
      <w:r>
        <w:rPr>
          <w:b w:val="0"/>
          <w:i w:val="0"/>
        </w:rPr>
        <w:t>The endorsement library is now part of this wording, with 14 endorsements, each with operative text, schedule variables and a platform trigger. The library in version 1.3.0 gave a title for each endorsement and no operative text.</w:t>
      </w:r>
    </w:p>
    <w:p>
      <w:pPr>
        <w:pStyle w:val="ListBullet"/>
      </w:pPr>
      <w:r>
        <w:rPr>
          <w:b w:val="0"/>
          <w:i w:val="0"/>
        </w:rPr>
        <w:t>E01 United States and Canada Jurisdiction writes back the jurisdictional limits exclusion for the sections the schedule names.</w:t>
      </w:r>
    </w:p>
    <w:p>
      <w:pPr>
        <w:pStyle w:val="ListBullet"/>
      </w:pPr>
      <w:r>
        <w:rPr>
          <w:b w:val="0"/>
          <w:i w:val="0"/>
        </w:rPr>
        <w:t>E02 pays defence costs for the Technology Professional Liability and Cyber Protection sections in addition to the limit, to a cap.</w:t>
      </w:r>
    </w:p>
    <w:p>
      <w:pPr>
        <w:pStyle w:val="ListBullet"/>
      </w:pPr>
      <w:r>
        <w:rPr>
          <w:b w:val="0"/>
          <w:i w:val="0"/>
        </w:rPr>
        <w:t>E04 Excess Layer follows the underlying policy and does not drop down for uncollectible underlying insurance.</w:t>
      </w:r>
    </w:p>
    <w:p>
      <w:pPr>
        <w:pStyle w:val="ListBullet"/>
      </w:pPr>
      <w:r>
        <w:rPr>
          <w:b w:val="0"/>
          <w:i w:val="0"/>
        </w:rPr>
        <w:t>The licence notice and the Lloyd's risk codes are now in this document as the Licence and Trademark Notice.</w:t>
      </w:r>
    </w:p>
    <w:p>
      <w:bookmarkStart w:id="2" w:name="c_tl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Who is insured</w:t>
      </w:r>
    </w:p>
    <w:p>
      <w:pPr>
        <w:pStyle w:val="ListBullet"/>
      </w:pPr>
      <w:r>
        <w:rPr>
          <w:b w:val="0"/>
          <w:i w:val="0"/>
        </w:rPr>
        <w:t>The policy period (start and end dates)</w:t>
      </w:r>
    </w:p>
    <w:p>
      <w:pPr>
        <w:pStyle w:val="ListBullet"/>
      </w:pPr>
      <w:r>
        <w:rPr>
          <w:b w:val="0"/>
          <w:i w:val="0"/>
        </w:rPr>
        <w:t xml:space="preserve">The governing law state or territory (see </w:t>
      </w:r>
      <w:hyperlink w:anchor="c_tl_cond_governing_law_and_jurisdiction">
        <w:r>
          <w:rPr>
            <w:color w:val="2E5C4E"/>
            <w:u w:val="single"/>
          </w:rPr>
          <w:t xml:space="preserve">the Governing Law and Jurisdiction condition</w:t>
        </w:r>
      </w:hyperlink>
      <w:r>
        <w:rPr>
          <w:b w:val="0"/>
          <w:i w:val="0"/>
        </w:rPr>
        <w:t>)</w:t>
      </w:r>
    </w:p>
    <w:p>
      <w:pPr>
        <w:pStyle w:val="ListBullet"/>
      </w:pPr>
      <w:r>
        <w:rPr>
          <w:b w:val="0"/>
          <w:i w:val="0"/>
        </w:rPr>
        <w:t>Which sections are operative (marked "Included" or "Not Included")</w:t>
      </w:r>
    </w:p>
    <w:p>
      <w:pPr>
        <w:pStyle w:val="ListBullet"/>
      </w:pPr>
      <w:r>
        <w:rPr>
          <w:b w:val="0"/>
          <w:i w:val="0"/>
        </w:rPr>
        <w:t>The retroactive date and the continuity date</w:t>
      </w:r>
    </w:p>
    <w:p>
      <w:pPr>
        <w:pStyle w:val="ListBullet"/>
      </w:pPr>
      <w:r>
        <w:rPr>
          <w:b w:val="0"/>
          <w:i w:val="0"/>
        </w:rPr>
        <w:t xml:space="preserve">The limit of liability and aggregate limit for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combined, and any sub-limits</w:t>
      </w:r>
    </w:p>
    <w:p>
      <w:pPr>
        <w:pStyle w:val="ListBullet"/>
      </w:pPr>
      <w:r>
        <w:rPr>
          <w:b w:val="0"/>
          <w:i w:val="0"/>
        </w:rPr>
        <w:t xml:space="preserve">The limit of liability for the </w:t>
      </w:r>
      <w:hyperlink w:anchor="c_tl_section_liability">
        <w:r>
          <w:rPr>
            <w:color w:val="2E5C4E"/>
            <w:u w:val="single"/>
          </w:rPr>
          <w:t xml:space="preserve">Public and Products Liability</w:t>
        </w:r>
      </w:hyperlink>
      <w:r>
        <w:rPr>
          <w:b w:val="0"/>
          <w:i w:val="0"/>
        </w:rPr>
        <w:t xml:space="preserve"> section, for any one occurrence</w:t>
      </w:r>
    </w:p>
    <w:p>
      <w:pPr>
        <w:pStyle w:val="ListBullet"/>
      </w:pPr>
      <w:r>
        <w:rPr>
          <w:b w:val="0"/>
          <w:i w:val="0"/>
        </w:rPr>
        <w:t>The retention for each section</w:t>
      </w:r>
    </w:p>
    <w:p>
      <w:pPr>
        <w:pStyle w:val="ListBullet"/>
      </w:pPr>
      <w:r>
        <w:rPr>
          <w:b w:val="0"/>
          <w:i w:val="0"/>
        </w:rPr>
        <w:t>The waiting period and indemnity period for business interruption cover</w:t>
      </w:r>
    </w:p>
    <w:p>
      <w:pPr>
        <w:pStyle w:val="ListBullet"/>
      </w:pPr>
      <w:r>
        <w:rPr>
          <w:b w:val="0"/>
          <w:i w:val="0"/>
        </w:rPr>
        <w:t xml:space="preserve">The automatic extended reporting period, if it is not the default stated in </w:t>
      </w:r>
      <w:hyperlink w:anchor="c_tl_ext_extended_reporting_period">
        <w:r>
          <w:rPr>
            <w:color w:val="2E5C4E"/>
            <w:u w:val="single"/>
          </w:rPr>
          <w:t xml:space="preserve">the Extended Reporting Period extension</w:t>
        </w:r>
      </w:hyperlink>
    </w:p>
    <w:p>
      <w:pPr>
        <w:pStyle w:val="ListBullet"/>
      </w:pPr>
      <w:r>
        <w:rPr>
          <w:b w:val="0"/>
          <w:i w:val="0"/>
        </w:rPr>
        <w:t>The premium (including stamp duty and GST)</w:t>
      </w:r>
    </w:p>
    <w:p>
      <w:pPr>
        <w:pStyle w:val="ListBullet"/>
      </w:pPr>
      <w:r>
        <w:rPr>
          <w:b w:val="0"/>
          <w:i w:val="0"/>
        </w:rPr>
        <w:t>Any endorsements, and the variables shown for each</w:t>
      </w:r>
    </w:p>
    <w:p>
      <w:bookmarkStart w:id="3" w:name="c_tl_section_definitions"/>
      <w:r>
        <w:rPr>
          <w:rFonts w:ascii="Georgia" w:hAnsi="Georgia" w:eastAsia="Georgia"/>
          <w:b/>
          <w:i w:val="0"/>
          <w:color w:val="1C1915"/>
          <w:sz w:val="32"/>
        </w:rPr>
        <w:t>Definitions</w:t>
      </w:r>
      <w:bookmarkEnd w:id="3"/>
    </w:p>
    <w:p>
      <w:r>
        <w:rPr>
          <w:b w:val="0"/>
          <w:i w:val="0"/>
        </w:rPr>
        <w:t xml:space="preserve">When the following words appear in </w:t>
      </w:r>
      <w:r>
        <w:rPr>
          <w:b/>
          <w:i w:val="0"/>
        </w:rPr>
        <w:t>bold</w:t>
      </w:r>
      <w:r>
        <w:rPr>
          <w:b w:val="0"/>
          <w:i w:val="0"/>
        </w:rPr>
        <w:t xml:space="preserve"> in this policy, they have the meanings set out below. Definitions that say they apply to the Cyber Protection section only, or to the Public and Products Liability section only, apply only there.</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tl_def_business"/>
            <w:r>
              <w:rPr>
                <w:b/>
                <w:i w:val="0"/>
              </w:rPr>
              <w:t>Business</w:t>
            </w:r>
            <w:bookmarkEnd w:id="4"/>
          </w:p>
        </w:tc>
        <w:tc>
          <w:tcPr>
            <w:tcW w:type="dxa" w:w="6803"/>
          </w:tcPr>
          <w:p>
            <w:r>
              <w:rPr>
                <w:b w:val="0"/>
                <w:i w:val="0"/>
              </w:rPr>
              <w:t>The provision of technology products and technology services and includes: (a) ownership, tenancy, maintenance, and repair of real property; (b) the giving of first aid or emergency assistance by you or your workers; (c) fire and security services for the protection of your own premises.</w:t>
            </w:r>
          </w:p>
        </w:tc>
      </w:tr>
      <w:tr>
        <w:tc>
          <w:tcPr>
            <w:tcW w:type="dxa" w:w="2608"/>
          </w:tcPr>
          <w:p>
            <w:bookmarkStart w:id="5" w:name="c_tl_def_claim"/>
            <w:r>
              <w:rPr>
                <w:b/>
                <w:i w:val="0"/>
              </w:rPr>
              <w:t>Claim</w:t>
            </w:r>
            <w:bookmarkEnd w:id="5"/>
          </w:p>
        </w:tc>
        <w:tc>
          <w:tcPr>
            <w:tcW w:type="dxa" w:w="6803"/>
          </w:tcPr>
          <w:p>
            <w:r>
              <w:rPr>
                <w:b w:val="0"/>
                <w:i w:val="0"/>
              </w:rPr>
              <w:t xml:space="preserve">(a) any writ, summons, cross-claim, or other legal proceeding issued against you; (b) any written demand for compensation; (c) with respect to the </w:t>
            </w:r>
            <w:hyperlink w:anchor="c_tl_section_cyber">
              <w:r>
                <w:rPr>
                  <w:color w:val="2E5C4E"/>
                  <w:u w:val="single"/>
                </w:rPr>
                <w:t xml:space="preserve">Cyber Protection</w:t>
              </w:r>
            </w:hyperlink>
            <w:r>
              <w:rPr>
                <w:b w:val="0"/>
                <w:i w:val="0"/>
              </w:rPr>
              <w:t xml:space="preserve"> section only, any regulatory proceeding against you.</w:t>
            </w:r>
          </w:p>
        </w:tc>
      </w:tr>
      <w:tr>
        <w:tc>
          <w:tcPr>
            <w:tcW w:type="dxa" w:w="2608"/>
          </w:tcPr>
          <w:p>
            <w:bookmarkStart w:id="6" w:name="c_tl_def_client"/>
            <w:r>
              <w:rPr>
                <w:b/>
                <w:i w:val="0"/>
              </w:rPr>
              <w:t>Client</w:t>
            </w:r>
            <w:bookmarkEnd w:id="6"/>
          </w:p>
        </w:tc>
        <w:tc>
          <w:tcPr>
            <w:tcW w:type="dxa" w:w="6803"/>
          </w:tcPr>
          <w:p>
            <w:r>
              <w:rPr>
                <w:b w:val="0"/>
                <w:i w:val="0"/>
              </w:rPr>
              <w:t>A person or organisation that has contracted with you to purchase, distribute, or use technology products or technology services. Client does not include any contractor or sub-contractor.</w:t>
            </w:r>
          </w:p>
        </w:tc>
      </w:tr>
      <w:tr>
        <w:tc>
          <w:tcPr>
            <w:tcW w:type="dxa" w:w="2608"/>
          </w:tcPr>
          <w:p>
            <w:bookmarkStart w:id="7" w:name="c_tl_def_computer_system"/>
            <w:r>
              <w:rPr>
                <w:b/>
                <w:i w:val="0"/>
              </w:rPr>
              <w:t>Computer system</w:t>
            </w:r>
            <w:bookmarkEnd w:id="7"/>
          </w:p>
        </w:tc>
        <w:tc>
          <w:tcPr>
            <w:tcW w:type="dxa" w:w="6803"/>
          </w:tcPr>
          <w:p>
            <w:r>
              <w:rPr>
                <w:b w:val="0"/>
                <w:i w:val="0"/>
              </w:rPr>
              <w:t>Any computer, hardware, software, communications system, electronic device, server, cloud platform, or microcontroller — including any configuration of these and any operational technology, input/output devices, data storage, networking equipment, or backup facilities.</w:t>
            </w:r>
          </w:p>
        </w:tc>
      </w:tr>
      <w:tr>
        <w:tc>
          <w:tcPr>
            <w:tcW w:type="dxa" w:w="2608"/>
          </w:tcPr>
          <w:p>
            <w:bookmarkStart w:id="8" w:name="c_tl_def_continuity_date"/>
            <w:r>
              <w:rPr>
                <w:b/>
                <w:i w:val="0"/>
              </w:rPr>
              <w:t>Continuity date</w:t>
            </w:r>
            <w:bookmarkEnd w:id="8"/>
          </w:p>
        </w:tc>
        <w:tc>
          <w:tcPr>
            <w:tcW w:type="dxa" w:w="6803"/>
          </w:tcPr>
          <w:p>
            <w:r>
              <w:rPr>
                <w:b w:val="0"/>
                <w:i w:val="0"/>
              </w:rPr>
              <w:t>means the date shown in the schedule from which you have been continuously and without interruption insured for the risk covered by this policy, whether by us or, where the schedule shows a predecessor insurer, by that insurer. Continuity date is distinct from Retroactive date and performs a different function: retroactive date fixes how far back covered acts, errors, omissions or events may reach; continuity date evidences unbroken prior cover for the purposes of the Continuous Cover extension (</w:t>
            </w:r>
            <w:hyperlink w:anchor="c_tl_ext_continuous_cover">
              <w:r>
                <w:rPr>
                  <w:color w:val="2E5C4E"/>
                  <w:u w:val="single"/>
                </w:rPr>
                <w:t xml:space="preserve">the Continuous Cover extension</w:t>
              </w:r>
            </w:hyperlink>
            <w:r>
              <w:rPr>
                <w:b w:val="0"/>
                <w:i w:val="0"/>
              </w:rPr>
              <w:t>) and the Prior or Pending exclusion (</w:t>
            </w:r>
            <w:hyperlink w:anchor="c_tl_excl_prior_or_pending">
              <w:r>
                <w:rPr>
                  <w:color w:val="2E5C4E"/>
                  <w:u w:val="single"/>
                </w:rPr>
                <w:t xml:space="preserve">the Prior or Pending exclusion</w:t>
              </w:r>
            </w:hyperlink>
            <w:r>
              <w:rPr>
                <w:b w:val="0"/>
                <w:i w:val="0"/>
              </w:rPr>
              <w:t xml:space="preserve">). The schedule contains separate fields for each. Continuity date is relevant wherever </w:t>
            </w:r>
            <w:hyperlink w:anchor="c_tl_ext_continuous_cover">
              <w:r>
                <w:rPr>
                  <w:color w:val="2E5C4E"/>
                  <w:u w:val="single"/>
                </w:rPr>
                <w:t xml:space="preserve">the Continuous Cover extension</w:t>
              </w:r>
            </w:hyperlink>
            <w:r>
              <w:rPr>
                <w:b w:val="0"/>
                <w:i w:val="0"/>
              </w:rPr>
              <w:t xml:space="preserve"> applies —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and the Cyber Liability Extension of the </w:t>
            </w:r>
            <w:hyperlink w:anchor="c_tl_section_liability">
              <w:r>
                <w:rPr>
                  <w:color w:val="2E5C4E"/>
                  <w:u w:val="single"/>
                </w:rPr>
                <w:t xml:space="preserve">Public and Products Liability</w:t>
              </w:r>
            </w:hyperlink>
            <w:r>
              <w:rPr>
                <w:b w:val="0"/>
                <w:i w:val="0"/>
              </w:rPr>
              <w:t xml:space="preserve"> section.</w:t>
            </w:r>
          </w:p>
        </w:tc>
      </w:tr>
      <w:tr>
        <w:tc>
          <w:tcPr>
            <w:tcW w:type="dxa" w:w="2608"/>
          </w:tcPr>
          <w:p>
            <w:bookmarkStart w:id="9" w:name="c_tl_def_cyber_loss"/>
            <w:r>
              <w:rPr>
                <w:b/>
                <w:i w:val="0"/>
              </w:rPr>
              <w:t>Cyber loss</w:t>
            </w:r>
            <w:bookmarkEnd w:id="9"/>
          </w:p>
        </w:tc>
        <w:tc>
          <w:tcPr>
            <w:tcW w:type="dxa" w:w="6803"/>
          </w:tcPr>
          <w:p>
            <w:r>
              <w:rPr>
                <w:b w:val="0"/>
                <w:i w:val="0"/>
              </w:rPr>
              <w:t xml:space="preserve">means any amount we pay, or agree to pay, under the </w:t>
            </w:r>
            <w:hyperlink w:anchor="c_tl_section_cyber">
              <w:r>
                <w:rPr>
                  <w:color w:val="2E5C4E"/>
                  <w:u w:val="single"/>
                </w:rPr>
                <w:t xml:space="preserve">Cyber Protection</w:t>
              </w:r>
            </w:hyperlink>
            <w:r>
              <w:rPr>
                <w:b w:val="0"/>
                <w:i w:val="0"/>
              </w:rPr>
              <w:t xml:space="preserve"> section, including business interruption loss, breach response costs, extortion payments, data restoration costs, hardware replacement costs, loss under the Reputational Harm extension, and reimbursement under </w:t>
            </w:r>
            <w:hyperlink w:anchor="c_tl_ext_cyber_crime">
              <w:r>
                <w:rPr>
                  <w:color w:val="2E5C4E"/>
                  <w:u w:val="single"/>
                </w:rPr>
                <w:t xml:space="preserve">the Cyber Crime extension</w:t>
              </w:r>
            </w:hyperlink>
            <w:r>
              <w:rPr>
                <w:b w:val="0"/>
                <w:i w:val="0"/>
              </w:rPr>
              <w:t xml:space="preserve">. Cyber loss arises only under the </w:t>
            </w:r>
            <w:hyperlink w:anchor="c_tl_section_cyber">
              <w:r>
                <w:rPr>
                  <w:color w:val="2E5C4E"/>
                  <w:u w:val="single"/>
                </w:rPr>
                <w:t xml:space="preserve">Cyber Protection</w:t>
              </w:r>
            </w:hyperlink>
            <w:r>
              <w:rPr>
                <w:b w:val="0"/>
                <w:i w:val="0"/>
              </w:rPr>
              <w:t xml:space="preserve"> section. For the avoidance of doubt, an amount payable under the Cyber Liability Extension of the </w:t>
            </w:r>
            <w:hyperlink w:anchor="c_tl_section_liability">
              <w:r>
                <w:rPr>
                  <w:color w:val="2E5C4E"/>
                  <w:u w:val="single"/>
                </w:rPr>
                <w:t xml:space="preserve">Public and Products Liability</w:t>
              </w:r>
            </w:hyperlink>
            <w:r>
              <w:rPr>
                <w:b w:val="0"/>
                <w:i w:val="0"/>
              </w:rPr>
              <w:t xml:space="preserve"> section (3.3) for personal injury or property damage is loss, not cyber loss, because that extension responds under the </w:t>
            </w:r>
            <w:hyperlink w:anchor="c_tl_section_liability">
              <w:r>
                <w:rPr>
                  <w:color w:val="2E5C4E"/>
                  <w:u w:val="single"/>
                </w:rPr>
                <w:t xml:space="preserve">Public and Products Liability</w:t>
              </w:r>
            </w:hyperlink>
            <w:r>
              <w:rPr>
                <w:b w:val="0"/>
                <w:i w:val="0"/>
              </w:rPr>
              <w:t xml:space="preserve"> section's occurrence trigger. Cyber loss is referred to in the exclusions (the </w:t>
            </w:r>
            <w:hyperlink w:anchor="c_tl_section_exclusions">
              <w:r>
                <w:rPr>
                  <w:color w:val="2E5C4E"/>
                  <w:u w:val="single"/>
                </w:rPr>
                <w:t xml:space="preserve">What Is Not Covered</w:t>
              </w:r>
            </w:hyperlink>
            <w:r>
              <w:rPr>
                <w:b w:val="0"/>
                <w:i w:val="0"/>
              </w:rPr>
              <w:t xml:space="preserve"> section), the notification condition (</w:t>
            </w:r>
            <w:hyperlink w:anchor="c_tl_obl_notification">
              <w:r>
                <w:rPr>
                  <w:color w:val="2E5C4E"/>
                  <w:u w:val="single"/>
                </w:rPr>
                <w:t xml:space="preserve">the Notification obligation</w:t>
              </w:r>
            </w:hyperlink>
            <w:r>
              <w:rPr>
                <w:b w:val="0"/>
                <w:i w:val="0"/>
              </w:rPr>
              <w:t>), the aggregation condition (</w:t>
            </w:r>
            <w:hyperlink w:anchor="c_tl_pay_related_claims_and_aggregation">
              <w:r>
                <w:rPr>
                  <w:color w:val="2E5C4E"/>
                  <w:u w:val="single"/>
                </w:rPr>
                <w:t xml:space="preserve">the Related Claims and Aggregation provision</w:t>
              </w:r>
            </w:hyperlink>
            <w:r>
              <w:rPr>
                <w:b w:val="0"/>
                <w:i w:val="0"/>
              </w:rPr>
              <w:t>), and the limits and retention provisions (</w:t>
            </w:r>
            <w:hyperlink w:anchor="c_tl_pay_limits_of_liability">
              <w:r>
                <w:rPr>
                  <w:color w:val="2E5C4E"/>
                  <w:u w:val="single"/>
                </w:rPr>
                <w:t xml:space="preserve">the Limits of Liability provision</w:t>
              </w:r>
            </w:hyperlink>
            <w:r>
              <w:rPr>
                <w:b w:val="0"/>
                <w:i w:val="0"/>
              </w:rPr>
              <w:t xml:space="preserve">, </w:t>
            </w:r>
            <w:hyperlink w:anchor="c_tl_pay_retention">
              <w:r>
                <w:rPr>
                  <w:color w:val="2E5C4E"/>
                  <w:u w:val="single"/>
                </w:rPr>
                <w:t xml:space="preserve">the Retention provision</w:t>
              </w:r>
            </w:hyperlink>
            <w:r>
              <w:rPr>
                <w:b w:val="0"/>
                <w:i w:val="0"/>
              </w:rPr>
              <w:t xml:space="preserve">) — each of which applies to the </w:t>
            </w:r>
            <w:hyperlink w:anchor="c_tl_section_cyber">
              <w:r>
                <w:rPr>
                  <w:color w:val="2E5C4E"/>
                  <w:u w:val="single"/>
                </w:rPr>
                <w:t xml:space="preserve">Cyber Protection</w:t>
              </w:r>
            </w:hyperlink>
            <w:r>
              <w:rPr>
                <w:b w:val="0"/>
                <w:i w:val="0"/>
              </w:rPr>
              <w:t xml:space="preserve"> section only in respect of cyber loss.</w:t>
            </w:r>
          </w:p>
        </w:tc>
      </w:tr>
      <w:tr>
        <w:tc>
          <w:tcPr>
            <w:tcW w:type="dxa" w:w="2608"/>
          </w:tcPr>
          <w:p>
            <w:bookmarkStart w:id="10" w:name="c_tl_def_damages"/>
            <w:r>
              <w:rPr>
                <w:b/>
                <w:i w:val="0"/>
              </w:rPr>
              <w:t>Damages</w:t>
            </w:r>
            <w:bookmarkEnd w:id="10"/>
          </w:p>
        </w:tc>
        <w:tc>
          <w:tcPr>
            <w:tcW w:type="dxa" w:w="6803"/>
          </w:tcPr>
          <w:p>
            <w:r>
              <w:rPr>
                <w:b w:val="0"/>
                <w:i w:val="0"/>
              </w:rPr>
              <w:t>(a) any amount you are legally liable to pay to a third party as compensation arising from a judgment, including awards of the third party's legal costs; or (b) any reasonable settlement paid to a third party with our consent.</w:t>
            </w:r>
          </w:p>
        </w:tc>
      </w:tr>
      <w:tr>
        <w:tc>
          <w:tcPr>
            <w:tcW w:type="dxa" w:w="2608"/>
          </w:tcPr>
          <w:p>
            <w:bookmarkStart w:id="11" w:name="c_tl_def_defence_costs"/>
            <w:r>
              <w:rPr>
                <w:b/>
                <w:i w:val="0"/>
              </w:rPr>
              <w:t>Defence costs</w:t>
            </w:r>
            <w:bookmarkEnd w:id="11"/>
          </w:p>
        </w:tc>
        <w:tc>
          <w:tcPr>
            <w:tcW w:type="dxa" w:w="6803"/>
          </w:tcPr>
          <w:p>
            <w:r>
              <w:rPr>
                <w:b w:val="0"/>
                <w:i w:val="0"/>
              </w:rPr>
              <w:t>The reasonable legal costs and expenses incurred with our prior written consent in investigating, defending, settling, or appealing a claim. Defence costs do not include your overheads or any salaries, wages, or benefits of insured persons.</w:t>
            </w:r>
          </w:p>
        </w:tc>
      </w:tr>
      <w:tr>
        <w:tc>
          <w:tcPr>
            <w:tcW w:type="dxa" w:w="2608"/>
          </w:tcPr>
          <w:p>
            <w:bookmarkStart w:id="12" w:name="c_tl_def_employee"/>
            <w:r>
              <w:rPr>
                <w:b/>
                <w:i w:val="0"/>
              </w:rPr>
              <w:t>Employee</w:t>
            </w:r>
            <w:bookmarkEnd w:id="12"/>
          </w:p>
        </w:tc>
        <w:tc>
          <w:tcPr>
            <w:tcW w:type="dxa" w:w="6803"/>
          </w:tcPr>
          <w:p>
            <w:r>
              <w:rPr>
                <w:b w:val="0"/>
                <w:i w:val="0"/>
              </w:rPr>
              <w:t>(a) any natural person employed under a contract of service with you; (b) any contractor or consultant acting under a written contract for the provision of technology products or technology services solely for and on behalf of you.</w:t>
            </w:r>
          </w:p>
        </w:tc>
      </w:tr>
      <w:tr>
        <w:tc>
          <w:tcPr>
            <w:tcW w:type="dxa" w:w="2608"/>
          </w:tcPr>
          <w:p>
            <w:bookmarkStart w:id="13" w:name="c_tl_def_executive_officer"/>
            <w:r>
              <w:rPr>
                <w:b/>
                <w:i w:val="0"/>
              </w:rPr>
              <w:t>Executive officer</w:t>
            </w:r>
            <w:bookmarkEnd w:id="13"/>
          </w:p>
        </w:tc>
        <w:tc>
          <w:tcPr>
            <w:tcW w:type="dxa" w:w="6803"/>
          </w:tcPr>
          <w:p>
            <w:r>
              <w:rPr>
                <w:b w:val="0"/>
                <w:i w:val="0"/>
              </w:rPr>
              <w:t>Any partner, principal, director, CEO, CFO, COO, CIO, CISO, general counsel, or equivalent position.</w:t>
            </w:r>
          </w:p>
        </w:tc>
      </w:tr>
      <w:tr>
        <w:tc>
          <w:tcPr>
            <w:tcW w:type="dxa" w:w="2608"/>
          </w:tcPr>
          <w:p>
            <w:bookmarkStart w:id="14" w:name="c_tl_def_final_adjudication"/>
            <w:r>
              <w:rPr>
                <w:b/>
                <w:i w:val="0"/>
              </w:rPr>
              <w:t>Final adjudication</w:t>
            </w:r>
            <w:bookmarkEnd w:id="14"/>
          </w:p>
        </w:tc>
        <w:tc>
          <w:tcPr>
            <w:tcW w:type="dxa" w:w="6803"/>
          </w:tcPr>
          <w:p>
            <w:r>
              <w:rPr>
                <w:b w:val="0"/>
                <w:i w:val="0"/>
              </w:rPr>
              <w:t xml:space="preserve">means: (a) a judgment, verdict, or determination of a court or tribunal of competent jurisdiction in respect of which all rights of appeal have been exhausted, or the time to appeal has expired without an appeal being filed; or (b) a formal written admission, or a consent order or settlement in which the insured person concerned admits, the conduct described in </w:t>
            </w:r>
            <w:hyperlink w:anchor="c_tl_excl_conduct">
              <w:r>
                <w:rPr>
                  <w:color w:val="2E5C4E"/>
                  <w:u w:val="single"/>
                </w:rPr>
                <w:t xml:space="preserve">the Conduct (Fraud and Dishonesty) exclusion</w:t>
              </w:r>
            </w:hyperlink>
            <w:r>
              <w:rPr>
                <w:b w:val="0"/>
                <w:i w:val="0"/>
              </w:rPr>
              <w:t xml:space="preserve">. Final adjudication is relevant to all sections, wherever conduct described in </w:t>
            </w:r>
            <w:hyperlink w:anchor="c_tl_excl_conduct">
              <w:r>
                <w:rPr>
                  <w:color w:val="2E5C4E"/>
                  <w:u w:val="single"/>
                </w:rPr>
                <w:t xml:space="preserve">the Conduct (Fraud and Dishonesty) exclusion</w:t>
              </w:r>
            </w:hyperlink>
            <w:r>
              <w:rPr>
                <w:b w:val="0"/>
                <w:i w:val="0"/>
              </w:rPr>
              <w:t xml:space="preserve"> is in issue.</w:t>
            </w:r>
          </w:p>
        </w:tc>
      </w:tr>
      <w:tr>
        <w:tc>
          <w:tcPr>
            <w:tcW w:type="dxa" w:w="2608"/>
          </w:tcPr>
          <w:p>
            <w:bookmarkStart w:id="15" w:name="c_tl_def_insured"/>
            <w:r>
              <w:rPr>
                <w:b/>
                <w:i w:val="0"/>
              </w:rPr>
              <w:t>Insured</w:t>
            </w:r>
            <w:bookmarkEnd w:id="15"/>
          </w:p>
        </w:tc>
        <w:tc>
          <w:tcPr>
            <w:tcW w:type="dxa" w:w="6803"/>
          </w:tcPr>
          <w:p>
            <w:r>
              <w:rPr>
                <w:b w:val="0"/>
                <w:i w:val="0"/>
              </w:rPr>
              <w:t>(a) you and any subsidiary; and (b) any insured person.</w:t>
            </w:r>
          </w:p>
        </w:tc>
      </w:tr>
      <w:tr>
        <w:tc>
          <w:tcPr>
            <w:tcW w:type="dxa" w:w="2608"/>
          </w:tcPr>
          <w:p>
            <w:bookmarkStart w:id="16" w:name="c_tl_def_insured_person"/>
            <w:r>
              <w:rPr>
                <w:b/>
                <w:i w:val="0"/>
              </w:rPr>
              <w:t>Insured person</w:t>
            </w:r>
            <w:bookmarkEnd w:id="16"/>
          </w:p>
        </w:tc>
        <w:tc>
          <w:tcPr>
            <w:tcW w:type="dxa" w:w="6803"/>
          </w:tcPr>
          <w:p>
            <w:r>
              <w:rPr>
                <w:b w:val="0"/>
                <w:i w:val="0"/>
              </w:rPr>
              <w:t>Any executive officer or employee.</w:t>
            </w:r>
          </w:p>
        </w:tc>
      </w:tr>
      <w:tr>
        <w:tc>
          <w:tcPr>
            <w:tcW w:type="dxa" w:w="2608"/>
          </w:tcPr>
          <w:p>
            <w:bookmarkStart w:id="17" w:name="c_tl_def_joint_venture"/>
            <w:r>
              <w:rPr>
                <w:b/>
                <w:i w:val="0"/>
              </w:rPr>
              <w:t>Joint venture</w:t>
            </w:r>
            <w:bookmarkEnd w:id="17"/>
          </w:p>
        </w:tc>
        <w:tc>
          <w:tcPr>
            <w:tcW w:type="dxa" w:w="6803"/>
          </w:tcPr>
          <w:p>
            <w:r>
              <w:rPr>
                <w:b w:val="0"/>
                <w:i w:val="0"/>
              </w:rPr>
              <w:t xml:space="preserve">means any incorporated or unincorporated arrangement, however structured, between you and one or more other parties to jointly carry on a business activity, in which you hold a stated percentage interest, share of profits or losses, or degree of control. Joint venture is relevant wherever the term is used in this policy (currently </w:t>
            </w:r>
            <w:hyperlink w:anchor="c_tl_ext_joint_venture_liability">
              <w:r>
                <w:rPr>
                  <w:color w:val="2E5C4E"/>
                  <w:u w:val="single"/>
                </w:rPr>
                <w:t xml:space="preserve">the Joint Venture Liability extension</w:t>
              </w:r>
            </w:hyperlink>
            <w:r>
              <w:rPr>
                <w:b w:val="0"/>
                <w:i w:val="0"/>
              </w:rPr>
              <w:t>, all sections).</w:t>
            </w:r>
          </w:p>
        </w:tc>
      </w:tr>
      <w:tr>
        <w:tc>
          <w:tcPr>
            <w:tcW w:type="dxa" w:w="2608"/>
          </w:tcPr>
          <w:p>
            <w:bookmarkStart w:id="18" w:name="c_tl_def_limit_of_liability"/>
            <w:r>
              <w:rPr>
                <w:b/>
                <w:i w:val="0"/>
              </w:rPr>
              <w:t>Limit of liability</w:t>
            </w:r>
            <w:bookmarkEnd w:id="18"/>
          </w:p>
        </w:tc>
        <w:tc>
          <w:tcPr>
            <w:tcW w:type="dxa" w:w="6803"/>
          </w:tcPr>
          <w:p>
            <w:r>
              <w:rPr>
                <w:b w:val="0"/>
                <w:i w:val="0"/>
              </w:rPr>
              <w:t>The amount shown for each section in the schedule.</w:t>
            </w:r>
          </w:p>
        </w:tc>
      </w:tr>
      <w:tr>
        <w:tc>
          <w:tcPr>
            <w:tcW w:type="dxa" w:w="2608"/>
          </w:tcPr>
          <w:p>
            <w:bookmarkStart w:id="19" w:name="c_tl_def_loss"/>
            <w:r>
              <w:rPr>
                <w:b/>
                <w:i w:val="0"/>
              </w:rPr>
              <w:t>Loss</w:t>
            </w:r>
            <w:bookmarkEnd w:id="19"/>
          </w:p>
        </w:tc>
        <w:tc>
          <w:tcPr>
            <w:tcW w:type="dxa" w:w="6803"/>
          </w:tcPr>
          <w:p>
            <w:r>
              <w:rPr>
                <w:b w:val="0"/>
                <w:i w:val="0"/>
              </w:rPr>
              <w:t xml:space="preserve">(a) damages; (b) defence costs; (c) court attendance costs; (d) inquiry costs; (e) regulatory penalties (where specifically covered under an extension or insuring agreement); (f) claim prevention costs. Loss does not include: (a) taxes; (b) costs under a merchant services agreement; (c) restitution, disgorgement, or unjust enrichment; (d) punitive, aggravated, exemplary, or liquidated damages; (e) costs of complying with injunctive or non-monetary relief; (f) your overheads, staff time, or internal costs; (g) your fees or commissions; (h) amounts uninsurable under the law governing this policy. Loss does not include cyber loss (as defined), which is a separate, the </w:t>
            </w:r>
            <w:hyperlink w:anchor="c_tl_section_cyber">
              <w:r>
                <w:rPr>
                  <w:color w:val="2E5C4E"/>
                  <w:u w:val="single"/>
                </w:rPr>
                <w:t xml:space="preserve">Cyber Protection</w:t>
              </w:r>
            </w:hyperlink>
            <w:r>
              <w:rPr>
                <w:b w:val="0"/>
                <w:i w:val="0"/>
              </w:rPr>
              <w:t xml:space="preserve"> section-specific concept.</w:t>
            </w:r>
          </w:p>
        </w:tc>
      </w:tr>
      <w:tr>
        <w:tc>
          <w:tcPr>
            <w:tcW w:type="dxa" w:w="2608"/>
          </w:tcPr>
          <w:p>
            <w:bookmarkStart w:id="20" w:name="c_tl_def_named_insured"/>
            <w:r>
              <w:rPr>
                <w:b/>
                <w:i w:val="0"/>
              </w:rPr>
              <w:t>Named insured</w:t>
            </w:r>
            <w:bookmarkEnd w:id="20"/>
          </w:p>
        </w:tc>
        <w:tc>
          <w:tcPr>
            <w:tcW w:type="dxa" w:w="6803"/>
          </w:tcPr>
          <w:p>
            <w:r>
              <w:rPr>
                <w:b w:val="0"/>
                <w:i w:val="0"/>
              </w:rPr>
              <w:t>The entity shown as such in the schedule.</w:t>
            </w:r>
          </w:p>
        </w:tc>
      </w:tr>
      <w:tr>
        <w:tc>
          <w:tcPr>
            <w:tcW w:type="dxa" w:w="2608"/>
          </w:tcPr>
          <w:p>
            <w:bookmarkStart w:id="21" w:name="c_tl_def_operational_technology"/>
            <w:r>
              <w:rPr>
                <w:b/>
                <w:i w:val="0"/>
              </w:rPr>
              <w:t>Operational technology</w:t>
            </w:r>
            <w:bookmarkEnd w:id="21"/>
          </w:p>
        </w:tc>
        <w:tc>
          <w:tcPr>
            <w:tcW w:type="dxa" w:w="6803"/>
          </w:tcPr>
          <w:p>
            <w:r>
              <w:rPr>
                <w:b w:val="0"/>
                <w:i w:val="0"/>
              </w:rPr>
              <w:t>Hardware, software, or equipment used to control physical devices and processes (including SCADA systems) — but not the physical devices or processes being controlled.</w:t>
            </w:r>
          </w:p>
        </w:tc>
      </w:tr>
      <w:tr>
        <w:tc>
          <w:tcPr>
            <w:tcW w:type="dxa" w:w="2608"/>
          </w:tcPr>
          <w:p>
            <w:bookmarkStart w:id="22" w:name="c_tl_def_policy_period"/>
            <w:r>
              <w:rPr>
                <w:b/>
                <w:i w:val="0"/>
              </w:rPr>
              <w:t>Policy period</w:t>
            </w:r>
            <w:bookmarkEnd w:id="22"/>
          </w:p>
        </w:tc>
        <w:tc>
          <w:tcPr>
            <w:tcW w:type="dxa" w:w="6803"/>
          </w:tcPr>
          <w:p>
            <w:r>
              <w:rPr>
                <w:b w:val="0"/>
                <w:i w:val="0"/>
              </w:rPr>
              <w:t>The period shown in the schedule.</w:t>
            </w:r>
          </w:p>
        </w:tc>
      </w:tr>
      <w:tr>
        <w:tc>
          <w:tcPr>
            <w:tcW w:type="dxa" w:w="2608"/>
          </w:tcPr>
          <w:p>
            <w:bookmarkStart w:id="23" w:name="c_tl_def_regulatory_penalty"/>
            <w:r>
              <w:rPr>
                <w:b/>
                <w:i w:val="0"/>
              </w:rPr>
              <w:t>Regulatory penalty</w:t>
            </w:r>
            <w:bookmarkEnd w:id="23"/>
          </w:p>
        </w:tc>
        <w:tc>
          <w:tcPr>
            <w:tcW w:type="dxa" w:w="6803"/>
          </w:tcPr>
          <w:p>
            <w:r>
              <w:rPr>
                <w:b w:val="0"/>
                <w:i w:val="0"/>
              </w:rPr>
              <w:t>Any civil penalty or fine imposed by a government or regulatory body that is insurable by law.</w:t>
            </w:r>
          </w:p>
        </w:tc>
      </w:tr>
      <w:tr>
        <w:tc>
          <w:tcPr>
            <w:tcW w:type="dxa" w:w="2608"/>
          </w:tcPr>
          <w:p>
            <w:bookmarkStart w:id="24" w:name="c_tl_def_regulatory_proceeding"/>
            <w:r>
              <w:rPr>
                <w:b/>
                <w:i w:val="0"/>
              </w:rPr>
              <w:t>Regulatory proceeding</w:t>
            </w:r>
            <w:bookmarkEnd w:id="24"/>
          </w:p>
        </w:tc>
        <w:tc>
          <w:tcPr>
            <w:tcW w:type="dxa" w:w="6803"/>
          </w:tcPr>
          <w:p>
            <w:r>
              <w:rPr>
                <w:b w:val="0"/>
                <w:i w:val="0"/>
              </w:rPr>
              <w:t>A formal investigation, hearing, or proceeding — or a compulsory request, notice, or demand for information, documents, or attendance — commenced or issued by an Australian government or regulatory body acting in its regulatory capacity in relation to privacy, cyber security, or data protection, including under the Privacy Act 1988 (Cth) or the Competition and Consumer Act 2010 (Cth), or by the Office of the Australian Information Commissioner, the Australian Competition and Consumer Commission, or the Australian Securities and Investments Commission.</w:t>
            </w:r>
          </w:p>
        </w:tc>
      </w:tr>
      <w:tr>
        <w:tc>
          <w:tcPr>
            <w:tcW w:type="dxa" w:w="2608"/>
          </w:tcPr>
          <w:p>
            <w:bookmarkStart w:id="25" w:name="c_tl_def_retention"/>
            <w:r>
              <w:rPr>
                <w:b/>
                <w:i w:val="0"/>
              </w:rPr>
              <w:t>Retention</w:t>
            </w:r>
            <w:bookmarkEnd w:id="25"/>
          </w:p>
        </w:tc>
        <w:tc>
          <w:tcPr>
            <w:tcW w:type="dxa" w:w="6803"/>
          </w:tcPr>
          <w:p>
            <w:r>
              <w:rPr>
                <w:b w:val="0"/>
                <w:i w:val="0"/>
              </w:rPr>
              <w:t>The amount shown in the schedule that you must bear first.</w:t>
            </w:r>
          </w:p>
        </w:tc>
      </w:tr>
      <w:tr>
        <w:tc>
          <w:tcPr>
            <w:tcW w:type="dxa" w:w="2608"/>
          </w:tcPr>
          <w:p>
            <w:bookmarkStart w:id="26" w:name="c_tl_def_retroactive_date"/>
            <w:r>
              <w:rPr>
                <w:b/>
                <w:i w:val="0"/>
              </w:rPr>
              <w:t>Retroactive date</w:t>
            </w:r>
            <w:bookmarkEnd w:id="26"/>
          </w:p>
        </w:tc>
        <w:tc>
          <w:tcPr>
            <w:tcW w:type="dxa" w:w="6803"/>
          </w:tcPr>
          <w:p>
            <w:r>
              <w:rPr>
                <w:b w:val="0"/>
                <w:i w:val="0"/>
              </w:rPr>
              <w:t>means the date shown in the schedule. See also Continuity date, a distinct, separately scheduled concept.</w:t>
            </w:r>
          </w:p>
        </w:tc>
      </w:tr>
      <w:tr>
        <w:tc>
          <w:tcPr>
            <w:tcW w:type="dxa" w:w="2608"/>
          </w:tcPr>
          <w:p>
            <w:bookmarkStart w:id="27" w:name="c_tl_def_schedule"/>
            <w:r>
              <w:rPr>
                <w:b/>
                <w:i w:val="0"/>
              </w:rPr>
              <w:t>Schedule</w:t>
            </w:r>
            <w:bookmarkEnd w:id="27"/>
          </w:p>
        </w:tc>
        <w:tc>
          <w:tcPr>
            <w:tcW w:type="dxa" w:w="6803"/>
          </w:tcPr>
          <w:p>
            <w:r>
              <w:rPr>
                <w:b w:val="0"/>
                <w:i w:val="0"/>
              </w:rPr>
              <w:t>The document issued with this policy showing your specific details.</w:t>
            </w:r>
          </w:p>
        </w:tc>
      </w:tr>
      <w:tr>
        <w:tc>
          <w:tcPr>
            <w:tcW w:type="dxa" w:w="2608"/>
          </w:tcPr>
          <w:p>
            <w:bookmarkStart w:id="28" w:name="c_tl_def_subsidiary"/>
            <w:r>
              <w:rPr>
                <w:b/>
                <w:i w:val="0"/>
              </w:rPr>
              <w:t>Subsidiary</w:t>
            </w:r>
            <w:bookmarkEnd w:id="28"/>
          </w:p>
        </w:tc>
        <w:tc>
          <w:tcPr>
            <w:tcW w:type="dxa" w:w="6803"/>
          </w:tcPr>
          <w:p>
            <w:r>
              <w:rPr>
                <w:b w:val="0"/>
                <w:i w:val="0"/>
              </w:rPr>
              <w:t>Any entity of which you: (a) are the sole owner; (b) control the board; (c) control more than half the voting power; or (d) hold more than half the issued share capital — as at the start of the policy period.</w:t>
            </w:r>
          </w:p>
        </w:tc>
      </w:tr>
      <w:tr>
        <w:tc>
          <w:tcPr>
            <w:tcW w:type="dxa" w:w="2608"/>
          </w:tcPr>
          <w:p>
            <w:bookmarkStart w:id="29" w:name="c_tl_def_technology_product"/>
            <w:r>
              <w:rPr>
                <w:b/>
                <w:i w:val="0"/>
              </w:rPr>
              <w:t>Technology product</w:t>
            </w:r>
            <w:bookmarkEnd w:id="29"/>
          </w:p>
        </w:tc>
        <w:tc>
          <w:tcPr>
            <w:tcW w:type="dxa" w:w="6803"/>
          </w:tcPr>
          <w:p>
            <w:r>
              <w:rPr>
                <w:b w:val="0"/>
                <w:i w:val="0"/>
              </w:rPr>
              <w:t>Computer or telecommunications hardware, software, or related electronic components that you create, design, manufacture, distribute, license, lease, or sell — including software updates, service packs, and maintenance releases.</w:t>
            </w:r>
          </w:p>
        </w:tc>
      </w:tr>
      <w:tr>
        <w:tc>
          <w:tcPr>
            <w:tcW w:type="dxa" w:w="2608"/>
          </w:tcPr>
          <w:p>
            <w:bookmarkStart w:id="30" w:name="c_tl_def_technology_service"/>
            <w:r>
              <w:rPr>
                <w:b/>
                <w:i w:val="0"/>
              </w:rPr>
              <w:t>Technology service</w:t>
            </w:r>
            <w:bookmarkEnd w:id="30"/>
          </w:p>
        </w:tc>
        <w:tc>
          <w:tcPr>
            <w:tcW w:type="dxa" w:w="6803"/>
          </w:tcPr>
          <w:p>
            <w:r>
              <w:rPr>
                <w:b w:val="0"/>
                <w:i w:val="0"/>
              </w:rPr>
              <w:t>Any computer, cloud computing, or electronic technology service, including: (a) data processing, SaaS, PaaS, IaaS, NaaS, IoT solutions, AI and machine learning services, blockchain services, API services, data analytics, and business intelligence; (b) data and application hosting, systems analysis, technology consulting, and training; (c) custom software development, systems installation and integration, DevOps and MLOps consulting; (d) management, repair, maintenance, network design, and internet services.</w:t>
            </w:r>
          </w:p>
        </w:tc>
      </w:tr>
      <w:tr>
        <w:tc>
          <w:tcPr>
            <w:tcW w:type="dxa" w:w="2608"/>
          </w:tcPr>
          <w:p>
            <w:bookmarkStart w:id="31" w:name="c_tl_def_third_party"/>
            <w:r>
              <w:rPr>
                <w:b/>
                <w:i w:val="0"/>
              </w:rPr>
              <w:t>Third party</w:t>
            </w:r>
            <w:bookmarkEnd w:id="31"/>
          </w:p>
        </w:tc>
        <w:tc>
          <w:tcPr>
            <w:tcW w:type="dxa" w:w="6803"/>
          </w:tcPr>
          <w:p>
            <w:r>
              <w:rPr>
                <w:b w:val="0"/>
                <w:i w:val="0"/>
              </w:rPr>
              <w:t>Any entity or person other than: (a) an insured; or (b) any entity or person with a financial interest or executive role in you.</w:t>
            </w:r>
          </w:p>
        </w:tc>
      </w:tr>
      <w:tr>
        <w:tc>
          <w:tcPr>
            <w:tcW w:type="dxa" w:w="2608"/>
          </w:tcPr>
          <w:p>
            <w:bookmarkStart w:id="32" w:name="c_tl_def_we_us_our"/>
            <w:r>
              <w:rPr>
                <w:b/>
                <w:i w:val="0"/>
              </w:rPr>
              <w:t>We / us / our</w:t>
            </w:r>
            <w:bookmarkEnd w:id="32"/>
          </w:p>
        </w:tc>
        <w:tc>
          <w:tcPr>
            <w:tcW w:type="dxa" w:w="6803"/>
          </w:tcPr>
          <w:p>
            <w:r>
              <w:rPr>
                <w:b w:val="0"/>
                <w:i w:val="0"/>
              </w:rPr>
              <w:t>The insurer named in the schedule.</w:t>
            </w:r>
          </w:p>
        </w:tc>
      </w:tr>
      <w:tr>
        <w:tc>
          <w:tcPr>
            <w:tcW w:type="dxa" w:w="2608"/>
          </w:tcPr>
          <w:p>
            <w:bookmarkStart w:id="33" w:name="c_tl_def_you_your"/>
            <w:r>
              <w:rPr>
                <w:b/>
                <w:i w:val="0"/>
              </w:rPr>
              <w:t>You / your</w:t>
            </w:r>
            <w:bookmarkEnd w:id="33"/>
          </w:p>
        </w:tc>
        <w:tc>
          <w:tcPr>
            <w:tcW w:type="dxa" w:w="6803"/>
          </w:tcPr>
          <w:p>
            <w:r>
              <w:rPr>
                <w:b w:val="0"/>
                <w:i w:val="0"/>
              </w:rPr>
              <w:t>(a) the named insured and any subsidiary; and (b) any insured person.</w:t>
            </w:r>
          </w:p>
        </w:tc>
      </w:tr>
      <w:tr>
        <w:tc>
          <w:tcPr>
            <w:tcW w:type="dxa" w:w="2608"/>
          </w:tcPr>
          <w:p>
            <w:bookmarkStart w:id="34" w:name="c_tl_def_business_interruption_loss"/>
            <w:r>
              <w:rPr>
                <w:b/>
                <w:i w:val="0"/>
              </w:rPr>
              <w:t>Business interruption loss</w:t>
            </w:r>
            <w:bookmarkEnd w:id="34"/>
          </w:p>
        </w:tc>
        <w:tc>
          <w:tcPr>
            <w:tcW w:type="dxa" w:w="6803"/>
          </w:tcPr>
          <w:p>
            <w:r>
              <w:rPr>
                <w:b w:val="0"/>
                <w:i w:val="0"/>
              </w:rPr>
              <w:t>(a) loss of gross profit; (b) increased costs of working — reasonable and necessary costs incurred, beyond normal operating expenses, to mitigate or reduce the interruption; and (c) forensic expenses — but not third-party liability, legal costs, loss from unfavourable business conditions, or loss of market share. This definition applies to the Cyber Protection section only.</w:t>
            </w:r>
          </w:p>
        </w:tc>
      </w:tr>
      <w:tr>
        <w:tc>
          <w:tcPr>
            <w:tcW w:type="dxa" w:w="2608"/>
          </w:tcPr>
          <w:p>
            <w:bookmarkStart w:id="35" w:name="c_tl_def_control_group"/>
            <w:r>
              <w:rPr>
                <w:b/>
                <w:i w:val="0"/>
              </w:rPr>
              <w:t>Control group</w:t>
            </w:r>
            <w:bookmarkEnd w:id="35"/>
          </w:p>
        </w:tc>
        <w:tc>
          <w:tcPr>
            <w:tcW w:type="dxa" w:w="6803"/>
          </w:tcPr>
          <w:p>
            <w:r>
              <w:rPr>
                <w:b w:val="0"/>
                <w:i w:val="0"/>
              </w:rPr>
              <w:t xml:space="preserve">means your executive officers, together with any person responsible for information security, privacy, or risk management functions within your business or, where you have no formally designated control group, your most senior officer. Control group is relevant to the </w:t>
            </w:r>
            <w:hyperlink w:anchor="c_tl_section_cyber">
              <w:r>
                <w:rPr>
                  <w:color w:val="2E5C4E"/>
                  <w:u w:val="single"/>
                </w:rPr>
                <w:t xml:space="preserve">Cyber Protection</w:t>
              </w:r>
            </w:hyperlink>
            <w:r>
              <w:rPr>
                <w:b w:val="0"/>
                <w:i w:val="0"/>
              </w:rPr>
              <w:t xml:space="preserve"> section only (</w:t>
            </w:r>
            <w:hyperlink w:anchor="c_tl_obl_notification">
              <w:r>
                <w:rPr>
                  <w:color w:val="2E5C4E"/>
                  <w:u w:val="single"/>
                </w:rPr>
                <w:t xml:space="preserve">the Notification obligation</w:t>
              </w:r>
            </w:hyperlink>
            <w:r>
              <w:rPr>
                <w:b w:val="0"/>
                <w:i w:val="0"/>
              </w:rPr>
              <w:t>, paragraph (b)). This definition applies to the Cyber Protection section only.</w:t>
            </w:r>
          </w:p>
        </w:tc>
      </w:tr>
      <w:tr>
        <w:tc>
          <w:tcPr>
            <w:tcW w:type="dxa" w:w="2608"/>
          </w:tcPr>
          <w:p>
            <w:bookmarkStart w:id="36" w:name="c_tl_def_cyber_security_breach"/>
            <w:r>
              <w:rPr>
                <w:b/>
                <w:i w:val="0"/>
              </w:rPr>
              <w:t>Cyber security breach</w:t>
            </w:r>
            <w:bookmarkEnd w:id="36"/>
          </w:p>
        </w:tc>
        <w:tc>
          <w:tcPr>
            <w:tcW w:type="dxa" w:w="6803"/>
          </w:tcPr>
          <w:p>
            <w:r>
              <w:rPr>
                <w:b w:val="0"/>
                <w:i w:val="0"/>
              </w:rPr>
              <w:t>(a) unauthorised access (as defined) to or use of your computer system; (b) a denial-of-service attack on your computer system; (c) infection of your computer system with malicious code; or (d) transmission of malicious code from your computer system to a third party's systems. This definition applies to the Cyber Protection section only.</w:t>
            </w:r>
          </w:p>
        </w:tc>
      </w:tr>
      <w:tr>
        <w:tc>
          <w:tcPr>
            <w:tcW w:type="dxa" w:w="2608"/>
          </w:tcPr>
          <w:p>
            <w:bookmarkStart w:id="37" w:name="c_tl_def_data_breach"/>
            <w:r>
              <w:rPr>
                <w:b/>
                <w:i w:val="0"/>
              </w:rPr>
              <w:t>Data breach</w:t>
            </w:r>
            <w:bookmarkEnd w:id="37"/>
          </w:p>
        </w:tc>
        <w:tc>
          <w:tcPr>
            <w:tcW w:type="dxa" w:w="6803"/>
          </w:tcPr>
          <w:p>
            <w:r>
              <w:rPr>
                <w:b w:val="0"/>
                <w:i w:val="0"/>
              </w:rPr>
              <w:t>The theft, loss, unauthorised access, or unauthorised disclosure of any personal information or third-party information in your care, custody, or control. This definition applies to the Cyber Protection section only.</w:t>
            </w:r>
          </w:p>
        </w:tc>
      </w:tr>
      <w:tr>
        <w:tc>
          <w:tcPr>
            <w:tcW w:type="dxa" w:w="2608"/>
          </w:tcPr>
          <w:p>
            <w:bookmarkStart w:id="38" w:name="c_tl_def_extortion_threat"/>
            <w:r>
              <w:rPr>
                <w:b/>
                <w:i w:val="0"/>
              </w:rPr>
              <w:t>Extortion threat</w:t>
            </w:r>
            <w:bookmarkEnd w:id="38"/>
          </w:p>
        </w:tc>
        <w:tc>
          <w:tcPr>
            <w:tcW w:type="dxa" w:w="6803"/>
          </w:tcPr>
          <w:p>
            <w:r>
              <w:rPr>
                <w:b w:val="0"/>
                <w:i w:val="0"/>
              </w:rPr>
              <w:t>A credible threat to carry out a cyber security breach or data breach against your computer system unless a ransom demand is met. This definition applies to the Cyber Protection section only.</w:t>
            </w:r>
          </w:p>
        </w:tc>
      </w:tr>
      <w:tr>
        <w:tc>
          <w:tcPr>
            <w:tcW w:type="dxa" w:w="2608"/>
          </w:tcPr>
          <w:p>
            <w:bookmarkStart w:id="39" w:name="c_tl_def_personal_information"/>
            <w:r>
              <w:rPr>
                <w:b/>
                <w:i w:val="0"/>
              </w:rPr>
              <w:t>Personal information</w:t>
            </w:r>
            <w:bookmarkEnd w:id="39"/>
          </w:p>
        </w:tc>
        <w:tc>
          <w:tcPr>
            <w:tcW w:type="dxa" w:w="6803"/>
          </w:tcPr>
          <w:p>
            <w:r>
              <w:rPr>
                <w:b w:val="0"/>
                <w:i w:val="0"/>
              </w:rPr>
              <w:t>Information or an opinion about an identified individual, or an individual who is reasonably identifiable, whether or not true and whether or not recorded in a material form; this has the same meaning as in s.6 of the Privacy Act 1988 (Cth). This definition applies to the Cyber Protection section only.</w:t>
            </w:r>
          </w:p>
        </w:tc>
      </w:tr>
      <w:tr>
        <w:tc>
          <w:tcPr>
            <w:tcW w:type="dxa" w:w="2608"/>
          </w:tcPr>
          <w:p>
            <w:bookmarkStart w:id="40" w:name="c_tl_def_system_failure"/>
            <w:r>
              <w:rPr>
                <w:b/>
                <w:i w:val="0"/>
              </w:rPr>
              <w:t>System failure</w:t>
            </w:r>
            <w:bookmarkEnd w:id="40"/>
          </w:p>
        </w:tc>
        <w:tc>
          <w:tcPr>
            <w:tcW w:type="dxa" w:w="6803"/>
          </w:tcPr>
          <w:p>
            <w:r>
              <w:rPr>
                <w:b w:val="0"/>
                <w:i w:val="0"/>
              </w:rPr>
              <w:t>An unintentional and unplanned interruption of your computer system that renders it incapable of carrying out its normal function. System failure does not include any interruption resulting from a cyber security breach. This definition applies to the Cyber Protection section only.</w:t>
            </w:r>
          </w:p>
        </w:tc>
      </w:tr>
      <w:tr>
        <w:tc>
          <w:tcPr>
            <w:tcW w:type="dxa" w:w="2608"/>
          </w:tcPr>
          <w:p>
            <w:bookmarkStart w:id="41" w:name="c_tl_def_technology_provider"/>
            <w:r>
              <w:rPr>
                <w:b/>
                <w:i w:val="0"/>
              </w:rPr>
              <w:t>Technology provider</w:t>
            </w:r>
            <w:bookmarkEnd w:id="41"/>
          </w:p>
        </w:tc>
        <w:tc>
          <w:tcPr>
            <w:tcW w:type="dxa" w:w="6803"/>
          </w:tcPr>
          <w:p>
            <w:r>
              <w:rPr>
                <w:b w:val="0"/>
                <w:i w:val="0"/>
              </w:rPr>
              <w:t>A third party that provides technology services to you under a written contract for hosted application services, or for processing, storing, or hosting your data. Technology provider does not include providers of utilities, telecommunications infrastructure, financial securities, stock exchanges, or clearing houses. This definition applies to the Cyber Protection section only.</w:t>
            </w:r>
          </w:p>
        </w:tc>
      </w:tr>
      <w:tr>
        <w:tc>
          <w:tcPr>
            <w:tcW w:type="dxa" w:w="2608"/>
          </w:tcPr>
          <w:p>
            <w:bookmarkStart w:id="42" w:name="c_tl_def_third_party_information"/>
            <w:r>
              <w:rPr>
                <w:b/>
                <w:i w:val="0"/>
              </w:rPr>
              <w:t>Third-party information</w:t>
            </w:r>
            <w:bookmarkEnd w:id="42"/>
          </w:p>
        </w:tc>
        <w:tc>
          <w:tcPr>
            <w:tcW w:type="dxa" w:w="6803"/>
          </w:tcPr>
          <w:p>
            <w:r>
              <w:rPr>
                <w:b w:val="0"/>
                <w:i w:val="0"/>
              </w:rPr>
              <w:t>Any trade secret, confidential data, or proprietary information of a third party that is not available to the general public. This definition applies to the Cyber Protection section only.</w:t>
            </w:r>
          </w:p>
        </w:tc>
      </w:tr>
      <w:tr>
        <w:tc>
          <w:tcPr>
            <w:tcW w:type="dxa" w:w="2608"/>
          </w:tcPr>
          <w:p>
            <w:bookmarkStart w:id="43" w:name="c_tl_def_unauthorised_access"/>
            <w:r>
              <w:rPr>
                <w:b/>
                <w:i w:val="0"/>
              </w:rPr>
              <w:t>Unauthorised access</w:t>
            </w:r>
            <w:bookmarkEnd w:id="43"/>
          </w:p>
        </w:tc>
        <w:tc>
          <w:tcPr>
            <w:tcW w:type="dxa" w:w="6803"/>
          </w:tcPr>
          <w:p>
            <w:r>
              <w:rPr>
                <w:b w:val="0"/>
                <w:i w:val="0"/>
              </w:rPr>
              <w:t xml:space="preserve">means access to, or use of, your computer system that is not permitted by you, and includes access or use that exceeds the scope of access or use you have permitted — whether or not the person accessing or using the system holds valid credentials to do so. This addresses an employee or other person who holds legitimate credentials but exceeds their authorised scope. Unauthorised access is relevant to the </w:t>
            </w:r>
            <w:hyperlink w:anchor="c_tl_section_cyber">
              <w:r>
                <w:rPr>
                  <w:color w:val="2E5C4E"/>
                  <w:u w:val="single"/>
                </w:rPr>
                <w:t xml:space="preserve">Cyber Protection</w:t>
              </w:r>
            </w:hyperlink>
            <w:r>
              <w:rPr>
                <w:b w:val="0"/>
                <w:i w:val="0"/>
              </w:rPr>
              <w:t xml:space="preserve"> section only. This definition applies to the Cyber Protection section only.</w:t>
            </w:r>
          </w:p>
        </w:tc>
      </w:tr>
      <w:tr>
        <w:tc>
          <w:tcPr>
            <w:tcW w:type="dxa" w:w="2608"/>
          </w:tcPr>
          <w:p>
            <w:bookmarkStart w:id="44" w:name="c_tl_def_waiting_period"/>
            <w:r>
              <w:rPr>
                <w:b/>
                <w:i w:val="0"/>
              </w:rPr>
              <w:t>Waiting period</w:t>
            </w:r>
            <w:bookmarkEnd w:id="44"/>
          </w:p>
        </w:tc>
        <w:tc>
          <w:tcPr>
            <w:tcW w:type="dxa" w:w="6803"/>
          </w:tcPr>
          <w:p>
            <w:r>
              <w:rPr>
                <w:b w:val="0"/>
                <w:i w:val="0"/>
              </w:rPr>
              <w:t>The time period stated in the schedule. A business interruption must last longer than the waiting period before any business interruption loss is payable. Once the interruption exceeds the waiting period, business interruption loss is measured from the start of the interruption. This definition applies to the Cyber Protection section only.</w:t>
            </w:r>
          </w:p>
        </w:tc>
      </w:tr>
      <w:tr>
        <w:tc>
          <w:tcPr>
            <w:tcW w:type="dxa" w:w="2608"/>
          </w:tcPr>
          <w:p>
            <w:bookmarkStart w:id="45" w:name="c_tl_def_occurrence"/>
            <w:r>
              <w:rPr>
                <w:b/>
                <w:i w:val="0"/>
              </w:rPr>
              <w:t>Occurrence</w:t>
            </w:r>
            <w:bookmarkEnd w:id="45"/>
          </w:p>
        </w:tc>
        <w:tc>
          <w:tcPr>
            <w:tcW w:type="dxa" w:w="6803"/>
          </w:tcPr>
          <w:p>
            <w:r>
              <w:rPr>
                <w:b w:val="0"/>
                <w:i w:val="0"/>
              </w:rPr>
              <w:t>An event that results in personal injury or property damage that you did not expect or intend. Continued or repeated exposure to substantially the same harmful conditions is treated as a single occurrence, taken to happen when that exposure first begins. This definition applies to the Public and Products Liability section only.</w:t>
            </w:r>
          </w:p>
        </w:tc>
      </w:tr>
      <w:tr>
        <w:tc>
          <w:tcPr>
            <w:tcW w:type="dxa" w:w="2608"/>
          </w:tcPr>
          <w:p>
            <w:bookmarkStart w:id="46" w:name="c_tl_def_personal_injury"/>
            <w:r>
              <w:rPr>
                <w:b/>
                <w:i w:val="0"/>
              </w:rPr>
              <w:t>Personal injury</w:t>
            </w:r>
            <w:bookmarkEnd w:id="46"/>
          </w:p>
        </w:tc>
        <w:tc>
          <w:tcPr>
            <w:tcW w:type="dxa" w:w="6803"/>
          </w:tcPr>
          <w:p>
            <w:r>
              <w:rPr>
                <w:b w:val="0"/>
                <w:i w:val="0"/>
              </w:rPr>
              <w:t>(a) death, physical injury, sickness, disease or disability; (b) shock, emotional distress or mental anguish; (c) false arrest, wrongful detention or false imprisonment; (d) malicious prosecution; (e) wrongful entry onto, or eviction from, premises; or (f) assault or battery, unless committed by you or with your consent or at your direction. This definition applies to the Public and Products Liability section only.</w:t>
            </w:r>
          </w:p>
        </w:tc>
      </w:tr>
      <w:tr>
        <w:tc>
          <w:tcPr>
            <w:tcW w:type="dxa" w:w="2608"/>
          </w:tcPr>
          <w:p>
            <w:bookmarkStart w:id="47" w:name="c_tl_def_property_damage"/>
            <w:r>
              <w:rPr>
                <w:b/>
                <w:i w:val="0"/>
              </w:rPr>
              <w:t>Property damage</w:t>
            </w:r>
            <w:bookmarkEnd w:id="47"/>
          </w:p>
        </w:tc>
        <w:tc>
          <w:tcPr>
            <w:tcW w:type="dxa" w:w="6803"/>
          </w:tcPr>
          <w:p>
            <w:r>
              <w:rPr>
                <w:b w:val="0"/>
                <w:i w:val="0"/>
              </w:rPr>
              <w:t>(a) physical damage to, or destruction of, tangible property, together with any loss of use of that property; or (b) loss of use of tangible property that has not itself been physically damaged, where that loss of use is caused by physical damage to other tangible property. Property damage does not include loss of, or damage to, data or personal information. This definition applies to the Public and Products Liability section only.</w:t>
            </w:r>
          </w:p>
        </w:tc>
      </w:tr>
      <w:tr>
        <w:tc>
          <w:tcPr>
            <w:tcW w:type="dxa" w:w="2608"/>
          </w:tcPr>
          <w:p>
            <w:bookmarkStart w:id="48" w:name="c_tl_def_product_injury"/>
            <w:r>
              <w:rPr>
                <w:b/>
                <w:i w:val="0"/>
              </w:rPr>
              <w:t>Product injury</w:t>
            </w:r>
            <w:bookmarkEnd w:id="48"/>
          </w:p>
        </w:tc>
        <w:tc>
          <w:tcPr>
            <w:tcW w:type="dxa" w:w="6803"/>
          </w:tcPr>
          <w:p>
            <w:r>
              <w:rPr>
                <w:b w:val="0"/>
                <w:i w:val="0"/>
              </w:rPr>
              <w:t>Personal injury or property damage arising out of a technology product or technology service. This definition applies to the Public and Products Liability section only.</w:t>
            </w:r>
          </w:p>
        </w:tc>
      </w:tr>
      <w:tr>
        <w:tc>
          <w:tcPr>
            <w:tcW w:type="dxa" w:w="2608"/>
          </w:tcPr>
          <w:p>
            <w:bookmarkStart w:id="49" w:name="c_tl_def_related_claims"/>
            <w:r>
              <w:rPr>
                <w:b/>
                <w:i w:val="0"/>
              </w:rPr>
              <w:t>Related claims</w:t>
            </w:r>
            <w:bookmarkEnd w:id="49"/>
          </w:p>
        </w:tc>
        <w:tc>
          <w:tcPr>
            <w:tcW w:type="dxa" w:w="6803"/>
          </w:tcPr>
          <w:p>
            <w:r>
              <w:rPr>
                <w:b w:val="0"/>
                <w:i w:val="0"/>
              </w:rPr>
              <w:t xml:space="preserve">means two or more claims, or two or more cyber losses, that arise from the same, similar or related act, error, omission, event or originating cause, or from a series of them, or that share a common fact, circumstance or transaction. Related claims are treated as one claim as set out in </w:t>
            </w:r>
            <w:hyperlink w:anchor="c_tl_pay_related_claims_and_aggregation">
              <w:r>
                <w:rPr>
                  <w:color w:val="2E5C4E"/>
                  <w:u w:val="single"/>
                </w:rPr>
                <w:t xml:space="preserve">the Related Claims and Aggregation provision</w:t>
              </w:r>
            </w:hyperlink>
            <w:r>
              <w:rPr>
                <w:b w:val="0"/>
                <w:i w:val="0"/>
              </w:rPr>
              <w:t>.</w:t>
            </w:r>
          </w:p>
        </w:tc>
      </w:tr>
      <w:tr>
        <w:tc>
          <w:tcPr>
            <w:tcW w:type="dxa" w:w="2608"/>
          </w:tcPr>
          <w:p>
            <w:bookmarkStart w:id="50" w:name="c_tl_def_extended_reporting_period"/>
            <w:r>
              <w:rPr>
                <w:b/>
                <w:i w:val="0"/>
              </w:rPr>
              <w:t>Extended reporting period</w:t>
            </w:r>
            <w:bookmarkEnd w:id="50"/>
          </w:p>
        </w:tc>
        <w:tc>
          <w:tcPr>
            <w:tcW w:type="dxa" w:w="6803"/>
          </w:tcPr>
          <w:p>
            <w:r>
              <w:rPr>
                <w:b w:val="0"/>
                <w:i w:val="0"/>
              </w:rPr>
              <w:t xml:space="preserve">means a period after the policy period ends during which a claim first made against you, or a cyber loss first discovered, in the policy period or in that period may be notified to us, as provided by </w:t>
            </w:r>
            <w:hyperlink w:anchor="c_tl_ext_extended_reporting_period">
              <w:r>
                <w:rPr>
                  <w:color w:val="2E5C4E"/>
                  <w:u w:val="single"/>
                </w:rPr>
                <w:t xml:space="preserve">the Extended Reporting Period extension</w:t>
              </w:r>
            </w:hyperlink>
            <w:r>
              <w:rPr>
                <w:b w:val="0"/>
                <w:i w:val="0"/>
              </w:rPr>
              <w:t xml:space="preserve"> and any endorsement that extends it.</w:t>
            </w:r>
          </w:p>
        </w:tc>
      </w:tr>
    </w:tbl>
    <w:p>
      <w:bookmarkStart w:id="51" w:name="c_tl_section_professional_liability"/>
      <w:r>
        <w:rPr>
          <w:rFonts w:ascii="Georgia" w:hAnsi="Georgia" w:eastAsia="Georgia"/>
          <w:b/>
          <w:i w:val="0"/>
          <w:color w:val="1C1915"/>
          <w:sz w:val="32"/>
        </w:rPr>
        <w:t>Technology Professional Liability</w:t>
      </w:r>
      <w:bookmarkEnd w:id="51"/>
    </w:p>
    <w:p>
      <w:r>
        <w:rPr>
          <w:b w:val="0"/>
          <w:i w:val="0"/>
        </w:rPr>
        <w:t>This section operates on a claims-made and notified basis.</w:t>
      </w:r>
    </w:p>
    <w:p>
      <w:bookmarkStart w:id="52" w:name="c_tl_cover_technology_professional_liabi"/>
      <w:r>
        <w:rPr>
          <w:rFonts w:ascii="Georgia" w:hAnsi="Georgia" w:eastAsia="Georgia"/>
          <w:b/>
          <w:i w:val="0"/>
          <w:color w:val="2E5C4E"/>
          <w:sz w:val="25"/>
        </w:rPr>
        <w:t>Technology Professional Liability Insuring Agreement</w:t>
      </w:r>
      <w:bookmarkEnd w:id="52"/>
    </w:p>
    <w:p>
      <w:r>
        <w:rPr>
          <w:b w:val="0"/>
          <w:i w:val="0"/>
        </w:rPr>
        <w:t>If a claim is first made against you during the policy period and arises solely from the provision of technology products or technology services, we will pay your loss.</w:t>
      </w:r>
    </w:p>
    <w:p>
      <w:bookmarkStart w:id="53" w:name="c_tl_cover_technology_professional_liabi"/>
      <w:r>
        <w:rPr>
          <w:rFonts w:ascii="Georgia" w:hAnsi="Georgia" w:eastAsia="Georgia"/>
          <w:b/>
          <w:i w:val="0"/>
          <w:color w:val="2E5C4E"/>
          <w:sz w:val="25"/>
        </w:rPr>
        <w:t>Technology Professional Liability Clarifications</w:t>
      </w:r>
      <w:bookmarkEnd w:id="53"/>
    </w:p>
    <w:p>
      <w:r>
        <w:rPr>
          <w:b w:val="0"/>
          <w:i w:val="0"/>
        </w:rPr>
        <w:t>Without limiting the insuring agreement, we confirm that cover includes claims arising from:</w:t>
      </w:r>
    </w:p>
    <w:p>
      <w:r>
        <w:rPr>
          <w:b/>
          <w:i w:val="0"/>
        </w:rPr>
        <w:t>Artificial intelligence:</w:t>
      </w:r>
      <w:r>
        <w:rPr>
          <w:b w:val="0"/>
          <w:i w:val="0"/>
        </w:rPr>
        <w:t xml:space="preserve"> The use of any artificial intelligence or machine learning software in the provision of technology products or technology services — including claims arising from AI model output errors, algorithmic bias, autonomous decision-making, and training data used in connection with your services.</w:t>
      </w:r>
    </w:p>
    <w:p>
      <w:r>
        <w:rPr>
          <w:b/>
          <w:i w:val="0"/>
        </w:rPr>
        <w:t>Consumer protection legislation:</w:t>
      </w:r>
      <w:r>
        <w:rPr>
          <w:b w:val="0"/>
          <w:i w:val="0"/>
        </w:rPr>
        <w:t xml:space="preserve"> Claims under the Australian Consumer Law, the Competition and Consumer Act 2010 (Cth), or equivalent state/territory legislation.</w:t>
      </w:r>
    </w:p>
    <w:p>
      <w:r>
        <w:rPr>
          <w:b/>
          <w:i w:val="0"/>
        </w:rPr>
        <w:t>Loss of documents:</w:t>
      </w:r>
      <w:r>
        <w:rPr>
          <w:b w:val="0"/>
          <w:i w:val="0"/>
        </w:rPr>
        <w:t xml:space="preserve"> Unintentional destruction, damage, misplacement, deletion, or loss of documents in your custody or control.</w:t>
      </w:r>
    </w:p>
    <w:p>
      <w:r>
        <w:rPr>
          <w:b/>
          <w:i w:val="0"/>
        </w:rPr>
        <w:t>Vicarious liability:</w:t>
      </w:r>
      <w:r>
        <w:rPr>
          <w:b w:val="0"/>
          <w:i w:val="0"/>
        </w:rPr>
        <w:t xml:space="preserve"> Claims arising from technology products or services provided by another person on your behalf.</w:t>
      </w:r>
    </w:p>
    <w:p>
      <w:r>
        <w:rPr>
          <w:b/>
          <w:i w:val="0"/>
        </w:rPr>
        <w:t>Former subsidiaries:</w:t>
      </w:r>
      <w:r>
        <w:rPr>
          <w:b w:val="0"/>
          <w:i w:val="0"/>
        </w:rPr>
        <w:t xml:space="preserve"> Claims arising from technology products or services provided by a subsidiary before its acquisition by another entity.</w:t>
      </w:r>
    </w:p>
    <w:p>
      <w:bookmarkStart w:id="54" w:name="c_tl_ext_outstanding_fees"/>
      <w:r>
        <w:rPr>
          <w:rFonts w:ascii="Georgia" w:hAnsi="Georgia" w:eastAsia="Georgia"/>
          <w:b/>
          <w:i w:val="0"/>
          <w:color w:val="2E5C4E"/>
          <w:sz w:val="25"/>
        </w:rPr>
        <w:t>Outstanding Fees</w:t>
      </w:r>
      <w:bookmarkEnd w:id="54"/>
    </w:p>
    <w:p>
      <w:r>
        <w:rPr>
          <w:b w:val="0"/>
          <w:i w:val="0"/>
        </w:rPr>
        <w:t>Notwithstanding the fees exclusion, we will pay your contractually agreed fees (excluding profit and GST) that a client refuses to pay — provided: (a) there is written evidence of the client's refusal and intention to make a claim; (b) you have made all reasonable efforts to recover; (c) you will cease recovery efforts; (d) payment is reasonably likely to resolve any existing or potential claim. Sub-limit: as shown in the schedule.</w:t>
      </w:r>
    </w:p>
    <w:p>
      <w:bookmarkStart w:id="55" w:name="c_tl_ext_refund_of_fees"/>
      <w:r>
        <w:rPr>
          <w:rFonts w:ascii="Georgia" w:hAnsi="Georgia" w:eastAsia="Georgia"/>
          <w:b/>
          <w:i w:val="0"/>
          <w:color w:val="2E5C4E"/>
          <w:sz w:val="25"/>
        </w:rPr>
        <w:t>Refund of Fees</w:t>
      </w:r>
      <w:bookmarkEnd w:id="55"/>
    </w:p>
    <w:p>
      <w:r>
        <w:rPr>
          <w:b w:val="0"/>
          <w:i w:val="0"/>
        </w:rPr>
        <w:t>Notwithstanding the fees exclusion, we will pay any refund-of-fees component of damages.</w:t>
      </w:r>
    </w:p>
    <w:p>
      <w:bookmarkStart w:id="56" w:name="c_tl_ext_mitigation_costs"/>
      <w:r>
        <w:rPr>
          <w:rFonts w:ascii="Georgia" w:hAnsi="Georgia" w:eastAsia="Georgia"/>
          <w:b/>
          <w:i w:val="0"/>
          <w:color w:val="2E5C4E"/>
          <w:sz w:val="25"/>
        </w:rPr>
        <w:t>Mitigation Costs</w:t>
      </w:r>
      <w:bookmarkEnd w:id="56"/>
    </w:p>
    <w:p>
      <w:r>
        <w:rPr>
          <w:b w:val="0"/>
          <w:i w:val="0"/>
        </w:rPr>
        <w:t>We will pay claim prevention costs — reasonable direct costs to prevent, rectify, or mitigate a potential claim you first become aware of during the policy period. You must obtain our written consent first, unless delay would jeopardise mitigation. Sub-limit: as shown in the schedule.</w:t>
      </w:r>
    </w:p>
    <w:p>
      <w:bookmarkStart w:id="57" w:name="c_tl_ext_patents"/>
      <w:r>
        <w:rPr>
          <w:rFonts w:ascii="Georgia" w:hAnsi="Georgia" w:eastAsia="Georgia"/>
          <w:b/>
          <w:i w:val="0"/>
          <w:color w:val="2E5C4E"/>
          <w:sz w:val="25"/>
        </w:rPr>
        <w:t>Patents</w:t>
      </w:r>
      <w:bookmarkEnd w:id="57"/>
    </w:p>
    <w:p>
      <w:r>
        <w:rPr>
          <w:b w:val="0"/>
          <w:i w:val="0"/>
        </w:rPr>
        <w:t>Notwithstanding the media liability exclusion, we will cover claims for unintentional breach of any patent arising from your technology products or technology services — but only patents registered outside the USA and Canada. Sub-limit: as shown in the schedule.</w:t>
      </w:r>
    </w:p>
    <w:p>
      <w:bookmarkStart w:id="58" w:name="c_tl_ext_regulatory_penalties"/>
      <w:r>
        <w:rPr>
          <w:rFonts w:ascii="Georgia" w:hAnsi="Georgia" w:eastAsia="Georgia"/>
          <w:b/>
          <w:i w:val="0"/>
          <w:color w:val="2E5C4E"/>
          <w:sz w:val="25"/>
        </w:rPr>
        <w:t>Regulatory Penalties</w:t>
      </w:r>
      <w:bookmarkEnd w:id="58"/>
    </w:p>
    <w:p>
      <w:r>
        <w:rPr>
          <w:b w:val="0"/>
          <w:i w:val="0"/>
        </w:rPr>
        <w:t>We will pay insurable regulatory penalties arising from a claim or inquiry in connection with your technology products or technology services. Sub-limit: as shown in the schedule.</w:t>
      </w:r>
    </w:p>
    <w:p>
      <w:bookmarkStart w:id="59" w:name="c_tl_section_cyber"/>
      <w:r>
        <w:rPr>
          <w:rFonts w:ascii="Georgia" w:hAnsi="Georgia" w:eastAsia="Georgia"/>
          <w:b/>
          <w:i w:val="0"/>
          <w:color w:val="1C1915"/>
          <w:sz w:val="32"/>
        </w:rPr>
        <w:t>Cyber Protection</w:t>
      </w:r>
      <w:bookmarkEnd w:id="59"/>
    </w:p>
    <w:p>
      <w:r>
        <w:rPr>
          <w:b w:val="0"/>
          <w:i w:val="0"/>
        </w:rPr>
        <w:t>This section operates on a claims-made / discovery basis.</w:t>
      </w:r>
    </w:p>
    <w:p>
      <w:bookmarkStart w:id="60" w:name="c_tl_cover_breach_response_and_notificat"/>
      <w:r>
        <w:rPr>
          <w:rFonts w:ascii="Georgia" w:hAnsi="Georgia" w:eastAsia="Georgia"/>
          <w:b/>
          <w:i w:val="0"/>
          <w:color w:val="2E5C4E"/>
          <w:sz w:val="25"/>
        </w:rPr>
        <w:t>Breach Response and Notification</w:t>
      </w:r>
      <w:bookmarkEnd w:id="60"/>
    </w:p>
    <w:p>
      <w:r>
        <w:rPr>
          <w:b w:val="0"/>
          <w:i w:val="0"/>
        </w:rPr>
        <w:t>We will pay reasonable and necessary breach response costs you incur following first discovery of an actual or suspected data breach or cyber security breach during the policy period, including: (a) forensic investigation; (b) legal advice on notification obligations; (c) notification to affected individuals and regulators; (d) credit monitoring for up to 12 months; (e) call centre; (f) crisis management.</w:t>
      </w:r>
    </w:p>
    <w:p>
      <w:r>
        <w:rPr>
          <w:b w:val="0"/>
          <w:i w:val="0"/>
        </w:rPr>
        <w:t>You may appoint the incident response panel shown in the schedule and incur costs without our prior consent for up to 72 hours following first discovery.</w:t>
      </w:r>
    </w:p>
    <w:p>
      <w:bookmarkStart w:id="61" w:name="c_tl_cover_data_restoration"/>
      <w:r>
        <w:rPr>
          <w:rFonts w:ascii="Georgia" w:hAnsi="Georgia" w:eastAsia="Georgia"/>
          <w:b/>
          <w:i w:val="0"/>
          <w:color w:val="2E5C4E"/>
          <w:sz w:val="25"/>
        </w:rPr>
        <w:t>Data Restoration</w:t>
      </w:r>
      <w:bookmarkEnd w:id="61"/>
    </w:p>
    <w:p>
      <w:r>
        <w:rPr>
          <w:b w:val="0"/>
          <w:i w:val="0"/>
        </w:rPr>
        <w:t>We will pay reasonable costs to determine whether damaged or destroyed software or personal information or other data can be restored, and to restore it to substantially the same state as immediately before a cyber security breach.</w:t>
      </w:r>
    </w:p>
    <w:p>
      <w:bookmarkStart w:id="62" w:name="c_tl_cover_business_interruption"/>
      <w:r>
        <w:rPr>
          <w:rFonts w:ascii="Georgia" w:hAnsi="Georgia" w:eastAsia="Georgia"/>
          <w:b/>
          <w:i w:val="0"/>
          <w:color w:val="2E5C4E"/>
          <w:sz w:val="25"/>
        </w:rPr>
        <w:t>Business Interruption</w:t>
      </w:r>
      <w:bookmarkEnd w:id="62"/>
    </w:p>
    <w:p>
      <w:r>
        <w:rPr>
          <w:b w:val="0"/>
          <w:i w:val="0"/>
        </w:rPr>
        <w:t xml:space="preserve">We will reimburse business interruption loss you incur within the indemnity period shown in the schedule (or, if not shown, 180 days maximum) as a result of: (a) a cyber security breach; or (b) a dependent security breach (an attack on your technology provider's systems). </w:t>
      </w:r>
      <w:r>
        <w:rPr>
          <w:b/>
          <w:i w:val="0"/>
        </w:rPr>
        <w:t>Sub-limit for (b): as shown in the schedule.</w:t>
      </w:r>
    </w:p>
    <w:p>
      <w:r>
        <w:rPr>
          <w:b w:val="0"/>
          <w:i w:val="0"/>
        </w:rPr>
        <w:t>Waiting period — threshold basis. The waiting period operates as a qualifying threshold, not a deduction. If the interruption lasts longer than the waiting period, business interruption loss is measured from the start of the interruption. If the interruption does not exceed the waiting period, no payment is made.</w:t>
      </w:r>
    </w:p>
    <w:p>
      <w:bookmarkStart w:id="63" w:name="c_tl_cover_system_failure_business_inter"/>
      <w:r>
        <w:rPr>
          <w:rFonts w:ascii="Georgia" w:hAnsi="Georgia" w:eastAsia="Georgia"/>
          <w:b/>
          <w:i w:val="0"/>
          <w:color w:val="2E5C4E"/>
          <w:sz w:val="25"/>
        </w:rPr>
        <w:t>System Failure Business Interruption</w:t>
      </w:r>
      <w:bookmarkEnd w:id="63"/>
    </w:p>
    <w:p>
      <w:r>
        <w:rPr>
          <w:b w:val="0"/>
          <w:i w:val="0"/>
        </w:rPr>
        <w:t xml:space="preserve">We will reimburse business interruption loss from: (a) a system failure (your own systems); or (b) a dependent system failure (your technology provider's systems) — subject to the same indemnity period and waiting period (threshold basis) as </w:t>
      </w:r>
      <w:hyperlink w:anchor="c_tl_cover_business_interruption">
        <w:r>
          <w:rPr>
            <w:color w:val="2E5C4E"/>
            <w:u w:val="single"/>
          </w:rPr>
          <w:t xml:space="preserve">the Business Interruption clause</w:t>
        </w:r>
      </w:hyperlink>
      <w:r>
        <w:rPr>
          <w:b w:val="0"/>
          <w:i w:val="0"/>
        </w:rPr>
        <w:t xml:space="preserve">. </w:t>
      </w:r>
      <w:r>
        <w:rPr>
          <w:b/>
          <w:i w:val="0"/>
        </w:rPr>
        <w:t>Sub-limit for (b): as shown in the schedule.</w:t>
      </w:r>
    </w:p>
    <w:p>
      <w:bookmarkStart w:id="64" w:name="c_tl_cover_cyber_extortion"/>
      <w:r>
        <w:rPr>
          <w:rFonts w:ascii="Georgia" w:hAnsi="Georgia" w:eastAsia="Georgia"/>
          <w:b/>
          <w:i w:val="0"/>
          <w:color w:val="2E5C4E"/>
          <w:sz w:val="25"/>
        </w:rPr>
        <w:t>Cyber Extortion</w:t>
      </w:r>
      <w:bookmarkEnd w:id="64"/>
    </w:p>
    <w:p>
      <w:r>
        <w:rPr>
          <w:b w:val="0"/>
          <w:i w:val="0"/>
        </w:rPr>
        <w:t>We will reimburse reasonable costs to deal with, contain, mitigate, or pay a ransom demand in connection with an extortion threat first discovered during the policy period.</w:t>
      </w:r>
    </w:p>
    <w:p>
      <w:bookmarkStart w:id="65" w:name="c_tl_cover_data_and_system_security_liab"/>
      <w:r>
        <w:rPr>
          <w:rFonts w:ascii="Georgia" w:hAnsi="Georgia" w:eastAsia="Georgia"/>
          <w:b/>
          <w:i w:val="0"/>
          <w:color w:val="2E5C4E"/>
          <w:sz w:val="25"/>
        </w:rPr>
        <w:t>Data and System Security Liability</w:t>
      </w:r>
      <w:bookmarkEnd w:id="65"/>
    </w:p>
    <w:p>
      <w:r>
        <w:rPr>
          <w:b w:val="0"/>
          <w:i w:val="0"/>
        </w:rPr>
        <w:t>We will pay your loss from a claim arising from: (a) a data breach; or (b) a cyber security breach.</w:t>
      </w:r>
    </w:p>
    <w:p>
      <w:bookmarkStart w:id="66" w:name="c_tl_cover_regulatory_defence_and_fines"/>
      <w:r>
        <w:rPr>
          <w:rFonts w:ascii="Georgia" w:hAnsi="Georgia" w:eastAsia="Georgia"/>
          <w:b/>
          <w:i w:val="0"/>
          <w:color w:val="2E5C4E"/>
          <w:sz w:val="25"/>
        </w:rPr>
        <w:t>Regulatory Defence and Fines</w:t>
      </w:r>
      <w:bookmarkEnd w:id="66"/>
    </w:p>
    <w:p>
      <w:r>
        <w:rPr>
          <w:b w:val="0"/>
          <w:i w:val="0"/>
        </w:rPr>
        <w:t>We will pay your defence costs and any insurable regulatory penalty arising from a regulatory proceeding first brought against you during the policy period in connection with a data breach.</w:t>
      </w:r>
    </w:p>
    <w:p>
      <w:bookmarkStart w:id="67" w:name="c_tl_cover_pci_dss_liability"/>
      <w:r>
        <w:rPr>
          <w:rFonts w:ascii="Georgia" w:hAnsi="Georgia" w:eastAsia="Georgia"/>
          <w:b/>
          <w:i w:val="0"/>
          <w:color w:val="2E5C4E"/>
          <w:sz w:val="25"/>
        </w:rPr>
        <w:t>PCI DSS Liability</w:t>
      </w:r>
      <w:bookmarkEnd w:id="67"/>
    </w:p>
    <w:p>
      <w:r>
        <w:rPr>
          <w:b w:val="0"/>
          <w:i w:val="0"/>
        </w:rPr>
        <w:t>We will pay PCI DSS fines you are liable to pay and reasonable legal costs in dealing with a PCI DSS investigation arising from a data breach.</w:t>
      </w:r>
    </w:p>
    <w:p>
      <w:bookmarkStart w:id="68" w:name="c_tl_ext_hardware_replacement"/>
      <w:r>
        <w:rPr>
          <w:rFonts w:ascii="Georgia" w:hAnsi="Georgia" w:eastAsia="Georgia"/>
          <w:b/>
          <w:i w:val="0"/>
          <w:color w:val="2E5C4E"/>
          <w:sz w:val="25"/>
        </w:rPr>
        <w:t>Hardware Replacement</w:t>
      </w:r>
      <w:bookmarkEnd w:id="68"/>
    </w:p>
    <w:p>
      <w:r>
        <w:rPr>
          <w:b w:val="0"/>
          <w:i w:val="0"/>
        </w:rPr>
        <w:t>Reasonable costs to replace hardware that cannot function due to corruption or destruction of software/firmware from a cyber security breach. Does not include operational technology. Sub-limit: as shown in the schedule.</w:t>
      </w:r>
    </w:p>
    <w:p>
      <w:bookmarkStart w:id="69" w:name="c_tl_ext_reputational_harm"/>
      <w:r>
        <w:rPr>
          <w:rFonts w:ascii="Georgia" w:hAnsi="Georgia" w:eastAsia="Georgia"/>
          <w:b/>
          <w:i w:val="0"/>
          <w:color w:val="2E5C4E"/>
          <w:sz w:val="25"/>
        </w:rPr>
        <w:t>Reputational Harm</w:t>
      </w:r>
      <w:bookmarkEnd w:id="69"/>
    </w:p>
    <w:p>
      <w:r>
        <w:rPr>
          <w:b w:val="0"/>
          <w:i w:val="0"/>
        </w:rPr>
        <w:t>Loss of gross profit within the indemnity period resulting from reputational damage caused by a public allegation that you failed to prevent a cyber security breach or data breach. Sub-limit: as shown in the schedule.</w:t>
      </w:r>
    </w:p>
    <w:p>
      <w:bookmarkStart w:id="70" w:name="c_tl_ext_cyber_crime"/>
      <w:r>
        <w:rPr>
          <w:rFonts w:ascii="Georgia" w:hAnsi="Georgia" w:eastAsia="Georgia"/>
          <w:b/>
          <w:i w:val="0"/>
          <w:color w:val="2E5C4E"/>
          <w:sz w:val="25"/>
        </w:rPr>
        <w:t>Cyber Crime</w:t>
      </w:r>
      <w:bookmarkEnd w:id="70"/>
    </w:p>
    <w:p>
      <w:r>
        <w:rPr>
          <w:b w:val="0"/>
          <w:i w:val="0"/>
        </w:rPr>
        <w:t>Reimbursement for direct financial loss from: (a) unauthorised electronic funds transfer; (b) unauthorised invoice manipulation; (c) impersonation-based requests for transfer of money, securities, data, or property. Sub-limit: as shown in the schedule.</w:t>
      </w:r>
    </w:p>
    <w:p>
      <w:r>
        <w:rPr>
          <w:b w:val="0"/>
          <w:i w:val="0"/>
        </w:rPr>
        <w:t xml:space="preserve">*Underwriting note (not operative text): funds-transfer fraud and impersonation-based cover of this kind is conventionally sub-limited well below the the </w:t>
      </w:r>
      <w:hyperlink w:anchor="c_tl_section_cyber">
        <w:r>
          <w:rPr>
            <w:color w:val="2E5C4E"/>
            <w:u w:val="single"/>
          </w:rPr>
          <w:t xml:space="preserve">Cyber Protection</w:t>
        </w:r>
      </w:hyperlink>
      <w:r>
        <w:rPr>
          <w:b w:val="0"/>
          <w:i w:val="0"/>
        </w:rPr>
        <w:t xml:space="preserve"> section aggregate limit across the Australian cyber market. The schedule default for the Cyber Crime sub-limit should reflect that market practice; setting the actual figure is an underwriting decision outside the scope of this remediation (see change register, M5).*</w:t>
      </w:r>
    </w:p>
    <w:p>
      <w:bookmarkStart w:id="71" w:name="c_tl_section_liability"/>
      <w:r>
        <w:rPr>
          <w:rFonts w:ascii="Georgia" w:hAnsi="Georgia" w:eastAsia="Georgia"/>
          <w:b/>
          <w:i w:val="0"/>
          <w:color w:val="1C1915"/>
          <w:sz w:val="32"/>
        </w:rPr>
        <w:t>Public and Products Liability</w:t>
      </w:r>
      <w:bookmarkEnd w:id="71"/>
    </w:p>
    <w:p>
      <w:r>
        <w:rPr>
          <w:b w:val="0"/>
          <w:i w:val="0"/>
        </w:rPr>
        <w:t>This section operates on an occurrence basis.</w:t>
      </w:r>
    </w:p>
    <w:p>
      <w:bookmarkStart w:id="72" w:name="c_tl_cover_public_liability"/>
      <w:r>
        <w:rPr>
          <w:rFonts w:ascii="Georgia" w:hAnsi="Georgia" w:eastAsia="Georgia"/>
          <w:b/>
          <w:i w:val="0"/>
          <w:color w:val="2E5C4E"/>
          <w:sz w:val="25"/>
        </w:rPr>
        <w:t>Public Liability</w:t>
      </w:r>
      <w:bookmarkEnd w:id="72"/>
    </w:p>
    <w:p>
      <w:r>
        <w:rPr>
          <w:b w:val="0"/>
          <w:i w:val="0"/>
        </w:rPr>
        <w:t>We will pay your loss from a claim for personal injury or property damage (excluding product injury) that first happens during the policy period and is caused by an occurrence in connection with your business.</w:t>
      </w:r>
    </w:p>
    <w:p>
      <w:bookmarkStart w:id="73" w:name="c_tl_cover_products_liability"/>
      <w:r>
        <w:rPr>
          <w:rFonts w:ascii="Georgia" w:hAnsi="Georgia" w:eastAsia="Georgia"/>
          <w:b/>
          <w:i w:val="0"/>
          <w:color w:val="2E5C4E"/>
          <w:sz w:val="25"/>
        </w:rPr>
        <w:t>Products Liability</w:t>
      </w:r>
      <w:bookmarkEnd w:id="73"/>
    </w:p>
    <w:p>
      <w:r>
        <w:rPr>
          <w:b w:val="0"/>
          <w:i w:val="0"/>
        </w:rPr>
        <w:t>We will pay your loss from a claim for product injury that first happens during the policy period and is caused by an occurrence in connection with your business.</w:t>
      </w:r>
    </w:p>
    <w:p>
      <w:bookmarkStart w:id="74" w:name="c_tl_ext_product_recall_expenses"/>
      <w:r>
        <w:rPr>
          <w:rFonts w:ascii="Georgia" w:hAnsi="Georgia" w:eastAsia="Georgia"/>
          <w:b/>
          <w:i w:val="0"/>
          <w:color w:val="2E5C4E"/>
          <w:sz w:val="25"/>
        </w:rPr>
        <w:t>Product Recall Expenses</w:t>
      </w:r>
      <w:bookmarkEnd w:id="74"/>
    </w:p>
    <w:p>
      <w:r>
        <w:rPr>
          <w:b w:val="0"/>
          <w:i w:val="0"/>
        </w:rPr>
        <w:t>Notwithstanding the product recall exclusion, we will pay reasonable recall costs where technology products have caused or are reasonably likely to cause personal injury or property damage due to: (a) the accidental omission of a component during manufacture; (b) the accidental inclusion of a harmful or contaminating substance; (c) an accidental labelling error; or (d) any other defect arising in design or manufacture. Sub-limit: as shown in the schedule.</w:t>
      </w:r>
    </w:p>
    <w:p>
      <w:bookmarkStart w:id="75" w:name="c_tl_ext_third_party_indemnities"/>
      <w:r>
        <w:rPr>
          <w:rFonts w:ascii="Georgia" w:hAnsi="Georgia" w:eastAsia="Georgia"/>
          <w:b/>
          <w:i w:val="0"/>
          <w:color w:val="2E5C4E"/>
          <w:sz w:val="25"/>
        </w:rPr>
        <w:t>Third-Party Indemnities</w:t>
      </w:r>
      <w:bookmarkEnd w:id="75"/>
    </w:p>
    <w:p>
      <w:r>
        <w:rPr>
          <w:b w:val="0"/>
          <w:i w:val="0"/>
        </w:rPr>
        <w:t>We will indemnify parties to whom you provide technology products/services, lessors of equipment or premises, and vendors — where you have contractually agreed to indemnify them, and we would have been liable if the same claim had been made against you.</w:t>
      </w:r>
    </w:p>
    <w:p>
      <w:bookmarkStart w:id="76" w:name="c_tl_ext_physical_and_legal_control"/>
      <w:r>
        <w:rPr>
          <w:rFonts w:ascii="Georgia" w:hAnsi="Georgia" w:eastAsia="Georgia"/>
          <w:b/>
          <w:i w:val="0"/>
          <w:color w:val="2E5C4E"/>
          <w:sz w:val="25"/>
        </w:rPr>
        <w:t>Physical and Legal Control</w:t>
      </w:r>
      <w:bookmarkEnd w:id="76"/>
    </w:p>
    <w:p>
      <w:r>
        <w:rPr>
          <w:b w:val="0"/>
          <w:i w:val="0"/>
        </w:rPr>
        <w:t>Notwithstanding the property-in-control exclusion, we cover property damage to: (a) premises you lease or rent, and their contents; (b) premises you temporarily occupy to carry out work; (c) the personal property of your insured persons; (d) vehicles left in a car park you operate, other than a car park you run for a fee; or (e) other property temporarily in your physical control, sub-limited as shown in the schedule.</w:t>
      </w:r>
    </w:p>
    <w:p>
      <w:bookmarkStart w:id="77" w:name="c_tl_ext_harm_response_expenses"/>
      <w:r>
        <w:rPr>
          <w:rFonts w:ascii="Georgia" w:hAnsi="Georgia" w:eastAsia="Georgia"/>
          <w:b/>
          <w:i w:val="0"/>
          <w:color w:val="2E5C4E"/>
          <w:sz w:val="25"/>
        </w:rPr>
        <w:t>Harm Response Expenses</w:t>
      </w:r>
      <w:bookmarkEnd w:id="77"/>
    </w:p>
    <w:p>
      <w:r>
        <w:rPr>
          <w:b w:val="0"/>
          <w:i w:val="0"/>
        </w:rPr>
        <w:t>Reasonable costs for first aid, making property safe, communications to prevent further injury/damage, and additional staff costs — incurred during the policy period as a result of a covered occurrence.</w:t>
      </w:r>
    </w:p>
    <w:p>
      <w:bookmarkStart w:id="78" w:name="c_tl_ext_cross_liability"/>
      <w:r>
        <w:rPr>
          <w:rFonts w:ascii="Georgia" w:hAnsi="Georgia" w:eastAsia="Georgia"/>
          <w:b/>
          <w:i w:val="0"/>
          <w:color w:val="2E5C4E"/>
          <w:sz w:val="25"/>
        </w:rPr>
        <w:t>Cross Liability</w:t>
      </w:r>
      <w:bookmarkEnd w:id="78"/>
    </w:p>
    <w:p>
      <w:r>
        <w:rPr>
          <w:b w:val="0"/>
          <w:i w:val="0"/>
        </w:rPr>
        <w:t>Each insured is treated as a separate entity. Does not increase the limit of liability.</w:t>
      </w:r>
    </w:p>
    <w:p>
      <w:bookmarkStart w:id="79" w:name="c_tl_ext_cyber_liability"/>
      <w:r>
        <w:rPr>
          <w:rFonts w:ascii="Georgia" w:hAnsi="Georgia" w:eastAsia="Georgia"/>
          <w:b/>
          <w:i w:val="0"/>
          <w:color w:val="2E5C4E"/>
          <w:sz w:val="25"/>
        </w:rPr>
        <w:t>Cyber Liability</w:t>
      </w:r>
      <w:bookmarkEnd w:id="79"/>
    </w:p>
    <w:p>
      <w:r>
        <w:rPr>
          <w:b w:val="0"/>
          <w:i w:val="0"/>
        </w:rPr>
        <w:t>Notwithstanding the cyber exclusion, we cover personal injury or property damage caused by an occurrence arising from: (a) a cyber security breach; (b) your technology products transmitting malicious code. Sub-limit: as shown in the schedule.</w:t>
      </w:r>
    </w:p>
    <w:p>
      <w:r>
        <w:rPr>
          <w:b w:val="0"/>
          <w:i w:val="0"/>
        </w:rPr>
        <w:t xml:space="preserve">This extension ensures physical harm from a cyber event is covered under the occurrence-based liability section, not the claims-made cyber section — the correct trigger for bodily injury claims. Amounts payable under this extension are loss (the </w:t>
      </w:r>
      <w:hyperlink w:anchor="c_tl_section_liability">
        <w:r>
          <w:rPr>
            <w:color w:val="2E5C4E"/>
            <w:u w:val="single"/>
          </w:rPr>
          <w:t xml:space="preserve">Public and Products Liability</w:t>
        </w:r>
      </w:hyperlink>
      <w:r>
        <w:rPr>
          <w:b w:val="0"/>
          <w:i w:val="0"/>
        </w:rPr>
        <w:t xml:space="preserve"> section), not cyber loss — see the Cyber loss definition.</w:t>
      </w:r>
    </w:p>
    <w:p>
      <w:bookmarkStart w:id="80" w:name="c_tl_section_all_sections"/>
      <w:r>
        <w:rPr>
          <w:rFonts w:ascii="Georgia" w:hAnsi="Georgia" w:eastAsia="Georgia"/>
          <w:b/>
          <w:i w:val="0"/>
          <w:color w:val="1C1915"/>
          <w:sz w:val="32"/>
        </w:rPr>
        <w:t>Extensions Applicable to All Sections</w:t>
      </w:r>
      <w:bookmarkEnd w:id="80"/>
    </w:p>
    <w:p>
      <w:bookmarkStart w:id="81" w:name="c_tl_ext_advancement_of_defence_costs"/>
      <w:r>
        <w:rPr>
          <w:rFonts w:ascii="Georgia" w:hAnsi="Georgia" w:eastAsia="Georgia"/>
          <w:b/>
          <w:i w:val="0"/>
          <w:color w:val="2E5C4E"/>
          <w:sz w:val="25"/>
        </w:rPr>
        <w:t>Advancement of Defence Costs</w:t>
      </w:r>
      <w:bookmarkEnd w:id="81"/>
    </w:p>
    <w:p>
      <w:r>
        <w:rPr>
          <w:b w:val="0"/>
          <w:i w:val="0"/>
        </w:rPr>
        <w:t>If you notify us of a claim or inquiry, we will advance defence costs (after erosion of the retention) before we determine whether the policy responds — provided you use a lawyer on our legal panel. You must repay any defence costs later determined, by final adjudication (as defined) or otherwise, not to be covered. Sub-limit: as shown in the schedule.</w:t>
      </w:r>
    </w:p>
    <w:p>
      <w:bookmarkStart w:id="82" w:name="c_tl_ext_claims_preparation"/>
      <w:r>
        <w:rPr>
          <w:rFonts w:ascii="Georgia" w:hAnsi="Georgia" w:eastAsia="Georgia"/>
          <w:b/>
          <w:i w:val="0"/>
          <w:color w:val="2E5C4E"/>
          <w:sz w:val="25"/>
        </w:rPr>
        <w:t>Claims Preparation</w:t>
      </w:r>
      <w:bookmarkEnd w:id="82"/>
    </w:p>
    <w:p>
      <w:r>
        <w:rPr>
          <w:b w:val="0"/>
          <w:i w:val="0"/>
        </w:rPr>
        <w:t>We will pay the reasonable costs of qualified professionals you retain to produce and certify information supporting your loss claim. Sub-limit: as shown in the schedule.</w:t>
      </w:r>
    </w:p>
    <w:p>
      <w:bookmarkStart w:id="83" w:name="c_tl_ext_continuous_cover"/>
      <w:r>
        <w:rPr>
          <w:rFonts w:ascii="Georgia" w:hAnsi="Georgia" w:eastAsia="Georgia"/>
          <w:b/>
          <w:i w:val="0"/>
          <w:color w:val="2E5C4E"/>
          <w:sz w:val="25"/>
        </w:rPr>
        <w:t>Continuous Cover</w:t>
      </w:r>
      <w:bookmarkEnd w:id="83"/>
    </w:p>
    <w:p>
      <w:r>
        <w:rPr>
          <w:b w:val="0"/>
          <w:i w:val="0"/>
        </w:rPr>
        <w:t xml:space="preserve">Applies to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and the Cyber Liability Extension of the </w:t>
      </w:r>
      <w:hyperlink w:anchor="c_tl_section_liability">
        <w:r>
          <w:rPr>
            <w:color w:val="2E5C4E"/>
            <w:u w:val="single"/>
          </w:rPr>
          <w:t xml:space="preserve">Public and Products Liability</w:t>
        </w:r>
      </w:hyperlink>
      <w:r>
        <w:rPr>
          <w:b w:val="0"/>
          <w:i w:val="0"/>
        </w:rPr>
        <w:t xml:space="preserve"> section only.</w:t>
      </w:r>
    </w:p>
    <w:p>
      <w:r>
        <w:rPr>
          <w:b w:val="0"/>
          <w:i w:val="0"/>
        </w:rPr>
        <w:t xml:space="preserve">Notwithstanding the prior/pending exclusion, we will cover a claim arising from facts or circumstances that should have been notified before this policy period but were not — provided: (a) you have been continuously insured by us since the facts arose, or you first became aware of them after the continuity date (as defined); (b) your failure to notify was not deliberate or fraudulent; (c) the claim is subject to the terms in force when you first became aware, </w:t>
      </w:r>
      <w:r>
        <w:rPr>
          <w:b/>
          <w:i w:val="0"/>
        </w:rPr>
        <w:t>and our liability is capped at the lower of: (i) the limit of liability in force when you first became aware of the facts or circumstances; and (ii) the limit of liability in force under this policy at the time the claim is made</w:t>
      </w:r>
      <w:r>
        <w:rPr>
          <w:b w:val="0"/>
          <w:i w:val="0"/>
        </w:rPr>
        <w:t>; (d) our liability is reduced to the extent of any prejudice from late notification.</w:t>
      </w:r>
    </w:p>
    <w:p>
      <w:bookmarkStart w:id="84" w:name="c_tl_ext_contractual_liability"/>
      <w:r>
        <w:rPr>
          <w:rFonts w:ascii="Georgia" w:hAnsi="Georgia" w:eastAsia="Georgia"/>
          <w:b/>
          <w:i w:val="0"/>
          <w:color w:val="2E5C4E"/>
          <w:sz w:val="25"/>
        </w:rPr>
        <w:t>Contractual Liability</w:t>
      </w:r>
      <w:bookmarkEnd w:id="84"/>
    </w:p>
    <w:p>
      <w:r>
        <w:rPr>
          <w:b w:val="0"/>
          <w:i w:val="0"/>
        </w:rPr>
        <w:t>Notwithstanding the contractual liability exclusion, we will cover your liability arising from:</w:t>
      </w:r>
    </w:p>
    <w:p>
      <w:r>
        <w:rPr>
          <w:b w:val="0"/>
          <w:i w:val="0"/>
        </w:rPr>
        <w:t>(a) Liquidated damages — provided they are a fair and reasonable estimate of damages at law;</w:t>
      </w:r>
    </w:p>
    <w:p>
      <w:r>
        <w:rPr>
          <w:b w:val="0"/>
          <w:i w:val="0"/>
        </w:rPr>
        <w:t>(b) Client indemnities — any indemnity or hold harmless directly relating to your technology products or technology services;</w:t>
      </w:r>
    </w:p>
    <w:p>
      <w:r>
        <w:rPr>
          <w:b w:val="0"/>
          <w:i w:val="0"/>
        </w:rPr>
        <w:t>(c) Common law liability — any guarantee, warranty, or liability you would have had without the contract;</w:t>
      </w:r>
    </w:p>
    <w:p>
      <w:r>
        <w:rPr>
          <w:b w:val="0"/>
          <w:i w:val="0"/>
        </w:rPr>
        <w:t>(d) Fitness for purpose — any implied warranty or statutory term requiring your products/services to be fit for purpose and meet a standard of quality, safety, or fitness;</w:t>
      </w:r>
    </w:p>
    <w:p>
      <w:r>
        <w:rPr>
          <w:b w:val="0"/>
          <w:i w:val="0"/>
        </w:rPr>
        <w:t xml:space="preserve">(e) PCI DSS — (the </w:t>
      </w:r>
      <w:hyperlink w:anchor="c_tl_section_cyber">
        <w:r>
          <w:rPr>
            <w:color w:val="2E5C4E"/>
            <w:u w:val="single"/>
          </w:rPr>
          <w:t xml:space="preserve">Cyber Protection</w:t>
        </w:r>
      </w:hyperlink>
      <w:r>
        <w:rPr>
          <w:b w:val="0"/>
          <w:i w:val="0"/>
        </w:rPr>
        <w:t xml:space="preserve"> section only) liability from a data breach or cyber security breach under a PCI DSS agreement;</w:t>
      </w:r>
    </w:p>
    <w:p>
      <w:r>
        <w:rPr>
          <w:b w:val="0"/>
          <w:i w:val="0"/>
        </w:rPr>
        <w:t xml:space="preserve">(f) Lease agreements — (the </w:t>
      </w:r>
      <w:hyperlink w:anchor="c_tl_section_liability">
        <w:r>
          <w:rPr>
            <w:color w:val="2E5C4E"/>
            <w:u w:val="single"/>
          </w:rPr>
          <w:t xml:space="preserve">Public and Products Liability</w:t>
        </w:r>
      </w:hyperlink>
      <w:r>
        <w:rPr>
          <w:b w:val="0"/>
          <w:i w:val="0"/>
        </w:rPr>
        <w:t xml:space="preserve"> section only) provisions in a lease for real or personal property.</w:t>
      </w:r>
    </w:p>
    <w:p>
      <w:r>
        <w:rPr>
          <w:b w:val="0"/>
          <w:i w:val="0"/>
        </w:rPr>
        <w:t xml:space="preserve">Items (a) to (c) require the agreement to be in a written contract signed before the claim was made. </w:t>
      </w:r>
      <w:r>
        <w:rPr>
          <w:b/>
          <w:i w:val="0"/>
        </w:rPr>
        <w:t>Item (d) is not subject to that requirement — the fitness-for-purpose write-back is deliberately excluded from the written-contract proviso because the underlying consumer guarantees are non-excludable by contract form under the Australian Consumer Law / Competition and Consumer Act 2010 (Cth); preserved on remediation.</w:t>
      </w:r>
    </w:p>
    <w:p>
      <w:r>
        <w:rPr>
          <w:b w:val="0"/>
          <w:i w:val="0"/>
        </w:rPr>
        <w:t xml:space="preserve">*WORKED EXAMPLE — CONTRACTUAL LIABILITY. You provide cloud hosting services to a client. Your contract includes a service level agreement (SLA) with a 99.9% uptime guarantee and liquidated damages of $5,000 per hour of downtime exceeding the SLA threshold. Your systems suffer an unplanned outage of 48 hours due to a software bug. The client claims $240,000 in liquidated damages under the SLA. This policy covers the liquidated damages claim under </w:t>
      </w:r>
      <w:hyperlink w:anchor="c_tl_ext_contractual_liability">
        <w:r>
          <w:rPr>
            <w:color w:val="2E5C4E"/>
            <w:u w:val="single"/>
          </w:rPr>
          <w:t xml:space="preserve">the Contractual Liability extension</w:t>
        </w:r>
      </w:hyperlink>
      <w:r>
        <w:rPr>
          <w:b w:val="0"/>
          <w:i w:val="0"/>
        </w:rPr>
        <w:t xml:space="preserve"> paragraph (a) — provided the $5,000/hour rate was a fair and reasonable estimate of the client's likely loss when the contract was signed. If the rate was a genuine pre-estimate (not a penalty), it's covered. If it was punitive, it's not.*</w:t>
      </w:r>
    </w:p>
    <w:p>
      <w:bookmarkStart w:id="85" w:name="c_tl_ext_court_attendance_costs"/>
      <w:r>
        <w:rPr>
          <w:rFonts w:ascii="Georgia" w:hAnsi="Georgia" w:eastAsia="Georgia"/>
          <w:b/>
          <w:i w:val="0"/>
          <w:color w:val="2E5C4E"/>
          <w:sz w:val="25"/>
        </w:rPr>
        <w:t>Court Attendance Costs</w:t>
      </w:r>
      <w:bookmarkEnd w:id="85"/>
    </w:p>
    <w:p>
      <w:r>
        <w:rPr>
          <w:b w:val="0"/>
          <w:i w:val="0"/>
        </w:rPr>
        <w:t>We will pay the amounts shown in the schedule per day for each insured person who attends court as a witness in a covered claim or inquiry. No retention applies.</w:t>
      </w:r>
    </w:p>
    <w:p>
      <w:bookmarkStart w:id="86" w:name="c_tl_ext_extended_reporting_period"/>
      <w:r>
        <w:rPr>
          <w:rFonts w:ascii="Georgia" w:hAnsi="Georgia" w:eastAsia="Georgia"/>
          <w:b/>
          <w:i w:val="0"/>
          <w:color w:val="2E5C4E"/>
          <w:sz w:val="25"/>
        </w:rPr>
        <w:t>Extended Reporting Period</w:t>
      </w:r>
      <w:bookmarkEnd w:id="86"/>
    </w:p>
    <w:p>
      <w:r>
        <w:rPr>
          <w:b w:val="0"/>
          <w:i w:val="0"/>
        </w:rPr>
        <w:t xml:space="preserve">Applies to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only.</w:t>
      </w:r>
    </w:p>
    <w:p>
      <w:r>
        <w:rPr>
          <w:b w:val="0"/>
          <w:i w:val="0"/>
        </w:rPr>
        <w:t xml:space="preserve">If this policy expires without being renewed or replaced, </w:t>
      </w:r>
      <w:r>
        <w:rPr>
          <w:b/>
          <w:i w:val="0"/>
        </w:rPr>
        <w:t>or is cancelled by you or by us</w:t>
      </w:r>
      <w:r>
        <w:rPr>
          <w:b w:val="0"/>
          <w:i w:val="0"/>
        </w:rPr>
        <w:t xml:space="preserve">, we will automatically cover claims first made within the automatic extended reporting period shown in the schedule (or, if not shown, </w:t>
      </w:r>
      <w:r>
        <w:rPr>
          <w:b/>
          <w:i w:val="0"/>
        </w:rPr>
        <w:t>90 days</w:t>
      </w:r>
      <w:r>
        <w:rPr>
          <w:b w:val="0"/>
          <w:i w:val="0"/>
        </w:rPr>
        <w:t xml:space="preserve">) after the date of expiry or cancellation — provided the claim arises from acts before that date. This benefit ceases if you obtain replacement cover. </w:t>
      </w:r>
      <w:r>
        <w:rPr>
          <w:b/>
          <w:i w:val="0"/>
        </w:rPr>
        <w:t>A longer extended reporting period may be purchased by endorsement, for the period and additional premium shown in the schedule.</w:t>
      </w:r>
    </w:p>
    <w:p>
      <w:bookmarkStart w:id="87" w:name="c_tl_ext_inquiry_costs"/>
      <w:r>
        <w:rPr>
          <w:rFonts w:ascii="Georgia" w:hAnsi="Georgia" w:eastAsia="Georgia"/>
          <w:b/>
          <w:i w:val="0"/>
          <w:color w:val="2E5C4E"/>
          <w:sz w:val="25"/>
        </w:rPr>
        <w:t>Inquiry Costs</w:t>
      </w:r>
      <w:bookmarkEnd w:id="87"/>
    </w:p>
    <w:p>
      <w:r>
        <w:rPr>
          <w:b w:val="0"/>
          <w:i w:val="0"/>
        </w:rPr>
        <w:t>We will pay your reasonable legal costs to respond to or attend any inquiry (investigation, examination, or inquiry by a body with legal authority) where you are first served during the policy period. Does not include routine supervision, compliance audits, or industry-wide inquiries. Sub-limit: as shown in the schedule.</w:t>
      </w:r>
    </w:p>
    <w:p>
      <w:bookmarkStart w:id="88" w:name="c_tl_ext_joint_venture_liability"/>
      <w:r>
        <w:rPr>
          <w:rFonts w:ascii="Georgia" w:hAnsi="Georgia" w:eastAsia="Georgia"/>
          <w:b/>
          <w:i w:val="0"/>
          <w:color w:val="2E5C4E"/>
          <w:sz w:val="25"/>
        </w:rPr>
        <w:t>Joint Venture Liability</w:t>
      </w:r>
      <w:bookmarkEnd w:id="88"/>
    </w:p>
    <w:p>
      <w:r>
        <w:rPr>
          <w:b w:val="0"/>
          <w:i w:val="0"/>
        </w:rPr>
        <w:t>We will cover claims arising from your participation in a joint venture (as defined) that provides the same technology products or technology services as you — provided the joint venture was disclosed to us before inception. Cover is limited to your stated percentage interest or share of the joint venture. No cover for joint venture partners.</w:t>
      </w:r>
    </w:p>
    <w:p>
      <w:bookmarkStart w:id="89" w:name="c_tl_ext_media_and_advertising_liability"/>
      <w:r>
        <w:rPr>
          <w:rFonts w:ascii="Georgia" w:hAnsi="Georgia" w:eastAsia="Georgia"/>
          <w:b/>
          <w:i w:val="0"/>
          <w:color w:val="2E5C4E"/>
          <w:sz w:val="25"/>
        </w:rPr>
        <w:t>Media and Advertising Liability</w:t>
      </w:r>
      <w:bookmarkEnd w:id="89"/>
    </w:p>
    <w:p>
      <w:r>
        <w:rPr>
          <w:b w:val="0"/>
          <w:i w:val="0"/>
        </w:rPr>
        <w:t>Notwithstanding the media liability exclusion, we will cover claims for unintentional: (a) defamation; (b) plagiarism; (c) copyright infringement or trademark dilution; (d) improper deep-linking, framing, or web scraping; (e) violation of privacy rights — arising from your technology products, technology services, advertising, a data breach, or a cyber security breach. Sub-limit: as shown in the schedule.</w:t>
      </w:r>
    </w:p>
    <w:p>
      <w:bookmarkStart w:id="90" w:name="c_tl_ext_newly_created_or_acquired_subsi"/>
      <w:r>
        <w:rPr>
          <w:rFonts w:ascii="Georgia" w:hAnsi="Georgia" w:eastAsia="Georgia"/>
          <w:b/>
          <w:i w:val="0"/>
          <w:color w:val="2E5C4E"/>
          <w:sz w:val="25"/>
        </w:rPr>
        <w:t>Newly Created or Acquired Subsidiaries</w:t>
      </w:r>
      <w:bookmarkEnd w:id="90"/>
    </w:p>
    <w:p>
      <w:r>
        <w:rPr>
          <w:b w:val="0"/>
          <w:i w:val="0"/>
        </w:rPr>
        <w:t>We will cover new subsidiaries created or acquired during the policy period — provided their revenue does not exceed 15% of yours. Retroactive date is the date of acquisition. Must provide the same technology products/services as you.</w:t>
      </w:r>
    </w:p>
    <w:p>
      <w:bookmarkStart w:id="91" w:name="c_tl_ext_public_relations_expenses"/>
      <w:r>
        <w:rPr>
          <w:rFonts w:ascii="Georgia" w:hAnsi="Georgia" w:eastAsia="Georgia"/>
          <w:b/>
          <w:i w:val="0"/>
          <w:color w:val="2E5C4E"/>
          <w:sz w:val="25"/>
        </w:rPr>
        <w:t>Public Relations Expenses</w:t>
      </w:r>
      <w:bookmarkEnd w:id="91"/>
    </w:p>
    <w:p>
      <w:r>
        <w:rPr>
          <w:b w:val="0"/>
          <w:i w:val="0"/>
        </w:rPr>
        <w:t>Reasonable costs of a PR consultant to protect your reputation following a covered claim or an allegation likely to result in a covered claim. Sub-limit: as shown in the schedule.</w:t>
      </w:r>
    </w:p>
    <w:p>
      <w:bookmarkStart w:id="92" w:name="c_tl_ext_run_off"/>
      <w:r>
        <w:rPr>
          <w:rFonts w:ascii="Georgia" w:hAnsi="Georgia" w:eastAsia="Georgia"/>
          <w:b/>
          <w:i w:val="0"/>
          <w:color w:val="2E5C4E"/>
          <w:sz w:val="25"/>
        </w:rPr>
        <w:t>Run-Off</w:t>
      </w:r>
      <w:bookmarkEnd w:id="92"/>
    </w:p>
    <w:p>
      <w:r>
        <w:rPr>
          <w:b w:val="0"/>
          <w:i w:val="0"/>
        </w:rPr>
        <w:t xml:space="preserve">Applies to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only.</w:t>
      </w:r>
    </w:p>
    <w:p>
      <w:r>
        <w:rPr>
          <w:b w:val="0"/>
          <w:i w:val="0"/>
        </w:rPr>
        <w:t xml:space="preserve">If you cease to exist, operate, or are acquired, this policy continues to expiry — but only for claims arising from technology products/services provided before the cessation or acquisition. **This extension is subject to, and does not limit, </w:t>
      </w:r>
      <w:hyperlink w:anchor="c_tl_cond_mergers_and_consolidations">
        <w:r>
          <w:rPr>
            <w:color w:val="2E5C4E"/>
            <w:u w:val="single"/>
          </w:rPr>
          <w:t xml:space="preserve">the Mergers and Consolidations condition</w:t>
        </w:r>
      </w:hyperlink>
      <w:r>
        <w:rPr>
          <w:b w:val="0"/>
          <w:i w:val="0"/>
        </w:rPr>
        <w:t xml:space="preserve">; where the same event triggers both provisions, </w:t>
      </w:r>
      <w:hyperlink w:anchor="c_tl_cond_mergers_and_consolidations">
        <w:r>
          <w:rPr>
            <w:color w:val="2E5C4E"/>
            <w:u w:val="single"/>
          </w:rPr>
          <w:t xml:space="preserve">the Mergers and Consolidations condition</w:t>
        </w:r>
      </w:hyperlink>
      <w:r>
        <w:rPr>
          <w:b w:val="0"/>
          <w:i w:val="0"/>
        </w:rPr>
        <w:t xml:space="preserve"> governs the scope of continued cover for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w:t>
      </w:r>
    </w:p>
    <w:p>
      <w:bookmarkStart w:id="93" w:name="c_tl_ext_severability"/>
      <w:r>
        <w:rPr>
          <w:rFonts w:ascii="Georgia" w:hAnsi="Georgia" w:eastAsia="Georgia"/>
          <w:b/>
          <w:i w:val="0"/>
          <w:color w:val="2E5C4E"/>
          <w:sz w:val="25"/>
        </w:rPr>
        <w:t>Severability and Non-Imputation and Innocent Non-Disclosure</w:t>
      </w:r>
      <w:bookmarkEnd w:id="93"/>
    </w:p>
    <w:p>
      <w:r>
        <w:rPr>
          <w:b w:val="0"/>
          <w:i w:val="0"/>
        </w:rPr>
        <w:t>Where one insured person failed to disclose or made a misrepresentation, this does not prejudice any other insured person who was not aware of the failure. The conduct of any executive officer is imputed to the entity.</w:t>
      </w:r>
    </w:p>
    <w:p>
      <w:bookmarkStart w:id="94" w:name="c_tl_section_exclusions"/>
      <w:r>
        <w:rPr>
          <w:rFonts w:ascii="Georgia" w:hAnsi="Georgia" w:eastAsia="Georgia"/>
          <w:b/>
          <w:i w:val="0"/>
          <w:color w:val="1C1915"/>
          <w:sz w:val="32"/>
        </w:rPr>
        <w:t>What Is Not Covered</w:t>
      </w:r>
      <w:bookmarkEnd w:id="94"/>
    </w:p>
    <w:p>
      <w:r>
        <w:rPr>
          <w:b/>
          <w:i w:val="0"/>
        </w:rPr>
        <w:t>*Exclusion Applicability Matrix</w:t>
      </w:r>
      <w:r>
        <w:rPr>
          <w:b w:val="0"/>
          <w:i w:val="0"/>
        </w:rPr>
        <w:t>*</w:t>
      </w:r>
    </w:p>
    <w:p>
      <w:r>
        <w:rPr>
          <w:b w:val="0"/>
          <w:i w:val="0"/>
        </w:rPr>
        <w:t>Not all exclusions apply to all sections. Use this table to check which exclusions apply to your sections. "Yes" means the exclusion applies; "No" means it does not. Numbered notes appear below the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b w:val="0"/>
                <w:i w:val="0"/>
              </w:rPr>
              <w:t>Exclusion</w:t>
            </w:r>
          </w:p>
        </w:tc>
        <w:tc>
          <w:tcPr>
            <w:tcW w:type="dxa" w:w="2436"/>
          </w:tcPr>
          <w:p>
            <w:r/>
            <w:r>
              <w:rPr>
                <w:b w:val="0"/>
                <w:i w:val="0"/>
              </w:rPr>
              <w:t>Technology Professional Liability</w:t>
            </w:r>
          </w:p>
        </w:tc>
        <w:tc>
          <w:tcPr>
            <w:tcW w:type="dxa" w:w="2436"/>
          </w:tcPr>
          <w:p>
            <w:r/>
            <w:r>
              <w:rPr>
                <w:b w:val="0"/>
                <w:i w:val="0"/>
              </w:rPr>
              <w:t>Cyber Protection</w:t>
            </w:r>
          </w:p>
        </w:tc>
        <w:tc>
          <w:tcPr>
            <w:tcW w:type="dxa" w:w="2436"/>
          </w:tcPr>
          <w:p>
            <w:r/>
            <w:r>
              <w:rPr>
                <w:b w:val="0"/>
                <w:i w:val="0"/>
              </w:rPr>
              <w:t>Public and Products Liability</w:t>
            </w:r>
          </w:p>
        </w:tc>
      </w:tr>
      <w:tr>
        <w:tc>
          <w:tcPr>
            <w:tcW w:type="dxa" w:w="2436"/>
          </w:tcPr>
          <w:p>
            <w:r/>
            <w:hyperlink w:anchor="c_tl_excl_advertising_liability">
              <w:r>
                <w:rPr>
                  <w:color w:val="2E5C4E"/>
                  <w:u w:val="single"/>
                </w:rPr>
                <w:t xml:space="preserve">The Advertising Liability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aircraft_and_watercraft">
              <w:r>
                <w:rPr>
                  <w:color w:val="2E5C4E"/>
                  <w:u w:val="single"/>
                </w:rPr>
                <w:t xml:space="preserve">The Aircraft and Watercraft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asbestos_and_silica">
              <w:r>
                <w:rPr>
                  <w:color w:val="2E5C4E"/>
                  <w:u w:val="single"/>
                </w:rPr>
                <w:t xml:space="preserve">The Asbestos and Silica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anti_competitive_conduct">
              <w:r>
                <w:rPr>
                  <w:color w:val="2E5C4E"/>
                  <w:u w:val="single"/>
                </w:rPr>
                <w:t xml:space="preserve">The Anti-Competitive Conduct exclusion</w:t>
              </w:r>
            </w:hyperlink>
          </w:p>
        </w:tc>
        <w:tc>
          <w:tcPr>
            <w:tcW w:type="dxa" w:w="2436"/>
          </w:tcPr>
          <w:p>
            <w:r/>
            <w:r>
              <w:rPr>
                <w:b w:val="0"/>
                <w:i w:val="0"/>
              </w:rPr>
              <w:t>Yes</w:t>
            </w:r>
          </w:p>
        </w:tc>
        <w:tc>
          <w:tcPr>
            <w:tcW w:type="dxa" w:w="2436"/>
          </w:tcPr>
          <w:p>
            <w:r/>
            <w:r>
              <w:rPr>
                <w:b w:val="0"/>
                <w:i w:val="0"/>
              </w:rPr>
              <w:t>Yes (1)</w:t>
            </w:r>
          </w:p>
        </w:tc>
        <w:tc>
          <w:tcPr>
            <w:tcW w:type="dxa" w:w="2436"/>
          </w:tcPr>
          <w:p>
            <w:r/>
            <w:r>
              <w:rPr>
                <w:b w:val="0"/>
                <w:i w:val="0"/>
              </w:rPr>
              <w:t>Yes</w:t>
            </w:r>
          </w:p>
        </w:tc>
      </w:tr>
      <w:tr>
        <w:tc>
          <w:tcPr>
            <w:tcW w:type="dxa" w:w="2436"/>
          </w:tcPr>
          <w:p>
            <w:r/>
            <w:hyperlink w:anchor="c_tl_excl_betterment">
              <w:r>
                <w:rPr>
                  <w:color w:val="2E5C4E"/>
                  <w:u w:val="single"/>
                </w:rPr>
                <w:t xml:space="preserve">The Betterment exclusion</w:t>
              </w:r>
            </w:hyperlink>
          </w:p>
        </w:tc>
        <w:tc>
          <w:tcPr>
            <w:tcW w:type="dxa" w:w="2436"/>
          </w:tcPr>
          <w:p>
            <w:r/>
            <w:r>
              <w:rPr>
                <w:b w:val="0"/>
                <w:i w:val="0"/>
              </w:rPr>
              <w:t>No</w:t>
            </w:r>
          </w:p>
        </w:tc>
        <w:tc>
          <w:tcPr>
            <w:tcW w:type="dxa" w:w="2436"/>
          </w:tcPr>
          <w:p>
            <w:r/>
            <w:r>
              <w:rPr>
                <w:b w:val="0"/>
                <w:i w:val="0"/>
              </w:rPr>
              <w:t>Yes</w:t>
            </w:r>
          </w:p>
        </w:tc>
        <w:tc>
          <w:tcPr>
            <w:tcW w:type="dxa" w:w="2436"/>
          </w:tcPr>
          <w:p>
            <w:r/>
            <w:r>
              <w:rPr>
                <w:b w:val="0"/>
                <w:i w:val="0"/>
              </w:rPr>
              <w:t>Yes (2)</w:t>
            </w:r>
          </w:p>
        </w:tc>
      </w:tr>
      <w:tr>
        <w:tc>
          <w:tcPr>
            <w:tcW w:type="dxa" w:w="2436"/>
          </w:tcPr>
          <w:p>
            <w:r/>
            <w:hyperlink w:anchor="c_tl_excl_commercial_decisions">
              <w:r>
                <w:rPr>
                  <w:color w:val="2E5C4E"/>
                  <w:u w:val="single"/>
                </w:rPr>
                <w:t xml:space="preserve">The Commercial Decisions exclusion</w:t>
              </w:r>
            </w:hyperlink>
          </w:p>
        </w:tc>
        <w:tc>
          <w:tcPr>
            <w:tcW w:type="dxa" w:w="2436"/>
          </w:tcPr>
          <w:p>
            <w:r/>
            <w:r>
              <w:rPr>
                <w:b w:val="0"/>
                <w:i w:val="0"/>
              </w:rPr>
              <w:t>Yes</w:t>
            </w:r>
          </w:p>
        </w:tc>
        <w:tc>
          <w:tcPr>
            <w:tcW w:type="dxa" w:w="2436"/>
          </w:tcPr>
          <w:p>
            <w:r/>
            <w:r>
              <w:rPr>
                <w:b w:val="0"/>
                <w:i w:val="0"/>
              </w:rPr>
              <w:t>No</w:t>
            </w:r>
          </w:p>
        </w:tc>
        <w:tc>
          <w:tcPr>
            <w:tcW w:type="dxa" w:w="2436"/>
          </w:tcPr>
          <w:p>
            <w:r/>
            <w:r>
              <w:rPr>
                <w:b w:val="0"/>
                <w:i w:val="0"/>
              </w:rPr>
              <w:t>No</w:t>
            </w:r>
          </w:p>
        </w:tc>
      </w:tr>
      <w:tr>
        <w:tc>
          <w:tcPr>
            <w:tcW w:type="dxa" w:w="2436"/>
          </w:tcPr>
          <w:p>
            <w:r/>
            <w:hyperlink w:anchor="c_tl_excl_communicable_disease">
              <w:r>
                <w:rPr>
                  <w:color w:val="2E5C4E"/>
                  <w:u w:val="single"/>
                </w:rPr>
                <w:t xml:space="preserve">The Communicable Disease exclusion</w:t>
              </w:r>
            </w:hyperlink>
          </w:p>
        </w:tc>
        <w:tc>
          <w:tcPr>
            <w:tcW w:type="dxa" w:w="2436"/>
          </w:tcPr>
          <w:p>
            <w:r/>
            <w:r>
              <w:rPr>
                <w:b w:val="0"/>
                <w:i w:val="0"/>
              </w:rPr>
              <w:t>No</w:t>
            </w:r>
          </w:p>
        </w:tc>
        <w:tc>
          <w:tcPr>
            <w:tcW w:type="dxa" w:w="2436"/>
          </w:tcPr>
          <w:p>
            <w:r/>
            <w:r>
              <w:rPr>
                <w:b w:val="0"/>
                <w:i w:val="0"/>
              </w:rPr>
              <w:t>No</w:t>
            </w:r>
          </w:p>
        </w:tc>
        <w:tc>
          <w:tcPr>
            <w:tcW w:type="dxa" w:w="2436"/>
          </w:tcPr>
          <w:p>
            <w:r/>
            <w:r>
              <w:rPr>
                <w:b w:val="0"/>
                <w:i w:val="0"/>
              </w:rPr>
              <w:t>Yes</w:t>
            </w:r>
          </w:p>
        </w:tc>
      </w:tr>
      <w:tr>
        <w:tc>
          <w:tcPr>
            <w:tcW w:type="dxa" w:w="2436"/>
          </w:tcPr>
          <w:p>
            <w:r/>
            <w:hyperlink w:anchor="c_tl_excl_conduct">
              <w:r>
                <w:rPr>
                  <w:color w:val="2E5C4E"/>
                  <w:u w:val="single"/>
                </w:rPr>
                <w:t xml:space="preserve">The Conduct (Fraud and Dishonesty)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construction">
              <w:r>
                <w:rPr>
                  <w:color w:val="2E5C4E"/>
                  <w:u w:val="single"/>
                </w:rPr>
                <w:t xml:space="preserve">The Construction exclusion</w:t>
              </w:r>
            </w:hyperlink>
          </w:p>
        </w:tc>
        <w:tc>
          <w:tcPr>
            <w:tcW w:type="dxa" w:w="2436"/>
          </w:tcPr>
          <w:p>
            <w:r/>
            <w:r>
              <w:rPr>
                <w:b w:val="0"/>
                <w:i w:val="0"/>
              </w:rPr>
              <w:t>No</w:t>
            </w:r>
          </w:p>
        </w:tc>
        <w:tc>
          <w:tcPr>
            <w:tcW w:type="dxa" w:w="2436"/>
          </w:tcPr>
          <w:p>
            <w:r/>
            <w:r>
              <w:rPr>
                <w:b w:val="0"/>
                <w:i w:val="0"/>
              </w:rPr>
              <w:t>No</w:t>
            </w:r>
          </w:p>
        </w:tc>
        <w:tc>
          <w:tcPr>
            <w:tcW w:type="dxa" w:w="2436"/>
          </w:tcPr>
          <w:p>
            <w:r/>
            <w:r>
              <w:rPr>
                <w:b w:val="0"/>
                <w:i w:val="0"/>
              </w:rPr>
              <w:t>Yes</w:t>
            </w:r>
          </w:p>
        </w:tc>
      </w:tr>
      <w:tr>
        <w:tc>
          <w:tcPr>
            <w:tcW w:type="dxa" w:w="2436"/>
          </w:tcPr>
          <w:p>
            <w:r/>
            <w:hyperlink w:anchor="c_tl_excl_contractual_liability">
              <w:r>
                <w:rPr>
                  <w:color w:val="2E5C4E"/>
                  <w:u w:val="single"/>
                </w:rPr>
                <w:t xml:space="preserve">The Contractual Liability exclusion</w:t>
              </w:r>
            </w:hyperlink>
          </w:p>
        </w:tc>
        <w:tc>
          <w:tcPr>
            <w:tcW w:type="dxa" w:w="2436"/>
          </w:tcPr>
          <w:p>
            <w:r/>
            <w:r>
              <w:rPr>
                <w:b w:val="0"/>
                <w:i w:val="0"/>
              </w:rPr>
              <w:t>Yes (3)</w:t>
            </w:r>
          </w:p>
        </w:tc>
        <w:tc>
          <w:tcPr>
            <w:tcW w:type="dxa" w:w="2436"/>
          </w:tcPr>
          <w:p>
            <w:r/>
            <w:r>
              <w:rPr>
                <w:b w:val="0"/>
                <w:i w:val="0"/>
              </w:rPr>
              <w:t>Yes (3)</w:t>
            </w:r>
          </w:p>
        </w:tc>
        <w:tc>
          <w:tcPr>
            <w:tcW w:type="dxa" w:w="2436"/>
          </w:tcPr>
          <w:p>
            <w:r/>
            <w:r>
              <w:rPr>
                <w:b w:val="0"/>
                <w:i w:val="0"/>
              </w:rPr>
              <w:t>Yes (3)</w:t>
            </w:r>
          </w:p>
        </w:tc>
      </w:tr>
      <w:tr>
        <w:tc>
          <w:tcPr>
            <w:tcW w:type="dxa" w:w="2436"/>
          </w:tcPr>
          <w:p>
            <w:r/>
            <w:hyperlink w:anchor="c_tl_excl_cyber_and_data">
              <w:r>
                <w:rPr>
                  <w:color w:val="2E5C4E"/>
                  <w:u w:val="single"/>
                </w:rPr>
                <w:t xml:space="preserve">The Cyber and Data exclusion</w:t>
              </w:r>
            </w:hyperlink>
          </w:p>
        </w:tc>
        <w:tc>
          <w:tcPr>
            <w:tcW w:type="dxa" w:w="2436"/>
          </w:tcPr>
          <w:p>
            <w:r/>
            <w:r>
              <w:rPr>
                <w:b w:val="0"/>
                <w:i w:val="0"/>
              </w:rPr>
              <w:t>No</w:t>
            </w:r>
          </w:p>
        </w:tc>
        <w:tc>
          <w:tcPr>
            <w:tcW w:type="dxa" w:w="2436"/>
          </w:tcPr>
          <w:p>
            <w:r/>
            <w:r>
              <w:rPr>
                <w:b w:val="0"/>
                <w:i w:val="0"/>
              </w:rPr>
              <w:t>No</w:t>
            </w:r>
          </w:p>
        </w:tc>
        <w:tc>
          <w:tcPr>
            <w:tcW w:type="dxa" w:w="2436"/>
          </w:tcPr>
          <w:p>
            <w:r/>
            <w:r>
              <w:rPr>
                <w:b w:val="0"/>
                <w:i w:val="0"/>
              </w:rPr>
              <w:t>Yes (4)</w:t>
            </w:r>
          </w:p>
        </w:tc>
      </w:tr>
      <w:tr>
        <w:tc>
          <w:tcPr>
            <w:tcW w:type="dxa" w:w="2436"/>
          </w:tcPr>
          <w:p>
            <w:r/>
            <w:hyperlink w:anchor="c_tl_excl_directors_and_officers">
              <w:r>
                <w:rPr>
                  <w:color w:val="2E5C4E"/>
                  <w:u w:val="single"/>
                </w:rPr>
                <w:t xml:space="preserve">The Directors and Officers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No</w:t>
            </w:r>
          </w:p>
        </w:tc>
      </w:tr>
      <w:tr>
        <w:tc>
          <w:tcPr>
            <w:tcW w:type="dxa" w:w="2436"/>
          </w:tcPr>
          <w:p>
            <w:r/>
            <w:hyperlink w:anchor="c_tl_excl_employers_liability">
              <w:r>
                <w:rPr>
                  <w:color w:val="2E5C4E"/>
                  <w:u w:val="single"/>
                </w:rPr>
                <w:t xml:space="preserve">The Employers Liability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fees_or_charges">
              <w:r>
                <w:rPr>
                  <w:color w:val="2E5C4E"/>
                  <w:u w:val="single"/>
                </w:rPr>
                <w:t xml:space="preserve">The Fees or Charges exclusion</w:t>
              </w:r>
            </w:hyperlink>
          </w:p>
        </w:tc>
        <w:tc>
          <w:tcPr>
            <w:tcW w:type="dxa" w:w="2436"/>
          </w:tcPr>
          <w:p>
            <w:r/>
            <w:r>
              <w:rPr>
                <w:b w:val="0"/>
                <w:i w:val="0"/>
              </w:rPr>
              <w:t>Yes (5)</w:t>
            </w:r>
          </w:p>
        </w:tc>
        <w:tc>
          <w:tcPr>
            <w:tcW w:type="dxa" w:w="2436"/>
          </w:tcPr>
          <w:p>
            <w:r/>
            <w:r>
              <w:rPr>
                <w:b w:val="0"/>
                <w:i w:val="0"/>
              </w:rPr>
              <w:t>Yes</w:t>
            </w:r>
          </w:p>
        </w:tc>
        <w:tc>
          <w:tcPr>
            <w:tcW w:type="dxa" w:w="2436"/>
          </w:tcPr>
          <w:p>
            <w:r/>
            <w:r>
              <w:rPr>
                <w:b w:val="0"/>
                <w:i w:val="0"/>
              </w:rPr>
              <w:t>Yes</w:t>
            </w:r>
          </w:p>
        </w:tc>
      </w:tr>
      <w:tr>
        <w:tc>
          <w:tcPr>
            <w:tcW w:type="dxa" w:w="2436"/>
          </w:tcPr>
          <w:p>
            <w:r/>
            <w:hyperlink w:anchor="c_tl_excl_fines_and_penalties">
              <w:r>
                <w:rPr>
                  <w:color w:val="2E5C4E"/>
                  <w:u w:val="single"/>
                </w:rPr>
                <w:t xml:space="preserve">The Fines and Penalties exclusion</w:t>
              </w:r>
            </w:hyperlink>
          </w:p>
        </w:tc>
        <w:tc>
          <w:tcPr>
            <w:tcW w:type="dxa" w:w="2436"/>
          </w:tcPr>
          <w:p>
            <w:r/>
            <w:r>
              <w:rPr>
                <w:b w:val="0"/>
                <w:i w:val="0"/>
              </w:rPr>
              <w:t>Yes (6)</w:t>
            </w:r>
          </w:p>
        </w:tc>
        <w:tc>
          <w:tcPr>
            <w:tcW w:type="dxa" w:w="2436"/>
          </w:tcPr>
          <w:p>
            <w:r/>
            <w:r>
              <w:rPr>
                <w:b w:val="0"/>
                <w:i w:val="0"/>
              </w:rPr>
              <w:t>Yes (6)</w:t>
            </w:r>
          </w:p>
        </w:tc>
        <w:tc>
          <w:tcPr>
            <w:tcW w:type="dxa" w:w="2436"/>
          </w:tcPr>
          <w:p>
            <w:r/>
            <w:r>
              <w:rPr>
                <w:b w:val="0"/>
                <w:i w:val="0"/>
              </w:rPr>
              <w:t>Yes</w:t>
            </w:r>
          </w:p>
        </w:tc>
      </w:tr>
      <w:tr>
        <w:tc>
          <w:tcPr>
            <w:tcW w:type="dxa" w:w="2436"/>
          </w:tcPr>
          <w:p>
            <w:r/>
            <w:hyperlink w:anchor="c_tl_excl_natural_perils_and_physical_ev">
              <w:r>
                <w:rPr>
                  <w:color w:val="2E5C4E"/>
                  <w:u w:val="single"/>
                </w:rPr>
                <w:t xml:space="preserve">The Natural Perils and Physical Events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No</w:t>
            </w:r>
          </w:p>
        </w:tc>
      </w:tr>
      <w:tr>
        <w:tc>
          <w:tcPr>
            <w:tcW w:type="dxa" w:w="2436"/>
          </w:tcPr>
          <w:p>
            <w:r/>
            <w:hyperlink w:anchor="c_tl_excl_infrastructure_failure">
              <w:r>
                <w:rPr>
                  <w:color w:val="2E5C4E"/>
                  <w:u w:val="single"/>
                </w:rPr>
                <w:t xml:space="preserve">The Infrastructure Failure exclusion</w:t>
              </w:r>
            </w:hyperlink>
          </w:p>
        </w:tc>
        <w:tc>
          <w:tcPr>
            <w:tcW w:type="dxa" w:w="2436"/>
          </w:tcPr>
          <w:p>
            <w:r/>
            <w:r>
              <w:rPr>
                <w:b w:val="0"/>
                <w:i w:val="0"/>
              </w:rPr>
              <w:t>No</w:t>
            </w:r>
          </w:p>
        </w:tc>
        <w:tc>
          <w:tcPr>
            <w:tcW w:type="dxa" w:w="2436"/>
          </w:tcPr>
          <w:p>
            <w:r/>
            <w:r>
              <w:rPr>
                <w:b w:val="0"/>
                <w:i w:val="0"/>
              </w:rPr>
              <w:t>Yes</w:t>
            </w:r>
          </w:p>
        </w:tc>
        <w:tc>
          <w:tcPr>
            <w:tcW w:type="dxa" w:w="2436"/>
          </w:tcPr>
          <w:p>
            <w:r/>
            <w:r>
              <w:rPr>
                <w:b w:val="0"/>
                <w:i w:val="0"/>
              </w:rPr>
              <w:t>No</w:t>
            </w:r>
          </w:p>
        </w:tc>
      </w:tr>
      <w:tr>
        <w:tc>
          <w:tcPr>
            <w:tcW w:type="dxa" w:w="2436"/>
          </w:tcPr>
          <w:p>
            <w:r/>
            <w:hyperlink w:anchor="c_tl_excl_jurisdictional_limits">
              <w:r>
                <w:rPr>
                  <w:color w:val="2E5C4E"/>
                  <w:u w:val="single"/>
                </w:rPr>
                <w:t xml:space="preserve">The Jurisdictional Limits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known_defect">
              <w:r>
                <w:rPr>
                  <w:color w:val="2E5C4E"/>
                  <w:u w:val="single"/>
                </w:rPr>
                <w:t xml:space="preserve">The Known Defect exclusion</w:t>
              </w:r>
            </w:hyperlink>
          </w:p>
        </w:tc>
        <w:tc>
          <w:tcPr>
            <w:tcW w:type="dxa" w:w="2436"/>
          </w:tcPr>
          <w:p>
            <w:r/>
            <w:r>
              <w:rPr>
                <w:b w:val="0"/>
                <w:i w:val="0"/>
              </w:rPr>
              <w:t>Yes</w:t>
            </w:r>
          </w:p>
        </w:tc>
        <w:tc>
          <w:tcPr>
            <w:tcW w:type="dxa" w:w="2436"/>
          </w:tcPr>
          <w:p>
            <w:r/>
            <w:r>
              <w:rPr>
                <w:b w:val="0"/>
                <w:i w:val="0"/>
              </w:rPr>
              <w:t>No</w:t>
            </w:r>
          </w:p>
        </w:tc>
        <w:tc>
          <w:tcPr>
            <w:tcW w:type="dxa" w:w="2436"/>
          </w:tcPr>
          <w:p>
            <w:r/>
            <w:r>
              <w:rPr>
                <w:b w:val="0"/>
                <w:i w:val="0"/>
              </w:rPr>
              <w:t>Yes</w:t>
            </w:r>
          </w:p>
        </w:tc>
      </w:tr>
      <w:tr>
        <w:tc>
          <w:tcPr>
            <w:tcW w:type="dxa" w:w="2436"/>
          </w:tcPr>
          <w:p>
            <w:r/>
            <w:hyperlink w:anchor="c_tl_excl_media_liability">
              <w:r>
                <w:rPr>
                  <w:color w:val="2E5C4E"/>
                  <w:u w:val="single"/>
                </w:rPr>
                <w:t xml:space="preserve">The Media Liability exclusion</w:t>
              </w:r>
            </w:hyperlink>
          </w:p>
        </w:tc>
        <w:tc>
          <w:tcPr>
            <w:tcW w:type="dxa" w:w="2436"/>
          </w:tcPr>
          <w:p>
            <w:r/>
            <w:r>
              <w:rPr>
                <w:b w:val="0"/>
                <w:i w:val="0"/>
              </w:rPr>
              <w:t>Yes (7)</w:t>
            </w:r>
          </w:p>
        </w:tc>
        <w:tc>
          <w:tcPr>
            <w:tcW w:type="dxa" w:w="2436"/>
          </w:tcPr>
          <w:p>
            <w:r/>
            <w:r>
              <w:rPr>
                <w:b w:val="0"/>
                <w:i w:val="0"/>
              </w:rPr>
              <w:t>Yes (7)</w:t>
            </w:r>
          </w:p>
        </w:tc>
        <w:tc>
          <w:tcPr>
            <w:tcW w:type="dxa" w:w="2436"/>
          </w:tcPr>
          <w:p>
            <w:r/>
            <w:r>
              <w:rPr>
                <w:b w:val="0"/>
                <w:i w:val="0"/>
              </w:rPr>
              <w:t>Yes (7)</w:t>
            </w:r>
          </w:p>
        </w:tc>
      </w:tr>
      <w:tr>
        <w:tc>
          <w:tcPr>
            <w:tcW w:type="dxa" w:w="2436"/>
          </w:tcPr>
          <w:p>
            <w:r/>
            <w:hyperlink w:anchor="c_tl_excl_nuclear">
              <w:r>
                <w:rPr>
                  <w:color w:val="2E5C4E"/>
                  <w:u w:val="single"/>
                </w:rPr>
                <w:t xml:space="preserve">The Nuclear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personal_injury_and_property_d">
              <w:r>
                <w:rPr>
                  <w:color w:val="2E5C4E"/>
                  <w:u w:val="single"/>
                </w:rPr>
                <w:t xml:space="preserve">The Personal Injury and Property Damage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No</w:t>
            </w:r>
          </w:p>
        </w:tc>
      </w:tr>
      <w:tr>
        <w:tc>
          <w:tcPr>
            <w:tcW w:type="dxa" w:w="2436"/>
          </w:tcPr>
          <w:p>
            <w:r/>
            <w:hyperlink w:anchor="c_tl_excl_planned_outages">
              <w:r>
                <w:rPr>
                  <w:color w:val="2E5C4E"/>
                  <w:u w:val="single"/>
                </w:rPr>
                <w:t xml:space="preserve">The Planned Outages exclusion</w:t>
              </w:r>
            </w:hyperlink>
          </w:p>
        </w:tc>
        <w:tc>
          <w:tcPr>
            <w:tcW w:type="dxa" w:w="2436"/>
          </w:tcPr>
          <w:p>
            <w:r/>
            <w:r>
              <w:rPr>
                <w:b w:val="0"/>
                <w:i w:val="0"/>
              </w:rPr>
              <w:t>No</w:t>
            </w:r>
          </w:p>
        </w:tc>
        <w:tc>
          <w:tcPr>
            <w:tcW w:type="dxa" w:w="2436"/>
          </w:tcPr>
          <w:p>
            <w:r/>
            <w:r>
              <w:rPr>
                <w:b w:val="0"/>
                <w:i w:val="0"/>
              </w:rPr>
              <w:t>Yes</w:t>
            </w:r>
          </w:p>
        </w:tc>
        <w:tc>
          <w:tcPr>
            <w:tcW w:type="dxa" w:w="2436"/>
          </w:tcPr>
          <w:p>
            <w:r/>
            <w:r>
              <w:rPr>
                <w:b w:val="0"/>
                <w:i w:val="0"/>
              </w:rPr>
              <w:t>Yes (2)</w:t>
            </w:r>
          </w:p>
        </w:tc>
      </w:tr>
      <w:tr>
        <w:tc>
          <w:tcPr>
            <w:tcW w:type="dxa" w:w="2436"/>
          </w:tcPr>
          <w:p>
            <w:r/>
            <w:hyperlink w:anchor="c_tl_excl_pollution">
              <w:r>
                <w:rPr>
                  <w:color w:val="2E5C4E"/>
                  <w:u w:val="single"/>
                </w:rPr>
                <w:t xml:space="preserve">The Pollution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prior_or_pending">
              <w:r>
                <w:rPr>
                  <w:color w:val="2E5C4E"/>
                  <w:u w:val="single"/>
                </w:rPr>
                <w:t xml:space="preserve">The Prior or Pending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product_defect_recall_repair_a">
              <w:r>
                <w:rPr>
                  <w:color w:val="2E5C4E"/>
                  <w:u w:val="single"/>
                </w:rPr>
                <w:t xml:space="preserve">The Product Defect, Recall, Repair, and Replacement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property_in_your_control">
              <w:r>
                <w:rPr>
                  <w:color w:val="2E5C4E"/>
                  <w:u w:val="single"/>
                </w:rPr>
                <w:t xml:space="preserve">The Property in Your Control exclusion</w:t>
              </w:r>
            </w:hyperlink>
          </w:p>
        </w:tc>
        <w:tc>
          <w:tcPr>
            <w:tcW w:type="dxa" w:w="2436"/>
          </w:tcPr>
          <w:p>
            <w:r/>
            <w:r>
              <w:rPr>
                <w:b w:val="0"/>
                <w:i w:val="0"/>
              </w:rPr>
              <w:t>No</w:t>
            </w:r>
          </w:p>
        </w:tc>
        <w:tc>
          <w:tcPr>
            <w:tcW w:type="dxa" w:w="2436"/>
          </w:tcPr>
          <w:p>
            <w:r/>
            <w:r>
              <w:rPr>
                <w:b w:val="0"/>
                <w:i w:val="0"/>
              </w:rPr>
              <w:t>No</w:t>
            </w:r>
          </w:p>
        </w:tc>
        <w:tc>
          <w:tcPr>
            <w:tcW w:type="dxa" w:w="2436"/>
          </w:tcPr>
          <w:p>
            <w:r/>
            <w:r>
              <w:rPr>
                <w:b w:val="0"/>
                <w:i w:val="0"/>
              </w:rPr>
              <w:t>Yes</w:t>
            </w:r>
          </w:p>
        </w:tc>
      </w:tr>
      <w:tr>
        <w:tc>
          <w:tcPr>
            <w:tcW w:type="dxa" w:w="2436"/>
          </w:tcPr>
          <w:p>
            <w:r/>
            <w:hyperlink w:anchor="c_tl_excl_related_entities">
              <w:r>
                <w:rPr>
                  <w:color w:val="2E5C4E"/>
                  <w:u w:val="single"/>
                </w:rPr>
                <w:t xml:space="preserve">The Related Entities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retroactive_date">
              <w:r>
                <w:rPr>
                  <w:color w:val="2E5C4E"/>
                  <w:u w:val="single"/>
                </w:rPr>
                <w:t xml:space="preserve">The Retroactive Date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No</w:t>
            </w:r>
          </w:p>
        </w:tc>
      </w:tr>
      <w:tr>
        <w:tc>
          <w:tcPr>
            <w:tcW w:type="dxa" w:w="2436"/>
          </w:tcPr>
          <w:p>
            <w:r/>
            <w:hyperlink w:anchor="c_tl_excl_sanctions">
              <w:r>
                <w:rPr>
                  <w:color w:val="2E5C4E"/>
                  <w:u w:val="single"/>
                </w:rPr>
                <w:t xml:space="preserve">The Sanctions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securities_law">
              <w:r>
                <w:rPr>
                  <w:color w:val="2E5C4E"/>
                  <w:u w:val="single"/>
                </w:rPr>
                <w:t xml:space="preserve">The Securities Law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terrorism">
              <w:r>
                <w:rPr>
                  <w:color w:val="2E5C4E"/>
                  <w:u w:val="single"/>
                </w:rPr>
                <w:t xml:space="preserve">The Terrorism exclusion</w:t>
              </w:r>
            </w:hyperlink>
          </w:p>
        </w:tc>
        <w:tc>
          <w:tcPr>
            <w:tcW w:type="dxa" w:w="2436"/>
          </w:tcPr>
          <w:p>
            <w:r/>
            <w:r>
              <w:rPr>
                <w:b w:val="0"/>
                <w:i w:val="0"/>
              </w:rPr>
              <w:t>Yes</w:t>
            </w:r>
          </w:p>
        </w:tc>
        <w:tc>
          <w:tcPr>
            <w:tcW w:type="dxa" w:w="2436"/>
          </w:tcPr>
          <w:p>
            <w:r/>
            <w:r>
              <w:rPr>
                <w:b w:val="0"/>
                <w:i w:val="0"/>
              </w:rPr>
              <w:t>No</w:t>
            </w:r>
          </w:p>
        </w:tc>
        <w:tc>
          <w:tcPr>
            <w:tcW w:type="dxa" w:w="2436"/>
          </w:tcPr>
          <w:p>
            <w:r/>
            <w:r>
              <w:rPr>
                <w:b w:val="0"/>
                <w:i w:val="0"/>
              </w:rPr>
              <w:t>Yes</w:t>
            </w:r>
          </w:p>
        </w:tc>
      </w:tr>
      <w:tr>
        <w:tc>
          <w:tcPr>
            <w:tcW w:type="dxa" w:w="2436"/>
          </w:tcPr>
          <w:p>
            <w:r/>
            <w:hyperlink w:anchor="c_tl_excl_trading_debts">
              <w:r>
                <w:rPr>
                  <w:color w:val="2E5C4E"/>
                  <w:u w:val="single"/>
                </w:rPr>
                <w:t xml:space="preserve">The Trading Debts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unsolicited_communications">
              <w:r>
                <w:rPr>
                  <w:color w:val="2E5C4E"/>
                  <w:u w:val="single"/>
                </w:rPr>
                <w:t xml:space="preserve">The Unsolicited Communications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vehicles">
              <w:r>
                <w:rPr>
                  <w:color w:val="2E5C4E"/>
                  <w:u w:val="single"/>
                </w:rPr>
                <w:t xml:space="preserve">The Vehicles exclusion</w:t>
              </w:r>
            </w:hyperlink>
          </w:p>
        </w:tc>
        <w:tc>
          <w:tcPr>
            <w:tcW w:type="dxa" w:w="2436"/>
          </w:tcPr>
          <w:p>
            <w:r/>
            <w:r>
              <w:rPr>
                <w:b w:val="0"/>
                <w:i w:val="0"/>
              </w:rPr>
              <w:t>No</w:t>
            </w:r>
          </w:p>
        </w:tc>
        <w:tc>
          <w:tcPr>
            <w:tcW w:type="dxa" w:w="2436"/>
          </w:tcPr>
          <w:p>
            <w:r/>
            <w:r>
              <w:rPr>
                <w:b w:val="0"/>
                <w:i w:val="0"/>
              </w:rPr>
              <w:t>No</w:t>
            </w:r>
          </w:p>
        </w:tc>
        <w:tc>
          <w:tcPr>
            <w:tcW w:type="dxa" w:w="2436"/>
          </w:tcPr>
          <w:p>
            <w:r/>
            <w:r>
              <w:rPr>
                <w:b w:val="0"/>
                <w:i w:val="0"/>
              </w:rPr>
              <w:t>Yes</w:t>
            </w:r>
          </w:p>
        </w:tc>
      </w:tr>
      <w:tr>
        <w:tc>
          <w:tcPr>
            <w:tcW w:type="dxa" w:w="2436"/>
          </w:tcPr>
          <w:p>
            <w:r/>
            <w:hyperlink w:anchor="c_tl_excl_war_and_state_cyber_operations">
              <w:r>
                <w:rPr>
                  <w:color w:val="2E5C4E"/>
                  <w:u w:val="single"/>
                </w:rPr>
                <w:t xml:space="preserve">The War and State Cyber Operations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hyperlink w:anchor="c_tl_excl_wear_and_tear">
              <w:r>
                <w:rPr>
                  <w:color w:val="2E5C4E"/>
                  <w:u w:val="single"/>
                </w:rPr>
                <w:t xml:space="preserve">The Wear and Tear exclusion</w:t>
              </w:r>
            </w:hyperlink>
          </w:p>
        </w:tc>
        <w:tc>
          <w:tcPr>
            <w:tcW w:type="dxa" w:w="2436"/>
          </w:tcPr>
          <w:p>
            <w:r/>
            <w:r>
              <w:rPr>
                <w:b w:val="0"/>
                <w:i w:val="0"/>
              </w:rPr>
              <w:t>No</w:t>
            </w:r>
          </w:p>
        </w:tc>
        <w:tc>
          <w:tcPr>
            <w:tcW w:type="dxa" w:w="2436"/>
          </w:tcPr>
          <w:p>
            <w:r/>
            <w:r>
              <w:rPr>
                <w:b w:val="0"/>
                <w:i w:val="0"/>
              </w:rPr>
              <w:t>Yes</w:t>
            </w:r>
          </w:p>
        </w:tc>
        <w:tc>
          <w:tcPr>
            <w:tcW w:type="dxa" w:w="2436"/>
          </w:tcPr>
          <w:p>
            <w:r/>
            <w:r>
              <w:rPr>
                <w:b w:val="0"/>
                <w:i w:val="0"/>
              </w:rPr>
              <w:t>Yes (2)</w:t>
            </w:r>
          </w:p>
        </w:tc>
      </w:tr>
      <w:tr>
        <w:tc>
          <w:tcPr>
            <w:tcW w:type="dxa" w:w="2436"/>
          </w:tcPr>
          <w:p>
            <w:r/>
            <w:hyperlink w:anchor="c_tl_excl_wrongful_data_collection">
              <w:r>
                <w:rPr>
                  <w:color w:val="2E5C4E"/>
                  <w:u w:val="single"/>
                </w:rPr>
                <w:t xml:space="preserve">The Wrongful Data Collection exclusion</w:t>
              </w:r>
            </w:hyperlink>
          </w:p>
        </w:tc>
        <w:tc>
          <w:tcPr>
            <w:tcW w:type="dxa" w:w="2436"/>
          </w:tcPr>
          <w:p>
            <w:r/>
            <w:r>
              <w:rPr>
                <w:b w:val="0"/>
                <w:i w:val="0"/>
              </w:rPr>
              <w:t>Yes</w:t>
            </w:r>
          </w:p>
        </w:tc>
        <w:tc>
          <w:tcPr>
            <w:tcW w:type="dxa" w:w="2436"/>
          </w:tcPr>
          <w:p>
            <w:r/>
            <w:r>
              <w:rPr>
                <w:b w:val="0"/>
                <w:i w:val="0"/>
              </w:rPr>
              <w:t>Yes</w:t>
            </w:r>
          </w:p>
        </w:tc>
        <w:tc>
          <w:tcPr>
            <w:tcW w:type="dxa" w:w="2436"/>
          </w:tcPr>
          <w:p>
            <w:r/>
            <w:r>
              <w:rPr>
                <w:b w:val="0"/>
                <w:i w:val="0"/>
              </w:rPr>
              <w:t>Yes (2)</w:t>
            </w:r>
          </w:p>
        </w:tc>
      </w:tr>
    </w:tbl>
    <w:p>
      <w:r>
        <w:rPr>
          <w:b w:val="0"/>
          <w:i w:val="0"/>
        </w:rPr>
        <w:t>Notes to the matrix:</w:t>
      </w:r>
    </w:p>
    <w:p>
      <w:r>
        <w:rPr>
          <w:b w:val="0"/>
          <w:i w:val="0"/>
        </w:rPr>
        <w:t xml:space="preserve">(1) Does not apply to consumer privacy laws covered under </w:t>
      </w:r>
      <w:hyperlink w:anchor="c_tl_cover_data_and_system_security_liab">
        <w:r>
          <w:rPr>
            <w:color w:val="2E5C4E"/>
            <w:u w:val="single"/>
          </w:rPr>
          <w:t xml:space="preserve">the Data and System Security Liability clause</w:t>
        </w:r>
      </w:hyperlink>
      <w:r>
        <w:rPr>
          <w:b w:val="0"/>
          <w:i w:val="0"/>
        </w:rPr>
        <w:t>.</w:t>
      </w:r>
    </w:p>
    <w:p>
      <w:r>
        <w:rPr>
          <w:b w:val="0"/>
          <w:i w:val="0"/>
        </w:rPr>
        <w:t xml:space="preserve">(2) Cyber Liability Extension of the </w:t>
      </w:r>
      <w:hyperlink w:anchor="c_tl_section_liability">
        <w:r>
          <w:rPr>
            <w:color w:val="2E5C4E"/>
            <w:u w:val="single"/>
          </w:rPr>
          <w:t xml:space="preserve">Public and Products Liability</w:t>
        </w:r>
      </w:hyperlink>
      <w:r>
        <w:rPr>
          <w:b w:val="0"/>
          <w:i w:val="0"/>
        </w:rPr>
        <w:t xml:space="preserve"> section only.</w:t>
      </w:r>
    </w:p>
    <w:p>
      <w:r>
        <w:rPr>
          <w:b w:val="0"/>
          <w:i w:val="0"/>
        </w:rPr>
        <w:t>(3) Subject to the Contractual Liability Extension write-back (</w:t>
      </w:r>
      <w:hyperlink w:anchor="c_tl_ext_contractual_liability">
        <w:r>
          <w:rPr>
            <w:color w:val="2E5C4E"/>
            <w:u w:val="single"/>
          </w:rPr>
          <w:t xml:space="preserve">the Contractual Liability extension</w:t>
        </w:r>
      </w:hyperlink>
      <w:r>
        <w:rPr>
          <w:b w:val="0"/>
          <w:i w:val="0"/>
        </w:rPr>
        <w:t>).</w:t>
      </w:r>
    </w:p>
    <w:p>
      <w:r>
        <w:rPr>
          <w:b w:val="0"/>
          <w:i w:val="0"/>
        </w:rPr>
        <w:t xml:space="preserve">(4) Subject to the write-back in </w:t>
      </w:r>
      <w:hyperlink w:anchor="c_tl_ext_cyber_liability">
        <w:r>
          <w:rPr>
            <w:color w:val="2E5C4E"/>
            <w:u w:val="single"/>
          </w:rPr>
          <w:t xml:space="preserve">the Cyber Liability extension</w:t>
        </w:r>
      </w:hyperlink>
      <w:r>
        <w:rPr>
          <w:b w:val="0"/>
          <w:i w:val="0"/>
        </w:rPr>
        <w:t>.</w:t>
      </w:r>
    </w:p>
    <w:p>
      <w:r>
        <w:rPr>
          <w:b w:val="0"/>
          <w:i w:val="0"/>
        </w:rPr>
        <w:t xml:space="preserve">(5) Subject to the </w:t>
      </w:r>
      <w:hyperlink w:anchor="c_tl_ext_outstanding_fees">
        <w:r>
          <w:rPr>
            <w:color w:val="2E5C4E"/>
            <w:u w:val="single"/>
          </w:rPr>
          <w:t xml:space="preserve">the Outstanding Fees extension</w:t>
        </w:r>
      </w:hyperlink>
      <w:r>
        <w:rPr>
          <w:b w:val="0"/>
          <w:i w:val="0"/>
        </w:rPr>
        <w:t xml:space="preserve"> and </w:t>
      </w:r>
      <w:hyperlink w:anchor="c_tl_ext_refund_of_fees">
        <w:r>
          <w:rPr>
            <w:color w:val="2E5C4E"/>
            <w:u w:val="single"/>
          </w:rPr>
          <w:t xml:space="preserve">the Refund of Fees extension</w:t>
        </w:r>
      </w:hyperlink>
      <w:r>
        <w:rPr>
          <w:b w:val="0"/>
          <w:i w:val="0"/>
        </w:rPr>
        <w:t xml:space="preserve"> write-backs.</w:t>
      </w:r>
    </w:p>
    <w:p>
      <w:r>
        <w:rPr>
          <w:b w:val="0"/>
          <w:i w:val="0"/>
        </w:rPr>
        <w:t xml:space="preserve">(6) Subject to </w:t>
      </w:r>
      <w:hyperlink w:anchor="c_tl_ext_regulatory_penalties">
        <w:r>
          <w:rPr>
            <w:color w:val="2E5C4E"/>
            <w:u w:val="single"/>
          </w:rPr>
          <w:t xml:space="preserve">the Regulatory Penalties extension</w:t>
        </w:r>
      </w:hyperlink>
      <w:r>
        <w:rPr>
          <w:b w:val="0"/>
          <w:i w:val="0"/>
        </w:rPr>
        <w:t xml:space="preserve"> and </w:t>
      </w:r>
      <w:hyperlink w:anchor="c_tl_cover_regulatory_defence_and_fines">
        <w:r>
          <w:rPr>
            <w:color w:val="2E5C4E"/>
            <w:u w:val="single"/>
          </w:rPr>
          <w:t xml:space="preserve">the Regulatory Defence and Fines clause</w:t>
        </w:r>
      </w:hyperlink>
      <w:r>
        <w:rPr>
          <w:b w:val="0"/>
          <w:i w:val="0"/>
        </w:rPr>
        <w:t xml:space="preserve"> write-backs.</w:t>
      </w:r>
    </w:p>
    <w:p>
      <w:r>
        <w:rPr>
          <w:b w:val="0"/>
          <w:i w:val="0"/>
        </w:rPr>
        <w:t xml:space="preserve">(7) Subject to </w:t>
      </w:r>
      <w:hyperlink w:anchor="c_tl_ext_patents">
        <w:r>
          <w:rPr>
            <w:color w:val="2E5C4E"/>
            <w:u w:val="single"/>
          </w:rPr>
          <w:t xml:space="preserve">the Patents extension</w:t>
        </w:r>
      </w:hyperlink>
      <w:r>
        <w:rPr>
          <w:b w:val="0"/>
          <w:i w:val="0"/>
        </w:rPr>
        <w:t xml:space="preserve"> and </w:t>
      </w:r>
      <w:hyperlink w:anchor="c_tl_ext_media_and_advertising_liability">
        <w:r>
          <w:rPr>
            <w:color w:val="2E5C4E"/>
            <w:u w:val="single"/>
          </w:rPr>
          <w:t xml:space="preserve">the Media and Advertising Liability extension</w:t>
        </w:r>
      </w:hyperlink>
      <w:r>
        <w:rPr>
          <w:b w:val="0"/>
          <w:i w:val="0"/>
        </w:rPr>
        <w:t xml:space="preserve"> write-backs.</w:t>
      </w:r>
    </w:p>
    <w:p>
      <w:r>
        <w:rPr>
          <w:b/>
          <w:i w:val="0"/>
        </w:rPr>
        <w:t>*The Exclusions</w:t>
      </w:r>
      <w:r>
        <w:rPr>
          <w:b w:val="0"/>
          <w:i w:val="0"/>
        </w:rPr>
        <w:t>*</w:t>
      </w:r>
    </w:p>
    <w:p>
      <w:r>
        <w:rPr>
          <w:b w:val="0"/>
          <w:i w:val="0"/>
        </w:rPr>
        <w:t>We do not cover any claim, loss, cyber loss, or liability:</w:t>
      </w:r>
    </w:p>
    <w:p>
      <w:bookmarkStart w:id="95" w:name="c_tl_excl_advertising_liability"/>
      <w:r>
        <w:rPr>
          <w:rFonts w:ascii="Georgia" w:hAnsi="Georgia" w:eastAsia="Georgia"/>
          <w:b/>
          <w:i w:val="0"/>
          <w:color w:val="2E5C4E"/>
          <w:sz w:val="25"/>
        </w:rPr>
        <w:t>Advertising Liability</w:t>
      </w:r>
      <w:bookmarkEnd w:id="95"/>
    </w:p>
    <w:p>
      <w:r>
        <w:rPr>
          <w:b w:val="0"/>
          <w:i w:val="0"/>
        </w:rPr>
        <w:t>Arising from your advertising activities and involving: (a) a breach of contract, except a breach of an implied contract to use another party’s advertising idea; (b) an incorrect statement of the price, or of the description or quality, of goods or services; (c) a failure of goods or services to conform with any quality or performance you advertised; (d) the infringement of a registered trade mark or service mark, except where the mark is used only as a trading name, product name or slogan; or (e) goods or services whose intended function is itself advertising.</w:t>
      </w:r>
    </w:p>
    <w:p>
      <w:bookmarkStart w:id="96" w:name="c_tl_excl_aircraft_and_watercraft"/>
      <w:r>
        <w:rPr>
          <w:rFonts w:ascii="Georgia" w:hAnsi="Georgia" w:eastAsia="Georgia"/>
          <w:b/>
          <w:i w:val="0"/>
          <w:color w:val="2E5C4E"/>
          <w:sz w:val="25"/>
        </w:rPr>
        <w:t>Aircraft and Watercraft</w:t>
      </w:r>
      <w:bookmarkEnd w:id="96"/>
    </w:p>
    <w:p>
      <w:r>
        <w:rPr>
          <w:b w:val="0"/>
          <w:i w:val="0"/>
        </w:rPr>
        <w:t>Arising from ownership, maintenance, or operation of any aircraft or watercraft, or technology products/services that affect aircraft or watercraft safety, flight controls, or sailing controls.</w:t>
      </w:r>
    </w:p>
    <w:p>
      <w:bookmarkStart w:id="97" w:name="c_tl_excl_asbestos_and_silica"/>
      <w:r>
        <w:rPr>
          <w:rFonts w:ascii="Georgia" w:hAnsi="Georgia" w:eastAsia="Georgia"/>
          <w:b/>
          <w:i w:val="0"/>
          <w:color w:val="2E5C4E"/>
          <w:sz w:val="25"/>
        </w:rPr>
        <w:t>Asbestos and Silica</w:t>
      </w:r>
      <w:bookmarkEnd w:id="97"/>
    </w:p>
    <w:p>
      <w:r>
        <w:rPr>
          <w:b w:val="0"/>
          <w:i w:val="0"/>
        </w:rPr>
        <w:t>Arising from the presence or release of asbestos, asbestos-containing materials, or silica in any form.</w:t>
      </w:r>
    </w:p>
    <w:p>
      <w:bookmarkStart w:id="98" w:name="c_tl_excl_anti_competitive_conduct"/>
      <w:r>
        <w:rPr>
          <w:rFonts w:ascii="Georgia" w:hAnsi="Georgia" w:eastAsia="Georgia"/>
          <w:b/>
          <w:i w:val="0"/>
          <w:color w:val="2E5C4E"/>
          <w:sz w:val="25"/>
        </w:rPr>
        <w:t>Anti-Competitive Conduct</w:t>
      </w:r>
      <w:bookmarkEnd w:id="98"/>
    </w:p>
    <w:p>
      <w:r>
        <w:rPr>
          <w:b w:val="0"/>
          <w:i w:val="0"/>
        </w:rPr>
        <w:t xml:space="preserve">Arising from restraint of trade, anti-competitive practices, price fixing, or tortious interference — including under any competition, consumer, or fair trading legislation. Does not apply to consumer privacy laws covered under </w:t>
      </w:r>
      <w:hyperlink w:anchor="c_tl_cover_data_and_system_security_liab">
        <w:r>
          <w:rPr>
            <w:color w:val="2E5C4E"/>
            <w:u w:val="single"/>
          </w:rPr>
          <w:t xml:space="preserve">the Data and System Security Liability clause</w:t>
        </w:r>
      </w:hyperlink>
      <w:r>
        <w:rPr>
          <w:b w:val="0"/>
          <w:i w:val="0"/>
        </w:rPr>
        <w:t>.</w:t>
      </w:r>
    </w:p>
    <w:p>
      <w:bookmarkStart w:id="99" w:name="c_tl_excl_betterment"/>
      <w:r>
        <w:rPr>
          <w:rFonts w:ascii="Georgia" w:hAnsi="Georgia" w:eastAsia="Georgia"/>
          <w:b/>
          <w:i w:val="0"/>
          <w:color w:val="2E5C4E"/>
          <w:sz w:val="25"/>
        </w:rPr>
        <w:t>Betterment</w:t>
      </w:r>
      <w:bookmarkEnd w:id="99"/>
    </w:p>
    <w:p>
      <w:r>
        <w:rPr>
          <w:b w:val="0"/>
          <w:i w:val="0"/>
        </w:rPr>
        <w:t xml:space="preserve">(the </w:t>
      </w:r>
      <w:hyperlink w:anchor="c_tl_section_cyber">
        <w:r>
          <w:rPr>
            <w:color w:val="2E5C4E"/>
            <w:u w:val="single"/>
          </w:rPr>
          <w:t xml:space="preserve">Cyber Protection</w:t>
        </w:r>
      </w:hyperlink>
      <w:r>
        <w:rPr>
          <w:b w:val="0"/>
          <w:i w:val="0"/>
        </w:rPr>
        <w:t xml:space="preserve"> section and Cyber Liability Extension only.) Any claim or cyber loss that puts you in a better financial position as a result of a covered event. However, following a covered cyber security breach, we will pay up to the percentage shown in the schedule (or, if not shown, 25%) of the repair/replacement cost toward installing a more secure version of the affected computer system (excluding operational technology).</w:t>
      </w:r>
    </w:p>
    <w:p>
      <w:bookmarkStart w:id="100" w:name="c_tl_excl_commercial_decisions"/>
      <w:r>
        <w:rPr>
          <w:rFonts w:ascii="Georgia" w:hAnsi="Georgia" w:eastAsia="Georgia"/>
          <w:b/>
          <w:i w:val="0"/>
          <w:color w:val="2E5C4E"/>
          <w:sz w:val="25"/>
        </w:rPr>
        <w:t>Commercial Decisions</w:t>
      </w:r>
      <w:bookmarkEnd w:id="100"/>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only.) Failure to provide technology products/services because you did not have (and could not source) the required technical, logistical, or financial resources when you agreed to provide them.</w:t>
      </w:r>
    </w:p>
    <w:p>
      <w:bookmarkStart w:id="101" w:name="c_tl_excl_communicable_disease"/>
      <w:r>
        <w:rPr>
          <w:rFonts w:ascii="Georgia" w:hAnsi="Georgia" w:eastAsia="Georgia"/>
          <w:b/>
          <w:i w:val="0"/>
          <w:color w:val="2E5C4E"/>
          <w:sz w:val="25"/>
        </w:rPr>
        <w:t>Communicable Disease</w:t>
      </w:r>
      <w:bookmarkEnd w:id="101"/>
    </w:p>
    <w:p>
      <w:r>
        <w:rPr>
          <w:b w:val="0"/>
          <w:i w:val="0"/>
        </w:rPr>
        <w:t xml:space="preserve">(the </w:t>
      </w:r>
      <w:hyperlink w:anchor="c_tl_section_liability">
        <w:r>
          <w:rPr>
            <w:color w:val="2E5C4E"/>
            <w:u w:val="single"/>
          </w:rPr>
          <w:t xml:space="preserve">Public and Products Liability</w:t>
        </w:r>
      </w:hyperlink>
      <w:r>
        <w:rPr>
          <w:b w:val="0"/>
          <w:i w:val="0"/>
        </w:rPr>
        <w:t xml:space="preserve"> section only.) Highly pathogenic animal influenza in humans, cholera, rabies, any WHO-declared pandemic or epidemic, or any disease listed under the Biosecurity Act 2015 (Cth).</w:t>
      </w:r>
    </w:p>
    <w:p>
      <w:bookmarkStart w:id="102" w:name="c_tl_excl_conduct"/>
      <w:r>
        <w:rPr>
          <w:rFonts w:ascii="Georgia" w:hAnsi="Georgia" w:eastAsia="Georgia"/>
          <w:b/>
          <w:i w:val="0"/>
          <w:color w:val="2E5C4E"/>
          <w:sz w:val="25"/>
        </w:rPr>
        <w:t>Conduct (Fraud and Dishonesty)</w:t>
      </w:r>
      <w:bookmarkEnd w:id="102"/>
    </w:p>
    <w:p>
      <w:r>
        <w:rPr>
          <w:b w:val="0"/>
          <w:i w:val="0"/>
        </w:rPr>
        <w:t xml:space="preserve">Arising from any criminal, dishonest, fraudulent, malicious, or deliberately reckless act, or deliberate breach of contract, professional duty, or any law. However, this exclusion only applies once established by </w:t>
      </w:r>
      <w:r>
        <w:rPr>
          <w:b/>
          <w:i w:val="0"/>
        </w:rPr>
        <w:t>final adjudication (as defined)</w:t>
      </w:r>
      <w:r>
        <w:rPr>
          <w:b w:val="0"/>
          <w:i w:val="0"/>
        </w:rPr>
        <w:t xml:space="preserve">; until then, defence costs are advanced under </w:t>
      </w:r>
      <w:hyperlink w:anchor="c_tl_ext_advancement_of_defence_costs">
        <w:r>
          <w:rPr>
            <w:color w:val="2E5C4E"/>
            <w:u w:val="single"/>
          </w:rPr>
          <w:t xml:space="preserve">the Advancement of Defence Costs extension</w:t>
        </w:r>
      </w:hyperlink>
      <w:r>
        <w:rPr>
          <w:b w:val="0"/>
          <w:i w:val="0"/>
        </w:rPr>
        <w:t xml:space="preserve">. The conduct of one insured person is not imputed to any other (except executive officers, whose conduct is imputed to the entity — see </w:t>
      </w:r>
      <w:hyperlink w:anchor="c_tl_ext_severability">
        <w:r>
          <w:rPr>
            <w:color w:val="2E5C4E"/>
            <w:u w:val="single"/>
          </w:rPr>
          <w:t xml:space="preserve">the Severability and Non-Imputation and Innocent Non-Disclosure extension</w:t>
        </w:r>
      </w:hyperlink>
      <w:r>
        <w:rPr>
          <w:b w:val="0"/>
          <w:i w:val="0"/>
        </w:rPr>
        <w:t>, which this exclusion is drafted consistently with). If conduct is later established by final adjudication, you must repay all amounts we paid in connection with that conduct.</w:t>
      </w:r>
    </w:p>
    <w:p>
      <w:bookmarkStart w:id="103" w:name="c_tl_excl_construction"/>
      <w:r>
        <w:rPr>
          <w:rFonts w:ascii="Georgia" w:hAnsi="Georgia" w:eastAsia="Georgia"/>
          <w:b/>
          <w:i w:val="0"/>
          <w:color w:val="2E5C4E"/>
          <w:sz w:val="25"/>
        </w:rPr>
        <w:t>Construction</w:t>
      </w:r>
      <w:bookmarkEnd w:id="103"/>
    </w:p>
    <w:p>
      <w:r>
        <w:rPr>
          <w:b w:val="0"/>
          <w:i w:val="0"/>
        </w:rPr>
        <w:t xml:space="preserve">(the </w:t>
      </w:r>
      <w:hyperlink w:anchor="c_tl_section_liability">
        <w:r>
          <w:rPr>
            <w:color w:val="2E5C4E"/>
            <w:u w:val="single"/>
          </w:rPr>
          <w:t xml:space="preserve">Public and Products Liability</w:t>
        </w:r>
      </w:hyperlink>
      <w:r>
        <w:rPr>
          <w:b w:val="0"/>
          <w:i w:val="0"/>
        </w:rPr>
        <w:t xml:space="preserve"> section only.) Personal injury or property damage from land development, erection, demolition, alteration, or addition to buildings, structures, or engineering works.</w:t>
      </w:r>
    </w:p>
    <w:p>
      <w:bookmarkStart w:id="104" w:name="c_tl_excl_contractual_liability"/>
      <w:r>
        <w:rPr>
          <w:rFonts w:ascii="Georgia" w:hAnsi="Georgia" w:eastAsia="Georgia"/>
          <w:b/>
          <w:i w:val="0"/>
          <w:color w:val="2E5C4E"/>
          <w:sz w:val="25"/>
        </w:rPr>
        <w:t>Contractual Liability</w:t>
      </w:r>
      <w:bookmarkEnd w:id="104"/>
    </w:p>
    <w:p>
      <w:r>
        <w:rPr>
          <w:b w:val="0"/>
          <w:i w:val="0"/>
        </w:rPr>
        <w:t>Arising from any liability assumed under a contract, agreement, guarantee, indemnity, or warranty. Subject to the Contractual Liability Extension (</w:t>
      </w:r>
      <w:hyperlink w:anchor="c_tl_ext_contractual_liability">
        <w:r>
          <w:rPr>
            <w:color w:val="2E5C4E"/>
            <w:u w:val="single"/>
          </w:rPr>
          <w:t xml:space="preserve">the Contractual Liability extension</w:t>
        </w:r>
      </w:hyperlink>
      <w:r>
        <w:rPr>
          <w:b w:val="0"/>
          <w:i w:val="0"/>
        </w:rPr>
        <w:t>) which writes back substantial cover. [WP REVIEW: check the warranty wording in this exclusion and in the Contractual Liability Extension against the treatment of warranties in s.24 of the Insurance Contracts Act 1984 (Cth).]</w:t>
      </w:r>
    </w:p>
    <w:p>
      <w:bookmarkStart w:id="105" w:name="c_tl_excl_cyber_and_data"/>
      <w:r>
        <w:rPr>
          <w:rFonts w:ascii="Georgia" w:hAnsi="Georgia" w:eastAsia="Georgia"/>
          <w:b/>
          <w:i w:val="0"/>
          <w:color w:val="2E5C4E"/>
          <w:sz w:val="25"/>
        </w:rPr>
        <w:t>Cyber and Data</w:t>
      </w:r>
      <w:bookmarkEnd w:id="105"/>
    </w:p>
    <w:p>
      <w:r>
        <w:rPr>
          <w:b w:val="0"/>
          <w:i w:val="0"/>
        </w:rPr>
        <w:t xml:space="preserve">(the </w:t>
      </w:r>
      <w:hyperlink w:anchor="c_tl_section_liability">
        <w:r>
          <w:rPr>
            <w:color w:val="2E5C4E"/>
            <w:u w:val="single"/>
          </w:rPr>
          <w:t xml:space="preserve">Public and Products Liability</w:t>
        </w:r>
      </w:hyperlink>
      <w:r>
        <w:rPr>
          <w:b w:val="0"/>
          <w:i w:val="0"/>
        </w:rPr>
        <w:t xml:space="preserve"> section only.) Arising from any cyber security breach or data breach. Subject to </w:t>
      </w:r>
      <w:hyperlink w:anchor="c_tl_ext_cyber_liability">
        <w:r>
          <w:rPr>
            <w:color w:val="2E5C4E"/>
            <w:u w:val="single"/>
          </w:rPr>
          <w:t xml:space="preserve">the Cyber Liability extension</w:t>
        </w:r>
      </w:hyperlink>
      <w:r>
        <w:rPr>
          <w:b w:val="0"/>
          <w:i w:val="0"/>
        </w:rPr>
        <w:t xml:space="preserve"> which writes back cover for bodily injury and property damage caused by cyber events.</w:t>
      </w:r>
    </w:p>
    <w:p>
      <w:bookmarkStart w:id="106" w:name="c_tl_excl_directors_and_officers"/>
      <w:r>
        <w:rPr>
          <w:rFonts w:ascii="Georgia" w:hAnsi="Georgia" w:eastAsia="Georgia"/>
          <w:b/>
          <w:i w:val="0"/>
          <w:color w:val="2E5C4E"/>
          <w:sz w:val="25"/>
        </w:rPr>
        <w:t>Directors and Officers</w:t>
      </w:r>
      <w:bookmarkEnd w:id="106"/>
    </w:p>
    <w:p>
      <w:r>
        <w:rPr>
          <w:b w:val="0"/>
          <w:i w:val="0"/>
        </w:rPr>
        <w:t xml:space="preserve">Arising from acting as a director or officer of any entity or as a superannuation trustee. Does not apply to the </w:t>
      </w:r>
      <w:hyperlink w:anchor="c_tl_section_liability">
        <w:r>
          <w:rPr>
            <w:color w:val="2E5C4E"/>
            <w:u w:val="single"/>
          </w:rPr>
          <w:t xml:space="preserve">Public and Products Liability</w:t>
        </w:r>
      </w:hyperlink>
      <w:r>
        <w:rPr>
          <w:b w:val="0"/>
          <w:i w:val="0"/>
        </w:rPr>
        <w:t xml:space="preserve"> section.</w:t>
      </w:r>
    </w:p>
    <w:p>
      <w:bookmarkStart w:id="107" w:name="c_tl_excl_employers_liability"/>
      <w:r>
        <w:rPr>
          <w:rFonts w:ascii="Georgia" w:hAnsi="Georgia" w:eastAsia="Georgia"/>
          <w:b/>
          <w:i w:val="0"/>
          <w:color w:val="2E5C4E"/>
          <w:sz w:val="25"/>
        </w:rPr>
        <w:t>Employers Liability</w:t>
      </w:r>
      <w:bookmarkEnd w:id="107"/>
    </w:p>
    <w:p>
      <w:r>
        <w:rPr>
          <w:b w:val="0"/>
          <w:i w:val="0"/>
        </w:rPr>
        <w:t xml:space="preserve">Arising from: (a) injury to any insured person under workers' compensation or similar legislation; (b) damage to insured person property in the course of employment; (c) breach of employment practices (unless arising from a data breach or cyber security breach covered under the </w:t>
      </w:r>
      <w:hyperlink w:anchor="c_tl_section_cyber">
        <w:r>
          <w:rPr>
            <w:color w:val="2E5C4E"/>
            <w:u w:val="single"/>
          </w:rPr>
          <w:t xml:space="preserve">Cyber Protection</w:t>
        </w:r>
      </w:hyperlink>
      <w:r>
        <w:rPr>
          <w:b w:val="0"/>
          <w:i w:val="0"/>
        </w:rPr>
        <w:t xml:space="preserve"> section).</w:t>
      </w:r>
    </w:p>
    <w:p>
      <w:bookmarkStart w:id="108" w:name="c_tl_excl_fees_or_charges"/>
      <w:r>
        <w:rPr>
          <w:rFonts w:ascii="Georgia" w:hAnsi="Georgia" w:eastAsia="Georgia"/>
          <w:b/>
          <w:i w:val="0"/>
          <w:color w:val="2E5C4E"/>
          <w:sz w:val="25"/>
        </w:rPr>
        <w:t>Fees or Charges</w:t>
      </w:r>
      <w:bookmarkEnd w:id="108"/>
    </w:p>
    <w:p>
      <w:r>
        <w:rPr>
          <w:b w:val="0"/>
          <w:i w:val="0"/>
        </w:rPr>
        <w:t xml:space="preserve">Unpaid fees or refund of professional fees, charges, commissions, or other remuneration. Subject to the </w:t>
      </w:r>
      <w:hyperlink w:anchor="c_tl_ext_outstanding_fees">
        <w:r>
          <w:rPr>
            <w:color w:val="2E5C4E"/>
            <w:u w:val="single"/>
          </w:rPr>
          <w:t xml:space="preserve">the Outstanding Fees extension</w:t>
        </w:r>
      </w:hyperlink>
      <w:r>
        <w:rPr>
          <w:b w:val="0"/>
          <w:i w:val="0"/>
        </w:rPr>
        <w:t xml:space="preserve"> and </w:t>
      </w:r>
      <w:hyperlink w:anchor="c_tl_ext_refund_of_fees">
        <w:r>
          <w:rPr>
            <w:color w:val="2E5C4E"/>
            <w:u w:val="single"/>
          </w:rPr>
          <w:t xml:space="preserve">the Refund of Fees extension</w:t>
        </w:r>
      </w:hyperlink>
      <w:r>
        <w:rPr>
          <w:b w:val="0"/>
          <w:i w:val="0"/>
        </w:rPr>
        <w:t>.</w:t>
      </w:r>
    </w:p>
    <w:p>
      <w:bookmarkStart w:id="109" w:name="c_tl_excl_fines_and_penalties"/>
      <w:r>
        <w:rPr>
          <w:rFonts w:ascii="Georgia" w:hAnsi="Georgia" w:eastAsia="Georgia"/>
          <w:b/>
          <w:i w:val="0"/>
          <w:color w:val="2E5C4E"/>
          <w:sz w:val="25"/>
        </w:rPr>
        <w:t>Fines and Penalties</w:t>
      </w:r>
      <w:bookmarkEnd w:id="109"/>
    </w:p>
    <w:p>
      <w:r>
        <w:rPr>
          <w:b w:val="0"/>
          <w:i w:val="0"/>
        </w:rPr>
        <w:t xml:space="preserve">Punitive, aggravated, or exemplary damages, fines, penalties, or service credits, to the extent uninsurable at law. Subject to </w:t>
      </w:r>
      <w:hyperlink w:anchor="c_tl_ext_regulatory_penalties">
        <w:r>
          <w:rPr>
            <w:color w:val="2E5C4E"/>
            <w:u w:val="single"/>
          </w:rPr>
          <w:t xml:space="preserve">the Regulatory Penalties extension</w:t>
        </w:r>
      </w:hyperlink>
      <w:r>
        <w:rPr>
          <w:b w:val="0"/>
          <w:i w:val="0"/>
        </w:rPr>
        <w:t xml:space="preserve"> and </w:t>
      </w:r>
      <w:hyperlink w:anchor="c_tl_cover_regulatory_defence_and_fines">
        <w:r>
          <w:rPr>
            <w:color w:val="2E5C4E"/>
            <w:u w:val="single"/>
          </w:rPr>
          <w:t xml:space="preserve">the Regulatory Defence and Fines clause</w:t>
        </w:r>
      </w:hyperlink>
      <w:r>
        <w:rPr>
          <w:b w:val="0"/>
          <w:i w:val="0"/>
        </w:rPr>
        <w:t>.</w:t>
      </w:r>
    </w:p>
    <w:p>
      <w:bookmarkStart w:id="110" w:name="c_tl_excl_natural_perils_and_physical_ev"/>
      <w:r>
        <w:rPr>
          <w:rFonts w:ascii="Georgia" w:hAnsi="Georgia" w:eastAsia="Georgia"/>
          <w:b/>
          <w:i w:val="0"/>
          <w:color w:val="2E5C4E"/>
          <w:sz w:val="25"/>
        </w:rPr>
        <w:t>Natural Perils and Physical Events</w:t>
      </w:r>
      <w:bookmarkEnd w:id="110"/>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only.) Fire, smoke, explosion, solar flare, lightning, wind, water, flood, earthquake, volcanic eruption, tsunami, landslide, tornado, hail, or any other natural physical event.</w:t>
      </w:r>
    </w:p>
    <w:p>
      <w:bookmarkStart w:id="111" w:name="c_tl_excl_infrastructure_failure"/>
      <w:r>
        <w:rPr>
          <w:rFonts w:ascii="Georgia" w:hAnsi="Georgia" w:eastAsia="Georgia"/>
          <w:b/>
          <w:i w:val="0"/>
          <w:color w:val="2E5C4E"/>
          <w:sz w:val="25"/>
        </w:rPr>
        <w:t>Infrastructure Failure</w:t>
      </w:r>
      <w:bookmarkEnd w:id="111"/>
    </w:p>
    <w:p>
      <w:r>
        <w:rPr>
          <w:b w:val="0"/>
          <w:i w:val="0"/>
        </w:rPr>
        <w:t xml:space="preserve">(the </w:t>
      </w:r>
      <w:hyperlink w:anchor="c_tl_section_cyber">
        <w:r>
          <w:rPr>
            <w:color w:val="2E5C4E"/>
            <w:u w:val="single"/>
          </w:rPr>
          <w:t xml:space="preserve">Cyber Protection</w:t>
        </w:r>
      </w:hyperlink>
      <w:r>
        <w:rPr>
          <w:b w:val="0"/>
          <w:i w:val="0"/>
        </w:rPr>
        <w:t xml:space="preserve"> section only.) Failure of financial securities, stock exchanges, utilities, telecommunications, internet, satellite, or mechanical infrastructure not under your operational control.</w:t>
      </w:r>
    </w:p>
    <w:p>
      <w:bookmarkStart w:id="112" w:name="c_tl_excl_jurisdictional_limits"/>
      <w:r>
        <w:rPr>
          <w:rFonts w:ascii="Georgia" w:hAnsi="Georgia" w:eastAsia="Georgia"/>
          <w:b/>
          <w:i w:val="0"/>
          <w:color w:val="2E5C4E"/>
          <w:sz w:val="25"/>
        </w:rPr>
        <w:t>Jurisdictional Limits</w:t>
      </w:r>
      <w:bookmarkEnd w:id="112"/>
    </w:p>
    <w:p>
      <w:r>
        <w:rPr>
          <w:b w:val="0"/>
          <w:i w:val="0"/>
        </w:rPr>
        <w:t>Any claim or inquiry brought within, or to enforce a judgment from, the United States or Canada (including territories).</w:t>
      </w:r>
    </w:p>
    <w:p>
      <w:bookmarkStart w:id="113" w:name="c_tl_excl_known_defect"/>
      <w:r>
        <w:rPr>
          <w:rFonts w:ascii="Georgia" w:hAnsi="Georgia" w:eastAsia="Georgia"/>
          <w:b/>
          <w:i w:val="0"/>
          <w:color w:val="2E5C4E"/>
          <w:sz w:val="25"/>
        </w:rPr>
        <w:t>Known Defect</w:t>
      </w:r>
      <w:bookmarkEnd w:id="113"/>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liability">
        <w:r>
          <w:rPr>
            <w:color w:val="2E5C4E"/>
            <w:u w:val="single"/>
          </w:rPr>
          <w:t xml:space="preserve">Public and Products Liability</w:t>
        </w:r>
      </w:hyperlink>
      <w:r>
        <w:rPr>
          <w:b w:val="0"/>
          <w:i w:val="0"/>
        </w:rPr>
        <w:t xml:space="preserve"> sections only.) Providing technology products/services where you knew or should have known of a defect, deficiency, or inability to fulfil the intended purpose.</w:t>
      </w:r>
    </w:p>
    <w:p>
      <w:bookmarkStart w:id="114" w:name="c_tl_excl_media_liability"/>
      <w:r>
        <w:rPr>
          <w:rFonts w:ascii="Georgia" w:hAnsi="Georgia" w:eastAsia="Georgia"/>
          <w:b/>
          <w:i w:val="0"/>
          <w:color w:val="2E5C4E"/>
          <w:sz w:val="25"/>
        </w:rPr>
        <w:t>Media Liability</w:t>
      </w:r>
      <w:bookmarkEnd w:id="114"/>
    </w:p>
    <w:p>
      <w:r>
        <w:rPr>
          <w:b w:val="0"/>
          <w:i w:val="0"/>
        </w:rPr>
        <w:t xml:space="preserve">Arising from: (a) breach of any patent; (b) breach of any trade secret (the </w:t>
      </w:r>
      <w:hyperlink w:anchor="c_tl_section_professional_liability">
        <w:r>
          <w:rPr>
            <w:color w:val="2E5C4E"/>
            <w:u w:val="single"/>
          </w:rPr>
          <w:t xml:space="preserve">Technology Professional Liability</w:t>
        </w:r>
      </w:hyperlink>
      <w:r>
        <w:rPr>
          <w:b w:val="0"/>
          <w:i w:val="0"/>
        </w:rPr>
        <w:t xml:space="preserve"> and </w:t>
      </w:r>
      <w:hyperlink w:anchor="c_tl_section_liability">
        <w:r>
          <w:rPr>
            <w:color w:val="2E5C4E"/>
            <w:u w:val="single"/>
          </w:rPr>
          <w:t xml:space="preserve">Public and Products Liability</w:t>
        </w:r>
      </w:hyperlink>
      <w:r>
        <w:rPr>
          <w:b w:val="0"/>
          <w:i w:val="0"/>
        </w:rPr>
        <w:t xml:space="preserve"> sections only); (c) any media liability. Subject to </w:t>
      </w:r>
      <w:hyperlink w:anchor="c_tl_ext_patents">
        <w:r>
          <w:rPr>
            <w:color w:val="2E5C4E"/>
            <w:u w:val="single"/>
          </w:rPr>
          <w:t xml:space="preserve">the Patents extension</w:t>
        </w:r>
      </w:hyperlink>
      <w:r>
        <w:rPr>
          <w:b w:val="0"/>
          <w:i w:val="0"/>
        </w:rPr>
        <w:t xml:space="preserve"> and </w:t>
      </w:r>
      <w:hyperlink w:anchor="c_tl_ext_media_and_advertising_liability">
        <w:r>
          <w:rPr>
            <w:color w:val="2E5C4E"/>
            <w:u w:val="single"/>
          </w:rPr>
          <w:t xml:space="preserve">the Media and Advertising Liability extension</w:t>
        </w:r>
      </w:hyperlink>
      <w:r>
        <w:rPr>
          <w:b w:val="0"/>
          <w:i w:val="0"/>
        </w:rPr>
        <w:t>.</w:t>
      </w:r>
    </w:p>
    <w:p>
      <w:r>
        <w:rPr>
          <w:b w:val="0"/>
          <w:i w:val="0"/>
        </w:rPr>
        <w:t>*IP BOUNDARY AT A GLANCE (guidance only — not operative text; the operative positions are in the clauses cross-referenced below and are unchanged by this note). Patents: excluded, written back for non-US/Canada registrations only (</w:t>
      </w:r>
      <w:hyperlink w:anchor="c_tl_ext_patents">
        <w:r>
          <w:rPr>
            <w:color w:val="2E5C4E"/>
            <w:u w:val="single"/>
          </w:rPr>
          <w:t xml:space="preserve">the Patents extension</w:t>
        </w:r>
      </w:hyperlink>
      <w:r>
        <w:rPr>
          <w:b w:val="0"/>
          <w:i w:val="0"/>
        </w:rPr>
        <w:t xml:space="preserve">). Trade secrets: excluded for the </w:t>
      </w:r>
      <w:hyperlink w:anchor="c_tl_section_professional_liability">
        <w:r>
          <w:rPr>
            <w:color w:val="2E5C4E"/>
            <w:u w:val="single"/>
          </w:rPr>
          <w:t xml:space="preserve">Technology Professional Liability</w:t>
        </w:r>
      </w:hyperlink>
      <w:r>
        <w:rPr>
          <w:b w:val="0"/>
          <w:i w:val="0"/>
        </w:rPr>
        <w:t xml:space="preserve"> and </w:t>
      </w:r>
      <w:hyperlink w:anchor="c_tl_section_liability">
        <w:r>
          <w:rPr>
            <w:color w:val="2E5C4E"/>
            <w:u w:val="single"/>
          </w:rPr>
          <w:t xml:space="preserve">Public and Products Liability</w:t>
        </w:r>
      </w:hyperlink>
      <w:r>
        <w:rPr>
          <w:b w:val="0"/>
          <w:i w:val="0"/>
        </w:rPr>
        <w:t xml:space="preserve"> sections (</w:t>
      </w:r>
      <w:hyperlink w:anchor="c_tl_excl_media_liability">
        <w:r>
          <w:rPr>
            <w:color w:val="2E5C4E"/>
            <w:u w:val="single"/>
          </w:rPr>
          <w:t xml:space="preserve">the Media Liability exclusion</w:t>
        </w:r>
      </w:hyperlink>
      <w:r>
        <w:rPr>
          <w:b w:val="0"/>
          <w:i w:val="0"/>
        </w:rPr>
        <w:t xml:space="preserve">, paragraph (b)); not excluded for the </w:t>
      </w:r>
      <w:hyperlink w:anchor="c_tl_section_cyber">
        <w:r>
          <w:rPr>
            <w:color w:val="2E5C4E"/>
            <w:u w:val="single"/>
          </w:rPr>
          <w:t xml:space="preserve">Cyber Protection</w:t>
        </w:r>
      </w:hyperlink>
      <w:r>
        <w:rPr>
          <w:b w:val="0"/>
          <w:i w:val="0"/>
        </w:rPr>
        <w:t xml:space="preserve"> section, so effectively covered there through the Data breach definition. Copyright infringement and trademark dilution: excluded as media liability, written back (</w:t>
      </w:r>
      <w:hyperlink w:anchor="c_tl_ext_media_and_advertising_liability">
        <w:r>
          <w:rPr>
            <w:color w:val="2E5C4E"/>
            <w:u w:val="single"/>
          </w:rPr>
          <w:t xml:space="preserve">the Media and Advertising Liability extension</w:t>
        </w:r>
      </w:hyperlink>
      <w:r>
        <w:rPr>
          <w:b w:val="0"/>
          <w:i w:val="0"/>
        </w:rPr>
        <w:t>). Trademark infringement (other than dilution): excluded (</w:t>
      </w:r>
      <w:hyperlink w:anchor="c_tl_excl_advertising_liability">
        <w:r>
          <w:rPr>
            <w:color w:val="2E5C4E"/>
            <w:u w:val="single"/>
          </w:rPr>
          <w:t xml:space="preserve">the Advertising Liability exclusion</w:t>
        </w:r>
      </w:hyperlink>
      <w:r>
        <w:rPr>
          <w:b w:val="0"/>
          <w:i w:val="0"/>
        </w:rPr>
        <w:t>, paragraph (d)), no write-back. This consolidated statement is provided per audit finding N6; no substantive IP position changes.*</w:t>
      </w:r>
    </w:p>
    <w:p>
      <w:bookmarkStart w:id="115" w:name="c_tl_excl_nuclear"/>
      <w:r>
        <w:rPr>
          <w:rFonts w:ascii="Georgia" w:hAnsi="Georgia" w:eastAsia="Georgia"/>
          <w:b/>
          <w:i w:val="0"/>
          <w:color w:val="2E5C4E"/>
          <w:sz w:val="25"/>
        </w:rPr>
        <w:t>Nuclear</w:t>
      </w:r>
      <w:bookmarkEnd w:id="115"/>
    </w:p>
    <w:p>
      <w:r>
        <w:rPr>
          <w:b w:val="0"/>
          <w:i w:val="0"/>
        </w:rPr>
        <w:t>Arising, directly or indirectly, from ionising radiation, or from radioactive contamination originating in nuclear fuel or nuclear waste.</w:t>
      </w:r>
    </w:p>
    <w:p>
      <w:bookmarkStart w:id="116" w:name="c_tl_excl_personal_injury_and_property_d"/>
      <w:r>
        <w:rPr>
          <w:rFonts w:ascii="Georgia" w:hAnsi="Georgia" w:eastAsia="Georgia"/>
          <w:b/>
          <w:i w:val="0"/>
          <w:color w:val="2E5C4E"/>
          <w:sz w:val="25"/>
        </w:rPr>
        <w:t>Personal Injury and Property Damage</w:t>
      </w:r>
      <w:bookmarkEnd w:id="116"/>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only.) Personal injury and/or property damage. However, this does not apply to: (a) property damage to your computer system under the </w:t>
      </w:r>
      <w:hyperlink w:anchor="c_tl_section_cyber">
        <w:r>
          <w:rPr>
            <w:color w:val="2E5C4E"/>
            <w:u w:val="single"/>
          </w:rPr>
          <w:t xml:space="preserve">Cyber Protection</w:t>
        </w:r>
      </w:hyperlink>
      <w:r>
        <w:rPr>
          <w:b w:val="0"/>
          <w:i w:val="0"/>
        </w:rPr>
        <w:t xml:space="preserve"> section; (b) hardware replacement under </w:t>
      </w:r>
      <w:hyperlink w:anchor="c_tl_ext_hardware_replacement">
        <w:r>
          <w:rPr>
            <w:color w:val="2E5C4E"/>
            <w:u w:val="single"/>
          </w:rPr>
          <w:t xml:space="preserve">the Hardware Replacement extension</w:t>
        </w:r>
      </w:hyperlink>
      <w:r>
        <w:rPr>
          <w:b w:val="0"/>
          <w:i w:val="0"/>
        </w:rPr>
        <w:t>; (c) emotional distress arising from media liability under the Media and Advertising Liability Extension (</w:t>
      </w:r>
      <w:hyperlink w:anchor="c_tl_ext_media_and_advertising_liability">
        <w:r>
          <w:rPr>
            <w:color w:val="2E5C4E"/>
            <w:u w:val="single"/>
          </w:rPr>
          <w:t xml:space="preserve">the Media and Advertising Liability extension</w:t>
        </w:r>
      </w:hyperlink>
      <w:r>
        <w:rPr>
          <w:b w:val="0"/>
          <w:i w:val="0"/>
        </w:rPr>
        <w:t>).</w:t>
      </w:r>
    </w:p>
    <w:p>
      <w:bookmarkStart w:id="117" w:name="c_tl_excl_planned_outages"/>
      <w:r>
        <w:rPr>
          <w:rFonts w:ascii="Georgia" w:hAnsi="Georgia" w:eastAsia="Georgia"/>
          <w:b/>
          <w:i w:val="0"/>
          <w:color w:val="2E5C4E"/>
          <w:sz w:val="25"/>
        </w:rPr>
        <w:t>Planned Outages</w:t>
      </w:r>
      <w:bookmarkEnd w:id="117"/>
    </w:p>
    <w:p>
      <w:r>
        <w:rPr>
          <w:b w:val="0"/>
          <w:i w:val="0"/>
        </w:rPr>
        <w:t xml:space="preserve">(the </w:t>
      </w:r>
      <w:hyperlink w:anchor="c_tl_section_cyber">
        <w:r>
          <w:rPr>
            <w:color w:val="2E5C4E"/>
            <w:u w:val="single"/>
          </w:rPr>
          <w:t xml:space="preserve">Cyber Protection</w:t>
        </w:r>
      </w:hyperlink>
      <w:r>
        <w:rPr>
          <w:b w:val="0"/>
          <w:i w:val="0"/>
        </w:rPr>
        <w:t xml:space="preserve"> section and Cyber Liability Extension only.) Arising from planned or scheduled downtime of your systems or your technology provider's systems. However, this does not apply where you deliberately took systems offline to manage a cyber security breach.</w:t>
      </w:r>
    </w:p>
    <w:p>
      <w:bookmarkStart w:id="118" w:name="c_tl_excl_pollution"/>
      <w:r>
        <w:rPr>
          <w:rFonts w:ascii="Georgia" w:hAnsi="Georgia" w:eastAsia="Georgia"/>
          <w:b/>
          <w:i w:val="0"/>
          <w:color w:val="2E5C4E"/>
          <w:sz w:val="25"/>
        </w:rPr>
        <w:t>Pollution</w:t>
      </w:r>
      <w:bookmarkEnd w:id="118"/>
    </w:p>
    <w:p>
      <w:r>
        <w:rPr>
          <w:b w:val="0"/>
          <w:i w:val="0"/>
        </w:rPr>
        <w:t xml:space="preserve">Arising from the discharge, release, or escape of any pollutant, or any remediation thereof. However, in the </w:t>
      </w:r>
      <w:hyperlink w:anchor="c_tl_section_liability">
        <w:r>
          <w:rPr>
            <w:color w:val="2E5C4E"/>
            <w:u w:val="single"/>
          </w:rPr>
          <w:t xml:space="preserve">Public and Products Liability</w:t>
        </w:r>
      </w:hyperlink>
      <w:r>
        <w:rPr>
          <w:b w:val="0"/>
          <w:i w:val="0"/>
        </w:rPr>
        <w:t xml:space="preserve"> section, this does not apply to sudden, unexpected, and unintended pollution during the policy period.</w:t>
      </w:r>
    </w:p>
    <w:p>
      <w:bookmarkStart w:id="119" w:name="c_tl_excl_prior_or_pending"/>
      <w:r>
        <w:rPr>
          <w:rFonts w:ascii="Georgia" w:hAnsi="Georgia" w:eastAsia="Georgia"/>
          <w:b/>
          <w:i w:val="0"/>
          <w:color w:val="2E5C4E"/>
          <w:sz w:val="25"/>
        </w:rPr>
        <w:t>Prior or Pending</w:t>
      </w:r>
      <w:bookmarkEnd w:id="119"/>
    </w:p>
    <w:p>
      <w:r>
        <w:rPr>
          <w:b w:val="0"/>
          <w:i w:val="0"/>
        </w:rPr>
        <w:t>Arising from: (a) matters disclosed or threatened before the policy period; (b) facts or circumstances previously notified or which you knew might give rise to a claim. Subject to the Continuous Cover Extension (</w:t>
      </w:r>
      <w:hyperlink w:anchor="c_tl_ext_continuous_cover">
        <w:r>
          <w:rPr>
            <w:color w:val="2E5C4E"/>
            <w:u w:val="single"/>
          </w:rPr>
          <w:t xml:space="preserve">the Continuous Cover extension</w:t>
        </w:r>
      </w:hyperlink>
      <w:r>
        <w:rPr>
          <w:b w:val="0"/>
          <w:i w:val="0"/>
        </w:rPr>
        <w:t>).</w:t>
      </w:r>
    </w:p>
    <w:p>
      <w:bookmarkStart w:id="120" w:name="c_tl_excl_product_defect_recall_repair_a"/>
      <w:r>
        <w:rPr>
          <w:rFonts w:ascii="Georgia" w:hAnsi="Georgia" w:eastAsia="Georgia"/>
          <w:b/>
          <w:i w:val="0"/>
          <w:color w:val="2E5C4E"/>
          <w:sz w:val="25"/>
        </w:rPr>
        <w:t>Product Defect, Recall, Repair, and Replacement</w:t>
      </w:r>
      <w:bookmarkEnd w:id="120"/>
    </w:p>
    <w:p>
      <w:r>
        <w:rPr>
          <w:b w:val="0"/>
          <w:i w:val="0"/>
        </w:rPr>
        <w:t xml:space="preserve">(a) Property damage to your own product from a defect; (b) cost of correcting or improving your work; (c) withdrawal, recall, inspection, repair, replacement, or refund of any technology product/service. Subject to </w:t>
      </w:r>
      <w:hyperlink w:anchor="c_tl_ext_product_recall_expenses">
        <w:r>
          <w:rPr>
            <w:color w:val="2E5C4E"/>
            <w:u w:val="single"/>
          </w:rPr>
          <w:t xml:space="preserve">the Product Recall Expenses extension</w:t>
        </w:r>
      </w:hyperlink>
      <w:r>
        <w:rPr>
          <w:b w:val="0"/>
          <w:i w:val="0"/>
        </w:rPr>
        <w:t>.</w:t>
      </w:r>
    </w:p>
    <w:p>
      <w:bookmarkStart w:id="121" w:name="c_tl_excl_property_in_your_control"/>
      <w:r>
        <w:rPr>
          <w:rFonts w:ascii="Georgia" w:hAnsi="Georgia" w:eastAsia="Georgia"/>
          <w:b/>
          <w:i w:val="0"/>
          <w:color w:val="2E5C4E"/>
          <w:sz w:val="25"/>
        </w:rPr>
        <w:t>Property in Your Control</w:t>
      </w:r>
      <w:bookmarkEnd w:id="121"/>
    </w:p>
    <w:p>
      <w:r>
        <w:rPr>
          <w:b w:val="0"/>
          <w:i w:val="0"/>
        </w:rPr>
        <w:t xml:space="preserve">(the </w:t>
      </w:r>
      <w:hyperlink w:anchor="c_tl_section_liability">
        <w:r>
          <w:rPr>
            <w:color w:val="2E5C4E"/>
            <w:u w:val="single"/>
          </w:rPr>
          <w:t xml:space="preserve">Public and Products Liability</w:t>
        </w:r>
      </w:hyperlink>
      <w:r>
        <w:rPr>
          <w:b w:val="0"/>
          <w:i w:val="0"/>
        </w:rPr>
        <w:t xml:space="preserve"> section only.) Property damage to property owned by or in your control. Subject to </w:t>
      </w:r>
      <w:hyperlink w:anchor="c_tl_ext_physical_and_legal_control">
        <w:r>
          <w:rPr>
            <w:color w:val="2E5C4E"/>
            <w:u w:val="single"/>
          </w:rPr>
          <w:t xml:space="preserve">the Physical and Legal Control extension</w:t>
        </w:r>
      </w:hyperlink>
      <w:r>
        <w:rPr>
          <w:b w:val="0"/>
          <w:i w:val="0"/>
        </w:rPr>
        <w:t>.</w:t>
      </w:r>
    </w:p>
    <w:p>
      <w:bookmarkStart w:id="122" w:name="c_tl_excl_related_entities"/>
      <w:r>
        <w:rPr>
          <w:rFonts w:ascii="Georgia" w:hAnsi="Georgia" w:eastAsia="Georgia"/>
          <w:b/>
          <w:i w:val="0"/>
          <w:color w:val="2E5C4E"/>
          <w:sz w:val="25"/>
        </w:rPr>
        <w:t>Related Entities</w:t>
      </w:r>
      <w:bookmarkEnd w:id="122"/>
    </w:p>
    <w:p>
      <w:r>
        <w:rPr>
          <w:b w:val="0"/>
          <w:i w:val="0"/>
        </w:rPr>
        <w:t>Any claim brought by an insured, a parent, successor, or any entity in which an insured or executive officer has an executive or controlling interest.</w:t>
      </w:r>
    </w:p>
    <w:p>
      <w:bookmarkStart w:id="123" w:name="c_tl_excl_retroactive_date"/>
      <w:r>
        <w:rPr>
          <w:rFonts w:ascii="Georgia" w:hAnsi="Georgia" w:eastAsia="Georgia"/>
          <w:b/>
          <w:i w:val="0"/>
          <w:color w:val="2E5C4E"/>
          <w:sz w:val="25"/>
        </w:rPr>
        <w:t>Retroactive Date</w:t>
      </w:r>
      <w:bookmarkEnd w:id="123"/>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only.) Any act, event, error, or omission before the retroactive date in the schedule.</w:t>
      </w:r>
    </w:p>
    <w:p>
      <w:bookmarkStart w:id="124" w:name="c_tl_excl_sanctions"/>
      <w:r>
        <w:rPr>
          <w:rFonts w:ascii="Georgia" w:hAnsi="Georgia" w:eastAsia="Georgia"/>
          <w:b/>
          <w:i w:val="0"/>
          <w:color w:val="2E5C4E"/>
          <w:sz w:val="25"/>
        </w:rPr>
        <w:t>Sanctions</w:t>
      </w:r>
      <w:bookmarkEnd w:id="124"/>
    </w:p>
    <w:p>
      <w:r>
        <w:rPr>
          <w:b w:val="0"/>
          <w:i w:val="0"/>
        </w:rPr>
        <w:t>Any claim, loss, or cyber loss, to the extent that making a payment or providing a benefit would breach, or expose us to enforcement action under: (a) the Autonomous Sanctions Act 2011 (Cth) or the Charter of the United Nations Act 1945 (Cth); or (b) as a deliberate additional scope choice, any trade or economic sanctions law of the United Nations, the European Union, the United Kingdom, the United States, or Australia.</w:t>
      </w:r>
    </w:p>
    <w:p>
      <w:bookmarkStart w:id="125" w:name="c_tl_excl_securities_law"/>
      <w:r>
        <w:rPr>
          <w:rFonts w:ascii="Georgia" w:hAnsi="Georgia" w:eastAsia="Georgia"/>
          <w:b/>
          <w:i w:val="0"/>
          <w:color w:val="2E5C4E"/>
          <w:sz w:val="25"/>
        </w:rPr>
        <w:t>Securities Law</w:t>
      </w:r>
      <w:bookmarkEnd w:id="125"/>
    </w:p>
    <w:p>
      <w:r>
        <w:rPr>
          <w:b w:val="0"/>
          <w:i w:val="0"/>
        </w:rPr>
        <w:t>Any actual or alleged breach of a law regulating the offering, issue, purchase, or sale of securities, including Chapters 6D (fundraising) and 6CA (continuous disclosure) of the Corporations Act 2001 (Cth), or any comparable law of another jurisdiction.</w:t>
      </w:r>
    </w:p>
    <w:p>
      <w:bookmarkStart w:id="126" w:name="c_tl_excl_terrorism"/>
      <w:r>
        <w:rPr>
          <w:rFonts w:ascii="Georgia" w:hAnsi="Georgia" w:eastAsia="Georgia"/>
          <w:b/>
          <w:i w:val="0"/>
          <w:color w:val="2E5C4E"/>
          <w:sz w:val="25"/>
        </w:rPr>
        <w:t>Terrorism</w:t>
      </w:r>
      <w:bookmarkEnd w:id="126"/>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liability">
        <w:r>
          <w:rPr>
            <w:color w:val="2E5C4E"/>
            <w:u w:val="single"/>
          </w:rPr>
          <w:t xml:space="preserve">Public and Products Liability</w:t>
        </w:r>
      </w:hyperlink>
      <w:r>
        <w:rPr>
          <w:b w:val="0"/>
          <w:i w:val="0"/>
        </w:rPr>
        <w:t xml:space="preserve"> sections only.) Any act of terrorism, including any action to control, prevent, or suppress terrorism. Where property damage under the </w:t>
      </w:r>
      <w:hyperlink w:anchor="c_tl_section_liability">
        <w:r>
          <w:rPr>
            <w:color w:val="2E5C4E"/>
            <w:u w:val="single"/>
          </w:rPr>
          <w:t xml:space="preserve">Public and Products Liability</w:t>
        </w:r>
      </w:hyperlink>
      <w:r>
        <w:rPr>
          <w:b w:val="0"/>
          <w:i w:val="0"/>
        </w:rPr>
        <w:t xml:space="preserve"> section arises from an incident declared a terrorist incident under the </w:t>
      </w:r>
      <w:r>
        <w:rPr>
          <w:b/>
          <w:i w:val="0"/>
        </w:rPr>
        <w:t>Terrorism Insurance Act 2003 (Cth)</w:t>
      </w:r>
      <w:r>
        <w:rPr>
          <w:b w:val="0"/>
          <w:i w:val="0"/>
        </w:rPr>
        <w:t>, that Act's provisions may override this exclusion to the extent it applies to eligible property; this exclusion does not purport to limit the operation of that Act.</w:t>
      </w:r>
    </w:p>
    <w:p>
      <w:bookmarkStart w:id="127" w:name="c_tl_excl_trading_debts"/>
      <w:r>
        <w:rPr>
          <w:rFonts w:ascii="Georgia" w:hAnsi="Georgia" w:eastAsia="Georgia"/>
          <w:b/>
          <w:i w:val="0"/>
          <w:color w:val="2E5C4E"/>
          <w:sz w:val="25"/>
        </w:rPr>
        <w:t>Trading Debts</w:t>
      </w:r>
      <w:bookmarkEnd w:id="127"/>
    </w:p>
    <w:p>
      <w:r>
        <w:rPr>
          <w:b w:val="0"/>
          <w:i w:val="0"/>
        </w:rPr>
        <w:t xml:space="preserve">(a) Trading losses or liabilities; (b) lost electronic fund transfers; (c) face value of over-redeemed coupons/vouchers; (d) theft of money, securities, or cryptocurrency; (e) value of transferred funds or cryptocurrency. Subject to </w:t>
      </w:r>
      <w:hyperlink w:anchor="c_tl_ext_cyber_crime">
        <w:r>
          <w:rPr>
            <w:color w:val="2E5C4E"/>
            <w:u w:val="single"/>
          </w:rPr>
          <w:t xml:space="preserve">the Cyber Crime extension</w:t>
        </w:r>
      </w:hyperlink>
      <w:r>
        <w:rPr>
          <w:b w:val="0"/>
          <w:i w:val="0"/>
        </w:rPr>
        <w:t xml:space="preserve"> for the Cyber Protection section.</w:t>
      </w:r>
    </w:p>
    <w:p>
      <w:bookmarkStart w:id="128" w:name="c_tl_excl_unsolicited_communications"/>
      <w:r>
        <w:rPr>
          <w:rFonts w:ascii="Georgia" w:hAnsi="Georgia" w:eastAsia="Georgia"/>
          <w:b/>
          <w:i w:val="0"/>
          <w:color w:val="2E5C4E"/>
          <w:sz w:val="25"/>
        </w:rPr>
        <w:t>Unsolicited Communications</w:t>
      </w:r>
      <w:bookmarkEnd w:id="128"/>
    </w:p>
    <w:p>
      <w:r>
        <w:rPr>
          <w:b w:val="0"/>
          <w:i w:val="0"/>
        </w:rPr>
        <w:t>Breach of the Spam Act 2003 (Cth) or equivalent anti-spam legislation.</w:t>
      </w:r>
    </w:p>
    <w:p>
      <w:bookmarkStart w:id="129" w:name="c_tl_excl_vehicles"/>
      <w:r>
        <w:rPr>
          <w:rFonts w:ascii="Georgia" w:hAnsi="Georgia" w:eastAsia="Georgia"/>
          <w:b/>
          <w:i w:val="0"/>
          <w:color w:val="2E5C4E"/>
          <w:sz w:val="25"/>
        </w:rPr>
        <w:t>Vehicles</w:t>
      </w:r>
      <w:bookmarkEnd w:id="129"/>
    </w:p>
    <w:p>
      <w:r>
        <w:rPr>
          <w:b w:val="0"/>
          <w:i w:val="0"/>
        </w:rPr>
        <w:t xml:space="preserve">(the </w:t>
      </w:r>
      <w:hyperlink w:anchor="c_tl_section_liability">
        <w:r>
          <w:rPr>
            <w:color w:val="2E5C4E"/>
            <w:u w:val="single"/>
          </w:rPr>
          <w:t xml:space="preserve">Public and Products Liability</w:t>
        </w:r>
      </w:hyperlink>
      <w:r>
        <w:rPr>
          <w:b w:val="0"/>
          <w:i w:val="0"/>
        </w:rPr>
        <w:t xml:space="preserve"> section only.) Personal injury or property damage from ownership, maintenance, or use of registered vehicles or vehicles requiring compulsory insurance. However, this does not apply to injury/damage from loading or unloading.</w:t>
      </w:r>
    </w:p>
    <w:p>
      <w:bookmarkStart w:id="130" w:name="c_tl_excl_war_and_state_cyber_operations"/>
      <w:r>
        <w:rPr>
          <w:rFonts w:ascii="Georgia" w:hAnsi="Georgia" w:eastAsia="Georgia"/>
          <w:b/>
          <w:i w:val="0"/>
          <w:color w:val="2E5C4E"/>
          <w:sz w:val="25"/>
        </w:rPr>
        <w:t>War and State Cyber Operations</w:t>
      </w:r>
      <w:bookmarkEnd w:id="130"/>
    </w:p>
    <w:p>
      <w:r>
        <w:rPr>
          <w:b w:val="0"/>
          <w:i w:val="0"/>
        </w:rPr>
        <w:t xml:space="preserve">Arising, directly or indirectly, from: (a) war, whether or not war has been declared; (b) the use of a computer system, by or on behalf of a state, to cause harm in the course of war or in its immediate lead-up; or (c) the use of a computer system, by or on behalf of a state, that has a major disabling effect on the essential functions of another state — for example its financial system, its energy or water supply, or its public-health or security capability. Paragraph (c) does not apply, for the </w:t>
      </w:r>
      <w:hyperlink w:anchor="c_tl_section_cyber">
        <w:r>
          <w:rPr>
            <w:color w:val="2E5C4E"/>
            <w:u w:val="single"/>
          </w:rPr>
          <w:t xml:space="preserve">Cyber Protection</w:t>
        </w:r>
      </w:hyperlink>
      <w:r>
        <w:rPr>
          <w:b w:val="0"/>
          <w:i w:val="0"/>
        </w:rPr>
        <w:t xml:space="preserve"> section and the Cyber Liability Extension of the </w:t>
      </w:r>
      <w:hyperlink w:anchor="c_tl_section_liability">
        <w:r>
          <w:rPr>
            <w:color w:val="2E5C4E"/>
            <w:u w:val="single"/>
          </w:rPr>
          <w:t xml:space="preserve">Public and Products Liability</w:t>
        </w:r>
      </w:hyperlink>
      <w:r>
        <w:rPr>
          <w:b w:val="0"/>
          <w:i w:val="0"/>
        </w:rPr>
        <w:t xml:space="preserve"> section, to the direct or indirect effect of such use on your computer system or your technology provider’s systems, provided those systems are not physically located in the state whose essential functions are affected.</w:t>
      </w:r>
    </w:p>
    <w:p>
      <w:r>
        <w:rPr>
          <w:b w:val="0"/>
          <w:i w:val="0"/>
        </w:rPr>
        <w:t>*In practice, if a state-backed group targets your business specifically, you remain covered — even if the attack is attributed to a government — unless it escalates into a state-level attack on another country’s essential services, or your systems sit in the country under attack.*</w:t>
      </w:r>
    </w:p>
    <w:p>
      <w:bookmarkStart w:id="131" w:name="c_tl_excl_wear_and_tear"/>
      <w:r>
        <w:rPr>
          <w:rFonts w:ascii="Georgia" w:hAnsi="Georgia" w:eastAsia="Georgia"/>
          <w:b/>
          <w:i w:val="0"/>
          <w:color w:val="2E5C4E"/>
          <w:sz w:val="25"/>
        </w:rPr>
        <w:t>Wear and Tear</w:t>
      </w:r>
      <w:bookmarkEnd w:id="131"/>
    </w:p>
    <w:p>
      <w:r>
        <w:rPr>
          <w:b w:val="0"/>
          <w:i w:val="0"/>
        </w:rPr>
        <w:t xml:space="preserve">(the </w:t>
      </w:r>
      <w:hyperlink w:anchor="c_tl_section_cyber">
        <w:r>
          <w:rPr>
            <w:color w:val="2E5C4E"/>
            <w:u w:val="single"/>
          </w:rPr>
          <w:t xml:space="preserve">Cyber Protection</w:t>
        </w:r>
      </w:hyperlink>
      <w:r>
        <w:rPr>
          <w:b w:val="0"/>
          <w:i w:val="0"/>
        </w:rPr>
        <w:t xml:space="preserve"> section and Cyber Liability Extension only.) Gradual deterioration or failure of electronic equipment in normal use.</w:t>
      </w:r>
    </w:p>
    <w:p>
      <w:bookmarkStart w:id="132" w:name="c_tl_excl_wrongful_data_collection"/>
      <w:r>
        <w:rPr>
          <w:rFonts w:ascii="Georgia" w:hAnsi="Georgia" w:eastAsia="Georgia"/>
          <w:b/>
          <w:i w:val="0"/>
          <w:color w:val="2E5C4E"/>
          <w:sz w:val="25"/>
        </w:rPr>
        <w:t>Wrongful Data Collection</w:t>
      </w:r>
      <w:bookmarkEnd w:id="132"/>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and Cyber Liability Extension only.) Unauthorised or wrongful collection, storage, transfer, or sharing of personal information, including internet search history and browsing habits.</w:t>
      </w:r>
    </w:p>
    <w:p>
      <w:bookmarkStart w:id="133" w:name="c_tl_section_claims_conditions"/>
      <w:r>
        <w:rPr>
          <w:rFonts w:ascii="Georgia" w:hAnsi="Georgia" w:eastAsia="Georgia"/>
          <w:b/>
          <w:i w:val="0"/>
          <w:color w:val="1C1915"/>
          <w:sz w:val="32"/>
        </w:rPr>
        <w:t>Claims Conditions</w:t>
      </w:r>
      <w:bookmarkEnd w:id="133"/>
    </w:p>
    <w:p>
      <w:bookmarkStart w:id="134" w:name="c_tl_obl_notification"/>
      <w:r>
        <w:rPr>
          <w:rFonts w:ascii="Georgia" w:hAnsi="Georgia" w:eastAsia="Georgia"/>
          <w:b/>
          <w:i w:val="0"/>
          <w:color w:val="2E5C4E"/>
          <w:sz w:val="25"/>
        </w:rPr>
        <w:t>Notification</w:t>
      </w:r>
      <w:bookmarkEnd w:id="134"/>
    </w:p>
    <w:p>
      <w:r>
        <w:rPr>
          <w:b w:val="0"/>
          <w:i w:val="0"/>
        </w:rPr>
        <w:t xml:space="preserve">(a) The </w:t>
      </w:r>
      <w:hyperlink w:anchor="c_tl_section_professional_liability">
        <w:r>
          <w:rPr>
            <w:color w:val="2E5C4E"/>
            <w:u w:val="single"/>
          </w:rPr>
          <w:t xml:space="preserve">Technology Professional Liability</w:t>
        </w:r>
      </w:hyperlink>
      <w:r>
        <w:rPr>
          <w:b w:val="0"/>
          <w:i w:val="0"/>
        </w:rPr>
        <w:t xml:space="preserve"> section (claims-made): tell us in writing as soon as you become aware of a claim or inquiry. You may also notify us in writing, during the policy period, of specific facts or circumstances that may give rise to a claim, giving full particulars known to you. </w:t>
      </w:r>
      <w:r>
        <w:rPr>
          <w:b/>
          <w:i w:val="0"/>
        </w:rPr>
        <w:t>A notification under this paragraph is a notification of facts under s.40(3) of the Insurance Contracts Act 1984 (Cth).</w:t>
      </w:r>
    </w:p>
    <w:p>
      <w:r>
        <w:rPr>
          <w:b w:val="0"/>
          <w:i w:val="0"/>
        </w:rPr>
        <w:t xml:space="preserve">(b) The </w:t>
      </w:r>
      <w:hyperlink w:anchor="c_tl_section_cyber">
        <w:r>
          <w:rPr>
            <w:color w:val="2E5C4E"/>
            <w:u w:val="single"/>
          </w:rPr>
          <w:t xml:space="preserve">Cyber Protection</w:t>
        </w:r>
      </w:hyperlink>
      <w:r>
        <w:rPr>
          <w:b w:val="0"/>
          <w:i w:val="0"/>
        </w:rPr>
        <w:t xml:space="preserve"> section (claims-made / discovery): if any member of your </w:t>
      </w:r>
      <w:r>
        <w:rPr>
          <w:b/>
          <w:i w:val="0"/>
        </w:rPr>
        <w:t>control group</w:t>
      </w:r>
      <w:r>
        <w:rPr>
          <w:b w:val="0"/>
          <w:i w:val="0"/>
        </w:rPr>
        <w:t xml:space="preserve"> (as defined) becomes aware of a claim, cyber loss, or any circumstance that may give rise to a claim or cyber loss, you must notify: (i) the incident response panel shown in the schedule; and (ii) us — as soon as reasonably practicable during the policy period. </w:t>
      </w:r>
      <w:r>
        <w:rPr>
          <w:b/>
          <w:i w:val="0"/>
        </w:rPr>
        <w:t>A notification of circumstances under this paragraph is also a notification of facts under s.40(3) of the Act.</w:t>
      </w:r>
    </w:p>
    <w:p>
      <w:r>
        <w:rPr>
          <w:b w:val="0"/>
          <w:i w:val="0"/>
        </w:rPr>
        <w:t xml:space="preserve">(c) The </w:t>
      </w:r>
      <w:hyperlink w:anchor="c_tl_section_liability">
        <w:r>
          <w:rPr>
            <w:color w:val="2E5C4E"/>
            <w:u w:val="single"/>
          </w:rPr>
          <w:t xml:space="preserve">Public and Products Liability</w:t>
        </w:r>
      </w:hyperlink>
      <w:r>
        <w:rPr>
          <w:b w:val="0"/>
          <w:i w:val="0"/>
        </w:rPr>
        <w:t xml:space="preserve"> section (occurrence): tell us in writing as soon as you become aware of a claim, inquiry, or loss.</w:t>
      </w:r>
    </w:p>
    <w:p>
      <w:bookmarkStart w:id="135" w:name="c_tl_cond_defence_and_settlement"/>
      <w:r>
        <w:rPr>
          <w:rFonts w:ascii="Georgia" w:hAnsi="Georgia" w:eastAsia="Georgia"/>
          <w:b/>
          <w:i w:val="0"/>
          <w:color w:val="2E5C4E"/>
          <w:sz w:val="25"/>
        </w:rPr>
        <w:t>Defence and Settlement</w:t>
      </w:r>
      <w:bookmarkEnd w:id="135"/>
    </w:p>
    <w:p>
      <w:r>
        <w:rPr>
          <w:b w:val="0"/>
          <w:i w:val="0"/>
        </w:rPr>
        <w:t>We may: (a) instruct you to conduct the defence if we believe the claim will not exceed the retention; (b) take over and conduct the defence or settlement of any claim at any time.</w:t>
      </w:r>
    </w:p>
    <w:p>
      <w:r>
        <w:rPr>
          <w:b w:val="0"/>
          <w:i w:val="0"/>
        </w:rPr>
        <w:t>You must not negotiate, settle, admit liability, or incur defence costs without our written consent (which we will not unreasonably withhold).</w:t>
      </w:r>
    </w:p>
    <w:p>
      <w:bookmarkStart w:id="136" w:name="c_tl_pay_allocation"/>
      <w:r>
        <w:rPr>
          <w:rFonts w:ascii="Georgia" w:hAnsi="Georgia" w:eastAsia="Georgia"/>
          <w:b/>
          <w:i w:val="0"/>
          <w:color w:val="2E5C4E"/>
          <w:sz w:val="25"/>
        </w:rPr>
        <w:t>Allocation</w:t>
      </w:r>
      <w:bookmarkEnd w:id="136"/>
    </w:p>
    <w:p>
      <w:r>
        <w:rPr>
          <w:b w:val="0"/>
          <w:i w:val="0"/>
        </w:rPr>
        <w:t>Where a claim involves both covered and uncovered matters, we will work with you to agree a fair and proper allocation. If we cannot agree, the matter is referred to Senior Counsel (mutually agreed or appointed by the relevant Law Society president) whose opinion is binding. Senior Counsel's costs are treated as defence costs.</w:t>
      </w:r>
    </w:p>
    <w:p>
      <w:bookmarkStart w:id="137" w:name="c_tl_pay_related_claims_and_aggregation"/>
      <w:r>
        <w:rPr>
          <w:rFonts w:ascii="Georgia" w:hAnsi="Georgia" w:eastAsia="Georgia"/>
          <w:b/>
          <w:i w:val="0"/>
          <w:color w:val="2E5C4E"/>
          <w:sz w:val="25"/>
        </w:rPr>
        <w:t>Related Claims and Aggregation</w:t>
      </w:r>
      <w:bookmarkEnd w:id="137"/>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(claims):** All claims arising from the same, similar, or related act, error, or omission (or a series of related acts, errors, or omissions) are deemed one claim, made at the time the earliest of them was first made. A claim arising from a circumstance notified under </w:t>
      </w:r>
      <w:hyperlink w:anchor="c_tl_obl_notification">
        <w:r>
          <w:rPr>
            <w:color w:val="2E5C4E"/>
            <w:u w:val="single"/>
          </w:rPr>
          <w:t xml:space="preserve">the Notification obligation</w:t>
        </w:r>
      </w:hyperlink>
      <w:r>
        <w:rPr>
          <w:b w:val="0"/>
          <w:i w:val="0"/>
        </w:rPr>
        <w:t xml:space="preserve"> is deemed to have been made at the time of that notification.</w:t>
      </w:r>
    </w:p>
    <w:p>
      <w:r>
        <w:rPr>
          <w:b w:val="0"/>
          <w:i w:val="0"/>
        </w:rPr>
        <w:t xml:space="preserve">**The </w:t>
      </w:r>
      <w:hyperlink w:anchor="c_tl_section_cyber">
        <w:r>
          <w:rPr>
            <w:color w:val="2E5C4E"/>
            <w:u w:val="single"/>
          </w:rPr>
          <w:t xml:space="preserve">Cyber Protection</w:t>
        </w:r>
      </w:hyperlink>
      <w:r>
        <w:rPr>
          <w:b w:val="0"/>
          <w:i w:val="0"/>
        </w:rPr>
        <w:t xml:space="preserve"> section (cyber loss):** All cyber loss arising from the same, similar, or related act, event, or originating cause is deemed one cyber loss, occurring when first discovered. Where related events span more than one policy period, the entire series is treated as occurring in, and is subject to the limit of liability, retention, and terms of, the policy period in which it was first discovered.</w:t>
      </w:r>
    </w:p>
    <w:p>
      <w:r>
        <w:rPr>
          <w:b w:val="0"/>
          <w:i w:val="0"/>
        </w:rPr>
        <w:t xml:space="preserve">**The </w:t>
      </w:r>
      <w:hyperlink w:anchor="c_tl_section_liability">
        <w:r>
          <w:rPr>
            <w:color w:val="2E5C4E"/>
            <w:u w:val="single"/>
          </w:rPr>
          <w:t xml:space="preserve">Public and Products Liability</w:t>
        </w:r>
      </w:hyperlink>
      <w:r>
        <w:rPr>
          <w:b w:val="0"/>
          <w:i w:val="0"/>
        </w:rPr>
        <w:t xml:space="preserve"> section:** All personal injury and property damage from continuous or repeated exposure to the same conditions is deemed one occurrence.</w:t>
      </w:r>
    </w:p>
    <w:p>
      <w:bookmarkStart w:id="138" w:name="c_tl_cond_senior_counsel"/>
      <w:r>
        <w:rPr>
          <w:rFonts w:ascii="Georgia" w:hAnsi="Georgia" w:eastAsia="Georgia"/>
          <w:b/>
          <w:i w:val="0"/>
          <w:color w:val="2E5C4E"/>
          <w:sz w:val="25"/>
        </w:rPr>
        <w:t>Senior Counsel Clause</w:t>
      </w:r>
      <w:bookmarkEnd w:id="138"/>
    </w:p>
    <w:p>
      <w:r>
        <w:rPr>
          <w:b w:val="0"/>
          <w:i w:val="0"/>
        </w:rPr>
        <w:t>We will not require you to contest any claim unless Senior Counsel advises that the claim should be contested, taking into account the likely damages, defence costs, and prospects of success. Senior Counsel's costs are part of defence costs.</w:t>
      </w:r>
    </w:p>
    <w:p>
      <w:bookmarkStart w:id="139" w:name="c_tl_cond_right_to_contest"/>
      <w:r>
        <w:rPr>
          <w:rFonts w:ascii="Georgia" w:hAnsi="Georgia" w:eastAsia="Georgia"/>
          <w:b/>
          <w:i w:val="0"/>
          <w:color w:val="2E5C4E"/>
          <w:sz w:val="25"/>
        </w:rPr>
        <w:t>Right to Contest</w:t>
      </w:r>
      <w:bookmarkEnd w:id="139"/>
    </w:p>
    <w:p>
      <w:r>
        <w:rPr>
          <w:b w:val="0"/>
          <w:i w:val="0"/>
        </w:rPr>
        <w:t>If we recommend a settlement and you disagree, you may contest the claim — but our liability is then limited to the amount for which the claim could have been settled, plus defence costs to the date of your election, less the retention.</w:t>
      </w:r>
    </w:p>
    <w:p>
      <w:bookmarkStart w:id="140" w:name="c_tl_section_general_conditions"/>
      <w:r>
        <w:rPr>
          <w:rFonts w:ascii="Georgia" w:hAnsi="Georgia" w:eastAsia="Georgia"/>
          <w:b/>
          <w:i w:val="0"/>
          <w:color w:val="1C1915"/>
          <w:sz w:val="32"/>
        </w:rPr>
        <w:t>General Conditions</w:t>
      </w:r>
      <w:bookmarkEnd w:id="140"/>
    </w:p>
    <w:p>
      <w:r>
        <w:rPr>
          <w:b w:val="0"/>
          <w:i w:val="0"/>
        </w:rPr>
        <w:t xml:space="preserve">*Threading note: in this the </w:t>
      </w:r>
      <w:hyperlink w:anchor="c_tl_section_general_conditions">
        <w:r>
          <w:rPr>
            <w:color w:val="2E5C4E"/>
            <w:u w:val="single"/>
          </w:rPr>
          <w:t xml:space="preserve">General Conditions</w:t>
        </w:r>
      </w:hyperlink>
      <w:r>
        <w:rPr>
          <w:b w:val="0"/>
          <w:i w:val="0"/>
        </w:rPr>
        <w:t xml:space="preserve"> section, a reference to a claim includes, for the </w:t>
      </w:r>
      <w:hyperlink w:anchor="c_tl_section_cyber">
        <w:r>
          <w:rPr>
            <w:color w:val="2E5C4E"/>
            <w:u w:val="single"/>
          </w:rPr>
          <w:t xml:space="preserve">Cyber Protection</w:t>
        </w:r>
      </w:hyperlink>
      <w:r>
        <w:rPr>
          <w:b w:val="0"/>
          <w:i w:val="0"/>
        </w:rPr>
        <w:t xml:space="preserve"> section, a reference to a cyber loss (as defined), except where this wording expressly distinguishes between them. This ensures the limits, non-accumulation and retention machinery below reaches the </w:t>
      </w:r>
      <w:hyperlink w:anchor="c_tl_section_cyber">
        <w:r>
          <w:rPr>
            <w:color w:val="2E5C4E"/>
            <w:u w:val="single"/>
          </w:rPr>
          <w:t xml:space="preserve">Cyber Protection</w:t>
        </w:r>
      </w:hyperlink>
      <w:r>
        <w:rPr>
          <w:b w:val="0"/>
          <w:i w:val="0"/>
        </w:rPr>
        <w:t xml:space="preserve"> section's first-party payments, not only its claims.*</w:t>
      </w:r>
    </w:p>
    <w:p>
      <w:bookmarkStart w:id="141" w:name="c_tl_pay_limits_of_liability"/>
      <w:r>
        <w:rPr>
          <w:rFonts w:ascii="Georgia" w:hAnsi="Georgia" w:eastAsia="Georgia"/>
          <w:b/>
          <w:i w:val="0"/>
          <w:color w:val="2E5C4E"/>
          <w:sz w:val="25"/>
        </w:rPr>
        <w:t>Limits of Liability</w:t>
      </w:r>
      <w:bookmarkEnd w:id="141"/>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The limit of liability is the most we will pay for any single claim. The aggregate limit is the most we will pay in the policy period.</w:t>
      </w:r>
    </w:p>
    <w:p>
      <w:r>
        <w:rPr>
          <w:b w:val="0"/>
          <w:i w:val="0"/>
        </w:rPr>
        <w:t xml:space="preserve">The </w:t>
      </w:r>
      <w:hyperlink w:anchor="c_tl_section_cyber">
        <w:r>
          <w:rPr>
            <w:color w:val="2E5C4E"/>
            <w:u w:val="single"/>
          </w:rPr>
          <w:t xml:space="preserve">Cyber Protection</w:t>
        </w:r>
      </w:hyperlink>
      <w:r>
        <w:rPr>
          <w:b w:val="0"/>
          <w:i w:val="0"/>
        </w:rPr>
        <w:t xml:space="preserve"> section: The limit of liability applies to each insuring agreement, to each claim and to each cyber loss. The aggregate limit is the most we will pay in the policy period for all claims and all cyber loss under the </w:t>
      </w:r>
      <w:hyperlink w:anchor="c_tl_section_cyber">
        <w:r>
          <w:rPr>
            <w:color w:val="2E5C4E"/>
            <w:u w:val="single"/>
          </w:rPr>
          <w:t xml:space="preserve">Cyber Protection</w:t>
        </w:r>
      </w:hyperlink>
      <w:r>
        <w:rPr>
          <w:b w:val="0"/>
          <w:i w:val="0"/>
        </w:rPr>
        <w:t xml:space="preserve"> section combined.</w:t>
      </w:r>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combined: The aggregate limit shown in the schedule for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combined is the most we will pay across both sections.</w:t>
      </w:r>
    </w:p>
    <w:p>
      <w:r>
        <w:rPr>
          <w:b w:val="0"/>
          <w:i w:val="0"/>
        </w:rPr>
        <w:t xml:space="preserve">The </w:t>
      </w:r>
      <w:hyperlink w:anchor="c_tl_section_liability">
        <w:r>
          <w:rPr>
            <w:color w:val="2E5C4E"/>
            <w:u w:val="single"/>
          </w:rPr>
          <w:t xml:space="preserve">Public and Products Liability</w:t>
        </w:r>
      </w:hyperlink>
      <w:r>
        <w:rPr>
          <w:b w:val="0"/>
          <w:i w:val="0"/>
        </w:rPr>
        <w:t xml:space="preserve"> section: Public liability — limit of liability per claim, no aggregate. Products liability — limit of liability per claim, aggregate limit in the policy period. Defence costs are in addition to the limit (the </w:t>
      </w:r>
      <w:hyperlink w:anchor="c_tl_section_liability">
        <w:r>
          <w:rPr>
            <w:color w:val="2E5C4E"/>
            <w:u w:val="single"/>
          </w:rPr>
          <w:t xml:space="preserve">Public and Products Liability</w:t>
        </w:r>
      </w:hyperlink>
      <w:r>
        <w:rPr>
          <w:b w:val="0"/>
          <w:i w:val="0"/>
        </w:rPr>
        <w:t xml:space="preserve"> section only).</w:t>
      </w:r>
    </w:p>
    <w:p>
      <w:r>
        <w:rPr>
          <w:b w:val="0"/>
          <w:i w:val="0"/>
        </w:rPr>
        <w:t>All sections: All sub-limits are part of (not in addition to) the relevant limit. The inclusion of more than one insured does not increase the total payable.</w:t>
      </w:r>
    </w:p>
    <w:p>
      <w:bookmarkStart w:id="142" w:name="c_tl_pay_non_accumulation"/>
      <w:r>
        <w:rPr>
          <w:rFonts w:ascii="Georgia" w:hAnsi="Georgia" w:eastAsia="Georgia"/>
          <w:b/>
          <w:i w:val="0"/>
          <w:color w:val="2E5C4E"/>
          <w:sz w:val="25"/>
        </w:rPr>
        <w:t>Non-Accumulation</w:t>
      </w:r>
      <w:bookmarkEnd w:id="142"/>
    </w:p>
    <w:p>
      <w:r>
        <w:rPr>
          <w:b w:val="0"/>
          <w:i w:val="0"/>
        </w:rPr>
        <w:t xml:space="preserve">If a claim (or, for the </w:t>
      </w:r>
      <w:hyperlink w:anchor="c_tl_section_cyber">
        <w:r>
          <w:rPr>
            <w:color w:val="2E5C4E"/>
            <w:u w:val="single"/>
          </w:rPr>
          <w:t xml:space="preserve">Cyber Protection</w:t>
        </w:r>
      </w:hyperlink>
      <w:r>
        <w:rPr>
          <w:b w:val="0"/>
          <w:i w:val="0"/>
        </w:rPr>
        <w:t xml:space="preserve"> section, a cyber loss) could be indemnified under more than one section: (a) you are entitled to indemnity under one section only per claim or cyber loss; (b) the maximum liability across all sections is the highest single section limit; (c) limits do not accumulate across sections; (d) where more than one retention would apply, the highest applies.</w:t>
      </w:r>
    </w:p>
    <w:p>
      <w:r>
        <w:rPr>
          <w:b w:val="0"/>
          <w:i w:val="0"/>
        </w:rPr>
        <w:t xml:space="preserve">*WORKED EXAMPLE — NON-ACCUMULATION. You have the </w:t>
      </w:r>
      <w:hyperlink w:anchor="c_tl_section_professional_liability">
        <w:r>
          <w:rPr>
            <w:color w:val="2E5C4E"/>
            <w:u w:val="single"/>
          </w:rPr>
          <w:t xml:space="preserve">Technology Professional Liability</w:t>
        </w:r>
      </w:hyperlink>
      <w:r>
        <w:rPr>
          <w:b w:val="0"/>
          <w:i w:val="0"/>
        </w:rPr>
        <w:t xml:space="preserve"> section (PI) with a $5M limit, the </w:t>
      </w:r>
      <w:hyperlink w:anchor="c_tl_section_cyber">
        <w:r>
          <w:rPr>
            <w:color w:val="2E5C4E"/>
            <w:u w:val="single"/>
          </w:rPr>
          <w:t xml:space="preserve">Cyber Protection</w:t>
        </w:r>
      </w:hyperlink>
      <w:r>
        <w:rPr>
          <w:b w:val="0"/>
          <w:i w:val="0"/>
        </w:rPr>
        <w:t xml:space="preserve"> section (Cyber) with a $5M limit, and the </w:t>
      </w:r>
      <w:hyperlink w:anchor="c_tl_section_liability">
        <w:r>
          <w:rPr>
            <w:color w:val="2E5C4E"/>
            <w:u w:val="single"/>
          </w:rPr>
          <w:t xml:space="preserve">Public and Products Liability</w:t>
        </w:r>
      </w:hyperlink>
      <w:r>
        <w:rPr>
          <w:b w:val="0"/>
          <w:i w:val="0"/>
        </w:rPr>
        <w:t xml:space="preserve"> section (GL) with a $10M limit. A claim could potentially fall under both the </w:t>
      </w:r>
      <w:hyperlink w:anchor="c_tl_section_professional_liability">
        <w:r>
          <w:rPr>
            <w:color w:val="2E5C4E"/>
            <w:u w:val="single"/>
          </w:rPr>
          <w:t xml:space="preserve">Technology Professional Liability</w:t>
        </w:r>
      </w:hyperlink>
      <w:r>
        <w:rPr>
          <w:b w:val="0"/>
          <w:i w:val="0"/>
        </w:rPr>
        <w:t xml:space="preserve"> section and the </w:t>
      </w:r>
      <w:hyperlink w:anchor="c_tl_section_cyber">
        <w:r>
          <w:rPr>
            <w:color w:val="2E5C4E"/>
            <w:u w:val="single"/>
          </w:rPr>
          <w:t xml:space="preserve">Cyber Protection</w:t>
        </w:r>
      </w:hyperlink>
      <w:r>
        <w:rPr>
          <w:b w:val="0"/>
          <w:i w:val="0"/>
        </w:rPr>
        <w:t xml:space="preserve"> section. The maximum we will pay for that claim across all sections is $10M (the highest single section limit) — not $20M. If the claim is allocated to the </w:t>
      </w:r>
      <w:hyperlink w:anchor="c_tl_section_professional_liability">
        <w:r>
          <w:rPr>
            <w:color w:val="2E5C4E"/>
            <w:u w:val="single"/>
          </w:rPr>
          <w:t xml:space="preserve">Technology Professional Liability</w:t>
        </w:r>
      </w:hyperlink>
      <w:r>
        <w:rPr>
          <w:b w:val="0"/>
          <w:i w:val="0"/>
        </w:rPr>
        <w:t xml:space="preserve"> section, the most we pay is $5M.*</w:t>
      </w:r>
    </w:p>
    <w:p>
      <w:bookmarkStart w:id="143" w:name="c_tl_pay_retention"/>
      <w:r>
        <w:rPr>
          <w:rFonts w:ascii="Georgia" w:hAnsi="Georgia" w:eastAsia="Georgia"/>
          <w:b/>
          <w:i w:val="0"/>
          <w:color w:val="2E5C4E"/>
          <w:sz w:val="25"/>
        </w:rPr>
        <w:t>Retention</w:t>
      </w:r>
      <w:bookmarkEnd w:id="143"/>
    </w:p>
    <w:p>
      <w:r>
        <w:rPr>
          <w:b w:val="0"/>
          <w:i w:val="0"/>
        </w:rPr>
        <w:t xml:space="preserve">The retention is borne by you and must remain uninsured. We only pay amounts exceeding the retention, whether the amount is a claim or (for the </w:t>
      </w:r>
      <w:hyperlink w:anchor="c_tl_section_cyber">
        <w:r>
          <w:rPr>
            <w:color w:val="2E5C4E"/>
            <w:u w:val="single"/>
          </w:rPr>
          <w:t xml:space="preserve">Cyber Protection</w:t>
        </w:r>
      </w:hyperlink>
      <w:r>
        <w:rPr>
          <w:b w:val="0"/>
          <w:i w:val="0"/>
        </w:rPr>
        <w:t xml:space="preserve"> section) a cyber loss. Where a claim or cyber loss could fall under more than one insuring agreement or extension, only one retention applies (the highest), and the aggregation rule in </w:t>
      </w:r>
      <w:hyperlink w:anchor="c_tl_pay_related_claims_and_aggregation">
        <w:r>
          <w:rPr>
            <w:color w:val="2E5C4E"/>
            <w:u w:val="single"/>
          </w:rPr>
          <w:t xml:space="preserve">the Related Claims and Aggregation provision</w:t>
        </w:r>
      </w:hyperlink>
      <w:r>
        <w:rPr>
          <w:b w:val="0"/>
          <w:i w:val="0"/>
        </w:rPr>
        <w:t xml:space="preserve"> determines what counts as one claim or one cyber loss for this purpose.</w:t>
      </w:r>
    </w:p>
    <w:p>
      <w:r>
        <w:rPr>
          <w:b w:val="0"/>
          <w:i w:val="0"/>
        </w:rPr>
        <w:t xml:space="preserve">For the </w:t>
      </w:r>
      <w:hyperlink w:anchor="c_tl_section_cyber">
        <w:r>
          <w:rPr>
            <w:color w:val="2E5C4E"/>
            <w:u w:val="single"/>
          </w:rPr>
          <w:t xml:space="preserve">Cyber Protection</w:t>
        </w:r>
      </w:hyperlink>
      <w:r>
        <w:rPr>
          <w:b w:val="0"/>
          <w:i w:val="0"/>
        </w:rPr>
        <w:t xml:space="preserve"> section business interruption: the waiting period operates as a qualifying threshold (see the waiting period definition and </w:t>
      </w:r>
      <w:hyperlink w:anchor="c_tl_cover_business_interruption">
        <w:r>
          <w:rPr>
            <w:color w:val="2E5C4E"/>
            <w:u w:val="single"/>
          </w:rPr>
          <w:t xml:space="preserve">the Business Interruption clause</w:t>
        </w:r>
      </w:hyperlink>
      <w:r>
        <w:rPr>
          <w:b w:val="0"/>
          <w:i w:val="0"/>
        </w:rPr>
        <w:t xml:space="preserve"> and </w:t>
      </w:r>
      <w:hyperlink w:anchor="c_tl_cover_system_failure_business_inter">
        <w:r>
          <w:rPr>
            <w:color w:val="2E5C4E"/>
            <w:u w:val="single"/>
          </w:rPr>
          <w:t xml:space="preserve">the System Failure Business Interruption clause</w:t>
        </w:r>
      </w:hyperlink>
      <w:r>
        <w:rPr>
          <w:b w:val="0"/>
          <w:i w:val="0"/>
        </w:rPr>
        <w:t>). Once the interruption exceeds the waiting period, business interruption loss is measured from the start of the interruption, and any monetary retention then applies to that loss.</w:t>
      </w:r>
    </w:p>
    <w:p>
      <w:bookmarkStart w:id="144" w:name="c_tl_pay_other_insurance"/>
      <w:r>
        <w:rPr>
          <w:rFonts w:ascii="Georgia" w:hAnsi="Georgia" w:eastAsia="Georgia"/>
          <w:b/>
          <w:i w:val="0"/>
          <w:color w:val="2E5C4E"/>
          <w:sz w:val="25"/>
        </w:rPr>
        <w:t>Other Insurance</w:t>
      </w:r>
      <w:bookmarkEnd w:id="144"/>
    </w:p>
    <w:p>
      <w:r>
        <w:rPr>
          <w:b w:val="0"/>
          <w:i w:val="0"/>
        </w:rPr>
        <w:t xml:space="preserve">(a) </w:t>
      </w:r>
      <w:r>
        <w:rPr>
          <w:b/>
          <w:i w:val="0"/>
        </w:rPr>
        <w:t>Scope.</w:t>
      </w:r>
      <w:r>
        <w:rPr>
          <w:b w:val="0"/>
          <w:i w:val="0"/>
        </w:rPr>
        <w:t xml:space="preserve"> This clause applies only to other insurance of the same class, or responding to the same subject matter, as the section or extension under which you are claiming. It does not apply to insurance you are required by law to hold, and it does not affect the Excess Layer endorsement (E04) or any other insurance expressly written as specific excess over this policy.</w:t>
      </w:r>
    </w:p>
    <w:p>
      <w:r>
        <w:rPr>
          <w:b w:val="0"/>
          <w:i w:val="0"/>
        </w:rPr>
        <w:t xml:space="preserve">(b) </w:t>
      </w:r>
      <w:r>
        <w:rPr>
          <w:b/>
          <w:i w:val="0"/>
        </w:rPr>
        <w:t>General position.</w:t>
      </w:r>
      <w:r>
        <w:rPr>
          <w:b w:val="0"/>
          <w:i w:val="0"/>
        </w:rPr>
        <w:t xml:space="preserve"> To the extent permitted by law, where you have other valid and collectible insurance of that same class responding to the same claim or cyber loss, we will pay only our proportion of the loss, calculated by reference to the respective limits of liability available under each policy — unless the other insurance is written as specific excess over this policy, in which case this policy responds first.</w:t>
      </w:r>
    </w:p>
    <w:p>
      <w:r>
        <w:rPr>
          <w:b w:val="0"/>
          <w:i w:val="0"/>
        </w:rPr>
        <w:t xml:space="preserve">(c) **Priority at the the </w:t>
      </w:r>
      <w:hyperlink w:anchor="c_tl_section_cyber">
        <w:r>
          <w:rPr>
            <w:color w:val="2E5C4E"/>
            <w:u w:val="single"/>
          </w:rPr>
          <w:t xml:space="preserve">Cyber Protection</w:t>
        </w:r>
      </w:hyperlink>
      <w:r>
        <w:rPr>
          <w:b w:val="0"/>
          <w:i w:val="0"/>
        </w:rPr>
        <w:t xml:space="preserve"> section / standalone cyber policy boundary.** Where you hold both the </w:t>
      </w:r>
      <w:hyperlink w:anchor="c_tl_section_cyber">
        <w:r>
          <w:rPr>
            <w:color w:val="2E5C4E"/>
            <w:u w:val="single"/>
          </w:rPr>
          <w:t xml:space="preserve">Cyber Protection</w:t>
        </w:r>
      </w:hyperlink>
      <w:r>
        <w:rPr>
          <w:b w:val="0"/>
          <w:i w:val="0"/>
        </w:rPr>
        <w:t xml:space="preserve"> section of this policy and a standalone cyber insurance policy (including the Meridian Cyber wording) that could respond to the same cyber loss, this policy's the </w:t>
      </w:r>
      <w:hyperlink w:anchor="c_tl_section_cyber">
        <w:r>
          <w:rPr>
            <w:color w:val="2E5C4E"/>
            <w:u w:val="single"/>
          </w:rPr>
          <w:t xml:space="preserve">Cyber Protection</w:t>
        </w:r>
      </w:hyperlink>
      <w:r>
        <w:rPr>
          <w:b w:val="0"/>
          <w:i w:val="0"/>
        </w:rPr>
        <w:t xml:space="preserve"> section responds first for cyber loss arising from or in connection with your provision of technology products or technology services (i.e., professional-liability-triggered cyber events); a standalone cyber policy is intended to respond first for cyber loss unconnected with your provision of technology products or technology services.</w:t>
      </w:r>
    </w:p>
    <w:p>
      <w:r>
        <w:rPr>
          <w:b w:val="0"/>
          <w:i w:val="0"/>
        </w:rPr>
        <w:t xml:space="preserve">(d) </w:t>
      </w:r>
      <w:r>
        <w:rPr>
          <w:b/>
          <w:i w:val="0"/>
        </w:rPr>
        <w:t>Contribution tie-break.</w:t>
      </w:r>
      <w:r>
        <w:rPr>
          <w:b w:val="0"/>
          <w:i w:val="0"/>
        </w:rPr>
        <w:t xml:space="preserve"> If, after applying paragraphs (b) and (c), it remains unclear which policy is primary, or both insurers dispute priority, each insurer contributes rateably in the proportion its own applicable limit of liability bears to the total of the applicable limits of liability of both policies, pending resolution.</w:t>
      </w:r>
    </w:p>
    <w:p>
      <w:r>
        <w:rPr>
          <w:b w:val="0"/>
          <w:i w:val="0"/>
        </w:rPr>
        <w:t xml:space="preserve">(e) </w:t>
      </w:r>
      <w:r>
        <w:rPr>
          <w:b/>
          <w:i w:val="0"/>
        </w:rPr>
        <w:t>s.45.</w:t>
      </w:r>
      <w:r>
        <w:rPr>
          <w:b w:val="0"/>
          <w:i w:val="0"/>
        </w:rPr>
        <w:t xml:space="preserve"> Nothing in this clause limits your rights, or affects our obligations, under the Insurance Contracts Act 1984 (Cth), including s.45 (which voids a provision that purports to relieve an insurer from liability by reason of other insurance, except where a policy is expressed to be excess of a specified underlying policy). This clause is drafted, and is to be read, consistently with s.45.</w:t>
      </w:r>
    </w:p>
    <w:p>
      <w:bookmarkStart w:id="145" w:name="c_tl_cond_cancellation"/>
      <w:r>
        <w:rPr>
          <w:rFonts w:ascii="Georgia" w:hAnsi="Georgia" w:eastAsia="Georgia"/>
          <w:b/>
          <w:i w:val="0"/>
          <w:color w:val="2E5C4E"/>
          <w:sz w:val="25"/>
        </w:rPr>
        <w:t>Cancellation</w:t>
      </w:r>
      <w:bookmarkEnd w:id="145"/>
    </w:p>
    <w:p>
      <w:r>
        <w:rPr>
          <w:b w:val="0"/>
          <w:i w:val="0"/>
        </w:rPr>
        <w:t>By you: cancel at any time by written notice to us. Proportional refund of premium applies. Cancellation under this paragraph does not affect any claim, inquiry, loss, or notified circumstance arising before the cancellation date, which continues to be dealt with under this policy.</w:t>
      </w:r>
    </w:p>
    <w:p>
      <w:r>
        <w:rPr>
          <w:b w:val="0"/>
          <w:i w:val="0"/>
        </w:rPr>
        <w:t>By us: in any circumstances permitted by law, by giving you 30 days' written notice. Proportional refund.</w:t>
      </w:r>
    </w:p>
    <w:p>
      <w:bookmarkStart w:id="146" w:name="c_tl_cond_mergers_and_consolidations"/>
      <w:r>
        <w:rPr>
          <w:rFonts w:ascii="Georgia" w:hAnsi="Georgia" w:eastAsia="Georgia"/>
          <w:b/>
          <w:i w:val="0"/>
          <w:color w:val="2E5C4E"/>
          <w:sz w:val="25"/>
        </w:rPr>
        <w:t>Mergers and Consolidations</w:t>
      </w:r>
      <w:bookmarkEnd w:id="146"/>
    </w:p>
    <w:p>
      <w:r>
        <w:rPr>
          <w:b w:val="0"/>
          <w:i w:val="0"/>
        </w:rPr>
        <w:t xml:space="preserve">If you merge with, are acquired by, or sell 50%+ of your assets to another entity during the policy period, this policy continues to expiry — but only for claims arising from products/services provided before the event. No cover for post-event activity unless we agree in writing. **See also </w:t>
      </w:r>
      <w:hyperlink w:anchor="c_tl_ext_run_off">
        <w:r>
          <w:rPr>
            <w:color w:val="2E5C4E"/>
            <w:u w:val="single"/>
          </w:rPr>
          <w:t xml:space="preserve">the Run-Off extension</w:t>
        </w:r>
      </w:hyperlink>
      <w:r>
        <w:rPr>
          <w:b w:val="0"/>
          <w:i w:val="0"/>
        </w:rPr>
        <w:t xml:space="preserve">, which applies only to the </w:t>
      </w:r>
      <w:hyperlink w:anchor="c_tl_section_professional_liability">
        <w:r>
          <w:rPr>
            <w:color w:val="2E5C4E"/>
            <w:u w:val="single"/>
          </w:rPr>
          <w:t xml:space="preserve">Technology Professional Liability</w:t>
        </w:r>
      </w:hyperlink>
      <w:r>
        <w:rPr>
          <w:b w:val="0"/>
          <w:i w:val="0"/>
        </w:rPr>
        <w:t xml:space="preserve"> and </w:t>
      </w:r>
      <w:hyperlink w:anchor="c_tl_section_cyber">
        <w:r>
          <w:rPr>
            <w:color w:val="2E5C4E"/>
            <w:u w:val="single"/>
          </w:rPr>
          <w:t xml:space="preserve">Cyber Protection</w:t>
        </w:r>
      </w:hyperlink>
      <w:r>
        <w:rPr>
          <w:b w:val="0"/>
          <w:i w:val="0"/>
        </w:rPr>
        <w:t xml:space="preserve"> sections and does not limit this clause.**</w:t>
      </w:r>
    </w:p>
    <w:p>
      <w:bookmarkStart w:id="147" w:name="c_tl_pay_reinstatement"/>
      <w:r>
        <w:rPr>
          <w:rFonts w:ascii="Georgia" w:hAnsi="Georgia" w:eastAsia="Georgia"/>
          <w:b/>
          <w:i w:val="0"/>
          <w:color w:val="2E5C4E"/>
          <w:sz w:val="25"/>
        </w:rPr>
        <w:t>Reinstatement</w:t>
      </w:r>
      <w:bookmarkEnd w:id="147"/>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only.</w:t>
      </w:r>
    </w:p>
    <w:p>
      <w:r>
        <w:rPr>
          <w:b w:val="0"/>
          <w:i w:val="0"/>
        </w:rPr>
        <w:t>If the aggregate limit exceeds the limit of liability, and the limit is exhausted, we will reinstate it for subsequent unrelated claims — until the aggregate is exhausted.</w:t>
      </w:r>
    </w:p>
    <w:p>
      <w:bookmarkStart w:id="148" w:name="c_tl_cond_insurance_contracts_act"/>
      <w:r>
        <w:rPr>
          <w:rFonts w:ascii="Georgia" w:hAnsi="Georgia" w:eastAsia="Georgia"/>
          <w:b/>
          <w:i w:val="0"/>
          <w:color w:val="2E5C4E"/>
          <w:sz w:val="25"/>
        </w:rPr>
        <w:t>Insurance Contracts Act</w:t>
      </w:r>
      <w:bookmarkEnd w:id="148"/>
    </w:p>
    <w:p>
      <w:r>
        <w:rPr>
          <w:b w:val="0"/>
          <w:i w:val="0"/>
        </w:rPr>
        <w:t>This policy is subject to the Insurance Contracts Act 1984 (Cth) (the Act). Nothing in this policy excludes, restricts, or modifies the operation of the Act; where this policy is inconsistent with the Act, the Act prevails.</w:t>
      </w:r>
    </w:p>
    <w:p>
      <w:r>
        <w:rPr>
          <w:b w:val="0"/>
          <w:i w:val="0"/>
        </w:rPr>
        <w:t>(a) Utmost good faith: We will act towards you with the utmost good faith, as required by sections 13 and 14 of the Act.</w:t>
      </w:r>
    </w:p>
    <w:p>
      <w:r>
        <w:rPr>
          <w:b w:val="0"/>
          <w:i w:val="0"/>
        </w:rPr>
        <w:t>(b) s.54 — acts and omissions: We will not refuse to pay a claim solely because of your failure to comply with a term or condition of this policy, unless that failure caused or contributed to the loss, or prejudiced our interests. Where we have been prejudiced, we may reduce our liability to the extent of that prejudice.</w:t>
      </w:r>
    </w:p>
    <w:p>
      <w:r>
        <w:rPr>
          <w:b w:val="0"/>
          <w:i w:val="0"/>
        </w:rPr>
        <w:t xml:space="preserve">(c) Non-avoidance: We will not avoid this policy for non-disclosure or misrepresentation unless the non-disclosure or misrepresentation was fraudulent. Where it was not fraudulent, we may reduce our liability under s.28(3) of the Act to the amount that would place us in the position we would have been in had the disclosure been made or the representation not been made. </w:t>
      </w:r>
      <w:r>
        <w:rPr>
          <w:b/>
          <w:i w:val="0"/>
        </w:rPr>
        <w:t>For this class, we do not extend the s.28(3) reduction waiver that applies for innocent insureds under the financial-lines suite's multi-individual covers, reflecting that this class is predominantly a single-named-insured business cover rather than a cover for multiple individuals.</w:t>
      </w:r>
    </w:p>
    <w:p>
      <w:r>
        <w:rPr>
          <w:b w:val="0"/>
          <w:i w:val="0"/>
        </w:rPr>
        <w:t>(d) Innocent insured: Where this policy excludes loss caused by dishonest, fraudulent, or criminal conduct, that exclusion does not apply to an insured who did not commit, participate in, or know about the conduct.</w:t>
      </w:r>
    </w:p>
    <w:p>
      <w:r>
        <w:rPr>
          <w:b w:val="0"/>
          <w:i w:val="0"/>
        </w:rPr>
        <w:t xml:space="preserve">(e) s.40(3) — notification of circumstances: Where you give us notice of facts that might give rise to a claim during the policy period, in accordance with </w:t>
      </w:r>
      <w:hyperlink w:anchor="c_tl_obl_notification">
        <w:r>
          <w:rPr>
            <w:color w:val="2E5C4E"/>
            <w:u w:val="single"/>
          </w:rPr>
          <w:t xml:space="preserve">the Notification obligation</w:t>
        </w:r>
      </w:hyperlink>
      <w:r>
        <w:rPr>
          <w:b w:val="0"/>
          <w:i w:val="0"/>
        </w:rPr>
        <w:t>, we cannot later refuse to cover a claim arising from those facts on the ground only that it was made after the policy period, as provided by s.40(3) of the Act.</w:t>
      </w:r>
    </w:p>
    <w:p>
      <w:bookmarkStart w:id="149" w:name="c_tl_cond_gst"/>
      <w:r>
        <w:rPr>
          <w:rFonts w:ascii="Georgia" w:hAnsi="Georgia" w:eastAsia="Georgia"/>
          <w:b/>
          <w:i w:val="0"/>
          <w:color w:val="2E5C4E"/>
          <w:sz w:val="25"/>
        </w:rPr>
        <w:t>GST</w:t>
      </w:r>
      <w:bookmarkEnd w:id="149"/>
    </w:p>
    <w:p>
      <w:r>
        <w:rPr>
          <w:b w:val="0"/>
          <w:i w:val="0"/>
        </w:rPr>
        <w:t>Amounts payable under this policy are calculated without regard to any input tax credit to which you are, or would be, entitled under A New Tax System (Goods and Services Tax) Act 1999 (Cth) (the GST Act), unless this policy or the schedule states otherwise. Where GST is payable on a supply made in connection with a claim or cyber loss, the amount we pay is adjusted (grossed up or down) in accordance with the GST Act so that you are placed in the same net position as if no GST applied.</w:t>
      </w:r>
    </w:p>
    <w:p>
      <w:bookmarkStart w:id="150" w:name="c_tl_cond_version_control"/>
      <w:r>
        <w:rPr>
          <w:rFonts w:ascii="Georgia" w:hAnsi="Georgia" w:eastAsia="Georgia"/>
          <w:b/>
          <w:i w:val="0"/>
          <w:color w:val="2E5C4E"/>
          <w:sz w:val="25"/>
        </w:rPr>
        <w:t>Version Control</w:t>
      </w:r>
      <w:bookmarkEnd w:id="150"/>
    </w:p>
    <w:p>
      <w:r>
        <w:rPr>
          <w:b w:val="0"/>
          <w:i w:val="0"/>
        </w:rPr>
        <w:t>The version of this wording that applies to your policy is the version in force at the start of the policy period. Later updates to the Cuttleflow open wording library do not apply to your policy unless we agree in writing.</w:t>
      </w:r>
    </w:p>
    <w:p>
      <w:bookmarkStart w:id="151" w:name="c_tl_cond_governing_law_and_jurisdiction"/>
      <w:r>
        <w:rPr>
          <w:rFonts w:ascii="Georgia" w:hAnsi="Georgia" w:eastAsia="Georgia"/>
          <w:b/>
          <w:i w:val="0"/>
          <w:color w:val="2E5C4E"/>
          <w:sz w:val="25"/>
        </w:rPr>
        <w:t>Governing Law and Jurisdiction</w:t>
      </w:r>
      <w:bookmarkEnd w:id="151"/>
    </w:p>
    <w:p>
      <w:r>
        <w:rPr>
          <w:b w:val="0"/>
          <w:i w:val="0"/>
        </w:rPr>
        <w:t>(a) Governing law: This policy is governed by the laws of the Australian state or territory in which this policy is issued, as shown in the schedule.</w:t>
      </w:r>
    </w:p>
    <w:p>
      <w:r>
        <w:rPr>
          <w:b w:val="0"/>
          <w:i w:val="0"/>
        </w:rPr>
        <w:t>(b) Jurisdiction: The parties submit to the non-exclusive jurisdiction of the courts of that state or territory, and courts of appeal from them.</w:t>
      </w:r>
    </w:p>
    <w:p>
      <w:bookmarkStart w:id="152" w:name="c_tl_cond_disputes_and_complaints"/>
      <w:r>
        <w:rPr>
          <w:rFonts w:ascii="Georgia" w:hAnsi="Georgia" w:eastAsia="Georgia"/>
          <w:b/>
          <w:i w:val="0"/>
          <w:color w:val="2E5C4E"/>
          <w:sz w:val="25"/>
        </w:rPr>
        <w:t>Disputes and Complaints</w:t>
      </w:r>
      <w:bookmarkEnd w:id="152"/>
    </w:p>
    <w:p>
      <w:r>
        <w:rPr>
          <w:b w:val="0"/>
          <w:i w:val="0"/>
        </w:rPr>
        <w:t>If you have a complaint, contact us first using the details in the schedule. We will acknowledge your complaint promptly and deal with it through our internal dispute resolution process within the timeframes required by ASIC Regulatory Guide 271 (ordinarily 30 calendar days, or such shorter period as the law requires). If you are not satisfied with our response, or if that period has passed without a response, you may refer your complaint to the Australian Financial Complaints Authority (AFCA) — www.afca.org.au | 1800 931 678.</w:t>
      </w:r>
    </w:p>
    <w:p>
      <w:bookmarkStart w:id="153" w:name="c_tl_endorsement_library"/>
      <w:r>
        <w:rPr>
          <w:rFonts w:ascii="Georgia" w:hAnsi="Georgia" w:eastAsia="Georgia"/>
          <w:b/>
          <w:i w:val="0"/>
          <w:color w:val="1C1915"/>
          <w:sz w:val="32"/>
        </w:rPr>
        <w:t>Endorsement Library</w:t>
      </w:r>
      <w:bookmarkEnd w:id="153"/>
    </w:p>
    <w:p>
      <w:r>
        <w:rPr>
          <w:b w:val="0"/>
          <w:i w:val="0"/>
        </w:rPr>
        <w:t>An endorsement applies only if its code is shown in the schedule. Each endorsement changes this policy only as it states, and is read together with the variables (sub-limits, retentions, periods, named parties) shown for it in the schedule. Where an endorsement and the rest of this policy conflict, the endorsement applies to the extent of the conflict. Endorsements do not increase the limit of liability unless they say so; a sub-limit in an endorsement is part of, not in addition to, the limit of liability. If a variable an endorsement needs is not shown in the schedule, the default stated in the endorsement applies; if it has no default, the endorsement does not apply until we show the variable in the schedule. These endorsements are for use with version 1.4.x of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United States and Canada Jurisdiction</w:t>
            </w:r>
          </w:p>
        </w:tc>
        <w:tc>
          <w:tcPr>
            <w:tcW w:type="dxa" w:w="3249"/>
          </w:tcPr>
          <w:p>
            <w:r/>
            <w:r>
              <w:rPr>
                <w:b w:val="0"/>
                <w:i w:val="0"/>
              </w:rPr>
              <w:t>Writes back claims brought, or judgments enforced, in the United States and Canada</w:t>
            </w:r>
          </w:p>
        </w:tc>
      </w:tr>
      <w:tr>
        <w:tc>
          <w:tcPr>
            <w:tcW w:type="dxa" w:w="3249"/>
          </w:tcPr>
          <w:p>
            <w:r/>
            <w:r>
              <w:rPr>
                <w:b w:val="0"/>
                <w:i w:val="0"/>
              </w:rPr>
              <w:t>E02</w:t>
            </w:r>
          </w:p>
        </w:tc>
        <w:tc>
          <w:tcPr>
            <w:tcW w:type="dxa" w:w="3249"/>
          </w:tcPr>
          <w:p>
            <w:r/>
            <w:r>
              <w:rPr>
                <w:b w:val="0"/>
                <w:i w:val="0"/>
              </w:rPr>
              <w:t>Defence Costs in Addition to the Limit</w:t>
            </w:r>
          </w:p>
        </w:tc>
        <w:tc>
          <w:tcPr>
            <w:tcW w:type="dxa" w:w="3249"/>
          </w:tcPr>
          <w:p>
            <w:r/>
            <w:r>
              <w:rPr>
                <w:b w:val="0"/>
                <w:i w:val="0"/>
              </w:rPr>
              <w:t>Pays defence costs in addition to the limit of liability for the Technology Professional Liability and Cyber Protection sections, to a cap</w:t>
            </w:r>
          </w:p>
        </w:tc>
      </w:tr>
      <w:tr>
        <w:tc>
          <w:tcPr>
            <w:tcW w:type="dxa" w:w="3249"/>
          </w:tcPr>
          <w:p>
            <w:r/>
            <w:r>
              <w:rPr>
                <w:b w:val="0"/>
                <w:i w:val="0"/>
              </w:rPr>
              <w:t>E03</w:t>
            </w:r>
          </w:p>
        </w:tc>
        <w:tc>
          <w:tcPr>
            <w:tcW w:type="dxa" w:w="3249"/>
          </w:tcPr>
          <w:p>
            <w:r/>
            <w:r>
              <w:rPr>
                <w:b w:val="0"/>
                <w:i w:val="0"/>
              </w:rPr>
              <w:t>Increased Sub-limits</w:t>
            </w:r>
          </w:p>
        </w:tc>
        <w:tc>
          <w:tcPr>
            <w:tcW w:type="dxa" w:w="3249"/>
          </w:tcPr>
          <w:p>
            <w:r/>
            <w:r>
              <w:rPr>
                <w:b w:val="0"/>
                <w:i w:val="0"/>
              </w:rPr>
              <w:t>Increases the sub-limits for the covers and extensions named</w:t>
            </w:r>
          </w:p>
        </w:tc>
      </w:tr>
      <w:tr>
        <w:tc>
          <w:tcPr>
            <w:tcW w:type="dxa" w:w="3249"/>
          </w:tcPr>
          <w:p>
            <w:r/>
            <w:r>
              <w:rPr>
                <w:b w:val="0"/>
                <w:i w:val="0"/>
              </w:rPr>
              <w:t>E04</w:t>
            </w:r>
          </w:p>
        </w:tc>
        <w:tc>
          <w:tcPr>
            <w:tcW w:type="dxa" w:w="3249"/>
          </w:tcPr>
          <w:p>
            <w:r/>
            <w:r>
              <w:rPr>
                <w:b w:val="0"/>
                <w:i w:val="0"/>
              </w:rPr>
              <w:t>Excess Layer</w:t>
            </w:r>
          </w:p>
        </w:tc>
        <w:tc>
          <w:tcPr>
            <w:tcW w:type="dxa" w:w="3249"/>
          </w:tcPr>
          <w:p>
            <w:r/>
            <w:r>
              <w:rPr>
                <w:b w:val="0"/>
                <w:i w:val="0"/>
              </w:rPr>
              <w:t>Writes this policy in excess of the underlying insurance named</w:t>
            </w:r>
          </w:p>
        </w:tc>
      </w:tr>
      <w:tr>
        <w:tc>
          <w:tcPr>
            <w:tcW w:type="dxa" w:w="3249"/>
          </w:tcPr>
          <w:p>
            <w:r/>
            <w:r>
              <w:rPr>
                <w:b w:val="0"/>
                <w:i w:val="0"/>
              </w:rPr>
              <w:t>E05</w:t>
            </w:r>
          </w:p>
        </w:tc>
        <w:tc>
          <w:tcPr>
            <w:tcW w:type="dxa" w:w="3249"/>
          </w:tcPr>
          <w:p>
            <w:r/>
            <w:r>
              <w:rPr>
                <w:b w:val="0"/>
                <w:i w:val="0"/>
              </w:rPr>
              <w:t>IoT and Embedded Systems</w:t>
            </w:r>
          </w:p>
        </w:tc>
        <w:tc>
          <w:tcPr>
            <w:tcW w:type="dxa" w:w="3249"/>
          </w:tcPr>
          <w:p>
            <w:r/>
            <w:r>
              <w:rPr>
                <w:b w:val="0"/>
                <w:i w:val="0"/>
              </w:rPr>
              <w:t>Covers software and firmware you supply for the connected devices named</w:t>
            </w:r>
          </w:p>
        </w:tc>
      </w:tr>
      <w:tr>
        <w:tc>
          <w:tcPr>
            <w:tcW w:type="dxa" w:w="3249"/>
          </w:tcPr>
          <w:p>
            <w:r/>
            <w:r>
              <w:rPr>
                <w:b w:val="0"/>
                <w:i w:val="0"/>
              </w:rPr>
              <w:t>E06</w:t>
            </w:r>
          </w:p>
        </w:tc>
        <w:tc>
          <w:tcPr>
            <w:tcW w:type="dxa" w:w="3249"/>
          </w:tcPr>
          <w:p>
            <w:r/>
            <w:r>
              <w:rPr>
                <w:b w:val="0"/>
                <w:i w:val="0"/>
              </w:rPr>
              <w:t>AI Governance and Model Liability</w:t>
            </w:r>
          </w:p>
        </w:tc>
        <w:tc>
          <w:tcPr>
            <w:tcW w:type="dxa" w:w="3249"/>
          </w:tcPr>
          <w:p>
            <w:r/>
            <w:r>
              <w:rPr>
                <w:b w:val="0"/>
                <w:i w:val="0"/>
              </w:rPr>
              <w:t>Covers claims about AI models and systems you supply, data poisoning and prompt injection</w:t>
            </w:r>
          </w:p>
        </w:tc>
      </w:tr>
      <w:tr>
        <w:tc>
          <w:tcPr>
            <w:tcW w:type="dxa" w:w="3249"/>
          </w:tcPr>
          <w:p>
            <w:r/>
            <w:r>
              <w:rPr>
                <w:b w:val="0"/>
                <w:i w:val="0"/>
              </w:rPr>
              <w:t>E07</w:t>
            </w:r>
          </w:p>
        </w:tc>
        <w:tc>
          <w:tcPr>
            <w:tcW w:type="dxa" w:w="3249"/>
          </w:tcPr>
          <w:p>
            <w:r/>
            <w:r>
              <w:rPr>
                <w:b w:val="0"/>
                <w:i w:val="0"/>
              </w:rPr>
              <w:t>Open Source Software Licence Compliance</w:t>
            </w:r>
          </w:p>
        </w:tc>
        <w:tc>
          <w:tcPr>
            <w:tcW w:type="dxa" w:w="3249"/>
          </w:tcPr>
          <w:p>
            <w:r/>
            <w:r>
              <w:rPr>
                <w:b w:val="0"/>
                <w:i w:val="0"/>
              </w:rPr>
              <w:t>Covers claims that you breached an open source licence</w:t>
            </w:r>
          </w:p>
        </w:tc>
      </w:tr>
      <w:tr>
        <w:tc>
          <w:tcPr>
            <w:tcW w:type="dxa" w:w="3249"/>
          </w:tcPr>
          <w:p>
            <w:r/>
            <w:r>
              <w:rPr>
                <w:b w:val="0"/>
                <w:i w:val="0"/>
              </w:rPr>
              <w:t>E08</w:t>
            </w:r>
          </w:p>
        </w:tc>
        <w:tc>
          <w:tcPr>
            <w:tcW w:type="dxa" w:w="3249"/>
          </w:tcPr>
          <w:p>
            <w:r/>
            <w:r>
              <w:rPr>
                <w:b w:val="0"/>
                <w:i w:val="0"/>
              </w:rPr>
              <w:t>Cryptocurrency and Digital Asset Services</w:t>
            </w:r>
          </w:p>
        </w:tc>
        <w:tc>
          <w:tcPr>
            <w:tcW w:type="dxa" w:w="3249"/>
          </w:tcPr>
          <w:p>
            <w:r/>
            <w:r>
              <w:rPr>
                <w:b w:val="0"/>
                <w:i w:val="0"/>
              </w:rPr>
              <w:t>Covers claims and theft in relation to digital asset services described in the schedule</w:t>
            </w:r>
          </w:p>
        </w:tc>
      </w:tr>
      <w:tr>
        <w:tc>
          <w:tcPr>
            <w:tcW w:type="dxa" w:w="3249"/>
          </w:tcPr>
          <w:p>
            <w:r/>
            <w:r>
              <w:rPr>
                <w:b w:val="0"/>
                <w:i w:val="0"/>
              </w:rPr>
              <w:t>E09</w:t>
            </w:r>
          </w:p>
        </w:tc>
        <w:tc>
          <w:tcPr>
            <w:tcW w:type="dxa" w:w="3249"/>
          </w:tcPr>
          <w:p>
            <w:r/>
            <w:r>
              <w:rPr>
                <w:b w:val="0"/>
                <w:i w:val="0"/>
              </w:rPr>
              <w:t>Managed Security Services Provider</w:t>
            </w:r>
          </w:p>
        </w:tc>
        <w:tc>
          <w:tcPr>
            <w:tcW w:type="dxa" w:w="3249"/>
          </w:tcPr>
          <w:p>
            <w:r/>
            <w:r>
              <w:rPr>
                <w:b w:val="0"/>
                <w:i w:val="0"/>
              </w:rPr>
              <w:t>Covers claims arising from managed security services you provide</w:t>
            </w:r>
          </w:p>
        </w:tc>
      </w:tr>
      <w:tr>
        <w:tc>
          <w:tcPr>
            <w:tcW w:type="dxa" w:w="3249"/>
          </w:tcPr>
          <w:p>
            <w:r/>
            <w:r>
              <w:rPr>
                <w:b w:val="0"/>
                <w:i w:val="0"/>
              </w:rPr>
              <w:t>E10</w:t>
            </w:r>
          </w:p>
        </w:tc>
        <w:tc>
          <w:tcPr>
            <w:tcW w:type="dxa" w:w="3249"/>
          </w:tcPr>
          <w:p>
            <w:r/>
            <w:r>
              <w:rPr>
                <w:b w:val="0"/>
                <w:i w:val="0"/>
              </w:rPr>
              <w:t>Government and Defence Contractor</w:t>
            </w:r>
          </w:p>
        </w:tc>
        <w:tc>
          <w:tcPr>
            <w:tcW w:type="dxa" w:w="3249"/>
          </w:tcPr>
          <w:p>
            <w:r/>
            <w:r>
              <w:rPr>
                <w:b w:val="0"/>
                <w:i w:val="0"/>
              </w:rPr>
              <w:t>Covers liability under the government and defence contracts named</w:t>
            </w:r>
          </w:p>
        </w:tc>
      </w:tr>
      <w:tr>
        <w:tc>
          <w:tcPr>
            <w:tcW w:type="dxa" w:w="3249"/>
          </w:tcPr>
          <w:p>
            <w:r/>
            <w:r>
              <w:rPr>
                <w:b w:val="0"/>
                <w:i w:val="0"/>
              </w:rPr>
              <w:t>E11</w:t>
            </w:r>
          </w:p>
        </w:tc>
        <w:tc>
          <w:tcPr>
            <w:tcW w:type="dxa" w:w="3249"/>
          </w:tcPr>
          <w:p>
            <w:r/>
            <w:r>
              <w:rPr>
                <w:b w:val="0"/>
                <w:i w:val="0"/>
              </w:rPr>
              <w:t>Non-IT Dependent Business Interruption</w:t>
            </w:r>
          </w:p>
        </w:tc>
        <w:tc>
          <w:tcPr>
            <w:tcW w:type="dxa" w:w="3249"/>
          </w:tcPr>
          <w:p>
            <w:r/>
            <w:r>
              <w:rPr>
                <w:b w:val="0"/>
                <w:i w:val="0"/>
              </w:rPr>
              <w:t>Extends business interruption cover to cyber security breaches at named suppliers</w:t>
            </w:r>
          </w:p>
        </w:tc>
      </w:tr>
      <w:tr>
        <w:tc>
          <w:tcPr>
            <w:tcW w:type="dxa" w:w="3249"/>
          </w:tcPr>
          <w:p>
            <w:r/>
            <w:r>
              <w:rPr>
                <w:b w:val="0"/>
                <w:i w:val="0"/>
              </w:rPr>
              <w:t>E12</w:t>
            </w:r>
          </w:p>
        </w:tc>
        <w:tc>
          <w:tcPr>
            <w:tcW w:type="dxa" w:w="3249"/>
          </w:tcPr>
          <w:p>
            <w:r/>
            <w:r>
              <w:rPr>
                <w:b w:val="0"/>
                <w:i w:val="0"/>
              </w:rPr>
              <w:t>Customer Business Interruption</w:t>
            </w:r>
          </w:p>
        </w:tc>
        <w:tc>
          <w:tcPr>
            <w:tcW w:type="dxa" w:w="3249"/>
          </w:tcPr>
          <w:p>
            <w:r/>
            <w:r>
              <w:rPr>
                <w:b w:val="0"/>
                <w:i w:val="0"/>
              </w:rPr>
              <w:t>Covers lost income when a cyber security breach at a named customer reduces its purchases</w:t>
            </w:r>
          </w:p>
        </w:tc>
      </w:tr>
      <w:tr>
        <w:tc>
          <w:tcPr>
            <w:tcW w:type="dxa" w:w="3249"/>
          </w:tcPr>
          <w:p>
            <w:r/>
            <w:r>
              <w:rPr>
                <w:b w:val="0"/>
                <w:i w:val="0"/>
              </w:rPr>
              <w:t>E13</w:t>
            </w:r>
          </w:p>
        </w:tc>
        <w:tc>
          <w:tcPr>
            <w:tcW w:type="dxa" w:w="3249"/>
          </w:tcPr>
          <w:p>
            <w:r/>
            <w:r>
              <w:rPr>
                <w:b w:val="0"/>
                <w:i w:val="0"/>
              </w:rPr>
              <w:t>Missed Bid Income Loss</w:t>
            </w:r>
          </w:p>
        </w:tc>
        <w:tc>
          <w:tcPr>
            <w:tcW w:type="dxa" w:w="3249"/>
          </w:tcPr>
          <w:p>
            <w:r/>
            <w:r>
              <w:rPr>
                <w:b w:val="0"/>
                <w:i w:val="0"/>
              </w:rPr>
              <w:t>Covers net profit lost on a bid you could not submit because of a cyber security breach</w:t>
            </w:r>
          </w:p>
        </w:tc>
      </w:tr>
      <w:tr>
        <w:tc>
          <w:tcPr>
            <w:tcW w:type="dxa" w:w="3249"/>
          </w:tcPr>
          <w:p>
            <w:r/>
            <w:r>
              <w:rPr>
                <w:b w:val="0"/>
                <w:i w:val="0"/>
              </w:rPr>
              <w:t>E14</w:t>
            </w:r>
          </w:p>
        </w:tc>
        <w:tc>
          <w:tcPr>
            <w:tcW w:type="dxa" w:w="3249"/>
          </w:tcPr>
          <w:p>
            <w:r/>
            <w:r>
              <w:rPr>
                <w:b w:val="0"/>
                <w:i w:val="0"/>
              </w:rPr>
              <w:t>Emergency Continuity Costs</w:t>
            </w:r>
          </w:p>
        </w:tc>
        <w:tc>
          <w:tcPr>
            <w:tcW w:type="dxa" w:w="3249"/>
          </w:tcPr>
          <w:p>
            <w:r/>
            <w:r>
              <w:rPr>
                <w:b w:val="0"/>
                <w:i w:val="0"/>
              </w:rPr>
              <w:t>Covers the emergency costs of keeping services available in the first 72 hours after a cyber security breach</w:t>
            </w:r>
          </w:p>
        </w:tc>
      </w:tr>
    </w:tbl>
    <w:p>
      <w:bookmarkStart w:id="154" w:name="c_tl_end_e01"/>
      <w:r>
        <w:rPr>
          <w:rFonts w:ascii="Georgia" w:hAnsi="Georgia" w:eastAsia="Georgia"/>
          <w:b/>
          <w:i w:val="0"/>
          <w:color w:val="2E5C4E"/>
          <w:sz w:val="25"/>
        </w:rPr>
        <w:t>E01 United States and Canada Jurisdiction</w:t>
      </w:r>
      <w:bookmarkEnd w:id="154"/>
    </w:p>
    <w:p>
      <w:hyperlink w:anchor="c_tl_excl_jurisdictional_limits">
        <w:r>
          <w:rPr>
            <w:color w:val="2E5C4E"/>
            <w:u w:val="single"/>
          </w:rPr>
          <w:t xml:space="preserve">The Jurisdictional Limits exclusion</w:t>
        </w:r>
      </w:hyperlink>
      <w:r>
        <w:rPr>
          <w:b w:val="0"/>
          <w:i w:val="0"/>
        </w:rPr>
        <w:t xml:space="preserve"> does not apply to the claims, cyber losses and regulatory proceedings in the scope of this endorsement. The </w:t>
      </w:r>
      <w:hyperlink w:anchor="c_tl_section_professional_liability">
        <w:r>
          <w:rPr>
            <w:color w:val="2E5C4E"/>
            <w:u w:val="single"/>
          </w:rPr>
          <w:t xml:space="preserve">Technology Professional Liability</w:t>
        </w:r>
      </w:hyperlink>
      <w:r>
        <w:rPr>
          <w:b w:val="0"/>
          <w:i w:val="0"/>
        </w:rPr>
        <w:t xml:space="preserve"> section, the </w:t>
      </w:r>
      <w:hyperlink w:anchor="c_tl_section_cyber">
        <w:r>
          <w:rPr>
            <w:color w:val="2E5C4E"/>
            <w:u w:val="single"/>
          </w:rPr>
          <w:t xml:space="preserve">Cyber Protection</w:t>
        </w:r>
      </w:hyperlink>
      <w:r>
        <w:rPr>
          <w:b w:val="0"/>
          <w:i w:val="0"/>
        </w:rPr>
        <w:t xml:space="preserve"> section and, where the schedule says so, the </w:t>
      </w:r>
      <w:hyperlink w:anchor="c_tl_section_liability">
        <w:r>
          <w:rPr>
            <w:color w:val="2E5C4E"/>
            <w:u w:val="single"/>
          </w:rPr>
          <w:t xml:space="preserve">Public and Products Liability</w:t>
        </w:r>
      </w:hyperlink>
      <w:r>
        <w:rPr>
          <w:b w:val="0"/>
          <w:i w:val="0"/>
        </w:rPr>
        <w:t xml:space="preserve"> section respond to claims brought within, or judgments entered or enforced from, a court of the United States of America or Canada or their territories.</w:t>
      </w:r>
    </w:p>
    <w:p>
      <w:r>
        <w:rPr>
          <w:b w:val="0"/>
          <w:i w:val="0"/>
        </w:rPr>
        <w:t xml:space="preserve">For a claim or cyber loss within the scope of this endorsement: (a) we will not pay punitive, exemplary or multiple damages, or any fine or penalty; (b) defence costs are within the limit of liability, whatever </w:t>
      </w:r>
      <w:hyperlink w:anchor="c_tl_end_e02">
        <w:r>
          <w:rPr>
            <w:color w:val="2E5C4E"/>
            <w:u w:val="single"/>
          </w:rPr>
          <w:t xml:space="preserve">the E02 Defence Costs in Addition to the Limit endorsement</w:t>
        </w:r>
      </w:hyperlink>
      <w:r>
        <w:rPr>
          <w:b w:val="0"/>
          <w:i w:val="0"/>
        </w:rPr>
        <w:t xml:space="preserve"> provides; and (c) the most we will pay is the sub-limit shown in the schedule for this endorsement, if one is shown.</w:t>
      </w:r>
    </w:p>
    <w:p>
      <w:r>
        <w:rPr>
          <w:b w:val="0"/>
          <w:i w:val="0"/>
        </w:rPr>
        <w:t>You must not admit liability, settle or incur defence costs for any claim within the scope of this endorsement without our prior written consent, which we will not unreasonably withhold, and we may appoint counsel of our choosing.</w:t>
      </w:r>
    </w:p>
    <w:p>
      <w:r>
        <w:rPr>
          <w:b w:val="0"/>
          <w:i w:val="0"/>
        </w:rPr>
        <w:t>Schedule variables: sections to which the endorsement applies; sub-limit (if any); additional premium.</w:t>
      </w:r>
    </w:p>
    <w:p>
      <w:bookmarkStart w:id="155" w:name="c_tl_end_e02"/>
      <w:r>
        <w:rPr>
          <w:rFonts w:ascii="Georgia" w:hAnsi="Georgia" w:eastAsia="Georgia"/>
          <w:b/>
          <w:i w:val="0"/>
          <w:color w:val="2E5C4E"/>
          <w:sz w:val="25"/>
        </w:rPr>
        <w:t>E02 Defence Costs in Addition to the Limit</w:t>
      </w:r>
      <w:bookmarkEnd w:id="155"/>
    </w:p>
    <w:p>
      <w:r>
        <w:rPr>
          <w:b w:val="0"/>
          <w:i w:val="0"/>
        </w:rPr>
        <w:t xml:space="preserve">For the </w:t>
      </w:r>
      <w:hyperlink w:anchor="c_tl_section_professional_liability">
        <w:r>
          <w:rPr>
            <w:color w:val="2E5C4E"/>
            <w:u w:val="single"/>
          </w:rPr>
          <w:t xml:space="preserve">Technology Professional Liability</w:t>
        </w:r>
      </w:hyperlink>
      <w:r>
        <w:rPr>
          <w:b w:val="0"/>
          <w:i w:val="0"/>
        </w:rPr>
        <w:t xml:space="preserve"> section and the </w:t>
      </w:r>
      <w:hyperlink w:anchor="c_tl_section_cyber">
        <w:r>
          <w:rPr>
            <w:color w:val="2E5C4E"/>
            <w:u w:val="single"/>
          </w:rPr>
          <w:t xml:space="preserve">Cyber Protection</w:t>
        </w:r>
      </w:hyperlink>
      <w:r>
        <w:rPr>
          <w:b w:val="0"/>
          <w:i w:val="0"/>
        </w:rPr>
        <w:t xml:space="preserve"> section, </w:t>
      </w:r>
      <w:hyperlink w:anchor="c_tl_pay_limits_of_liability">
        <w:r>
          <w:rPr>
            <w:color w:val="2E5C4E"/>
            <w:u w:val="single"/>
          </w:rPr>
          <w:t xml:space="preserve">the Limits of Liability provision</w:t>
        </w:r>
      </w:hyperlink>
      <w:r>
        <w:rPr>
          <w:b w:val="0"/>
          <w:i w:val="0"/>
        </w:rPr>
        <w:t xml:space="preserve"> is amended so that defence costs are payable in addition to, and do not reduce, the limit of liability.</w:t>
      </w:r>
    </w:p>
    <w:p>
      <w:r>
        <w:rPr>
          <w:b w:val="0"/>
          <w:i w:val="0"/>
        </w:rPr>
        <w:t>The most we will pay for defence costs under this endorsement is the defence costs cap shown in the schedule for this endorsement or, if no amount is shown, an amount equal to the limit of liability. Once the cap is exhausted, further defence costs are payable within the limit of liability.</w:t>
      </w:r>
    </w:p>
    <w:p>
      <w:r>
        <w:rPr>
          <w:b w:val="0"/>
          <w:i w:val="0"/>
        </w:rPr>
        <w:t xml:space="preserve">Where a claim is only partly covered, defence costs are allocated on a fair and reasonable basis between covered and uncovered matters, as set out in </w:t>
      </w:r>
      <w:hyperlink w:anchor="c_tl_pay_allocation">
        <w:r>
          <w:rPr>
            <w:color w:val="2E5C4E"/>
            <w:u w:val="single"/>
          </w:rPr>
          <w:t xml:space="preserve">the Allocation provision</w:t>
        </w:r>
      </w:hyperlink>
      <w:r>
        <w:rPr>
          <w:b w:val="0"/>
          <w:i w:val="0"/>
        </w:rPr>
        <w:t xml:space="preserve">. Where </w:t>
      </w:r>
      <w:hyperlink w:anchor="c_tl_end_e01">
        <w:r>
          <w:rPr>
            <w:color w:val="2E5C4E"/>
            <w:u w:val="single"/>
          </w:rPr>
          <w:t xml:space="preserve">the E01 United States and Canada Jurisdiction endorsement</w:t>
        </w:r>
      </w:hyperlink>
      <w:r>
        <w:rPr>
          <w:b w:val="0"/>
          <w:i w:val="0"/>
        </w:rPr>
        <w:t xml:space="preserve"> applies to a claim, defence costs for that claim are within the limit of liability.</w:t>
      </w:r>
    </w:p>
    <w:p>
      <w:r>
        <w:rPr>
          <w:b w:val="0"/>
          <w:i w:val="0"/>
        </w:rPr>
        <w:t xml:space="preserve">Defence costs under the </w:t>
      </w:r>
      <w:hyperlink w:anchor="c_tl_section_liability">
        <w:r>
          <w:rPr>
            <w:color w:val="2E5C4E"/>
            <w:u w:val="single"/>
          </w:rPr>
          <w:t xml:space="preserve">Public and Products Liability</w:t>
        </w:r>
      </w:hyperlink>
      <w:r>
        <w:rPr>
          <w:b w:val="0"/>
          <w:i w:val="0"/>
        </w:rPr>
        <w:t xml:space="preserve"> section are already payable in addition to the limit and are not changed by this endorsement.</w:t>
      </w:r>
    </w:p>
    <w:p>
      <w:r>
        <w:rPr>
          <w:b w:val="0"/>
          <w:i w:val="0"/>
        </w:rPr>
        <w:t>Schedule variables: defence costs cap.</w:t>
      </w:r>
    </w:p>
    <w:p>
      <w:bookmarkStart w:id="156" w:name="c_tl_end_e03"/>
      <w:r>
        <w:rPr>
          <w:rFonts w:ascii="Georgia" w:hAnsi="Georgia" w:eastAsia="Georgia"/>
          <w:b/>
          <w:i w:val="0"/>
          <w:color w:val="2E5C4E"/>
          <w:sz w:val="25"/>
        </w:rPr>
        <w:t>E03 Increased Sub-limits</w:t>
      </w:r>
      <w:bookmarkEnd w:id="156"/>
    </w:p>
    <w:p>
      <w:r>
        <w:rPr>
          <w:b w:val="0"/>
          <w:i w:val="0"/>
        </w:rPr>
        <w:t>The sub-limit shown in the schedule for this endorsement replaces the standard sub-limit for each cover or extension the schedule names. The standard sub-limit applies to every cover or extension the schedule does not name.</w:t>
      </w:r>
    </w:p>
    <w:p>
      <w:r>
        <w:rPr>
          <w:b w:val="0"/>
          <w:i w:val="0"/>
        </w:rPr>
        <w:t xml:space="preserve">A sub-limit increased by this endorsement is part of, and not in addition to, the limit of liability and the aggregate limit, as stated in </w:t>
      </w:r>
      <w:hyperlink w:anchor="c_tl_pay_limits_of_liability">
        <w:r>
          <w:rPr>
            <w:color w:val="2E5C4E"/>
            <w:u w:val="single"/>
          </w:rPr>
          <w:t xml:space="preserve">the Limits of Liability provision</w:t>
        </w:r>
      </w:hyperlink>
      <w:r>
        <w:rPr>
          <w:b w:val="0"/>
          <w:i w:val="0"/>
        </w:rPr>
        <w:t>. The retention for the cover or extension is unchanged unless the schedule shows a different retention for this endorsement.</w:t>
      </w:r>
    </w:p>
    <w:p>
      <w:r>
        <w:rPr>
          <w:b w:val="0"/>
          <w:i w:val="0"/>
        </w:rPr>
        <w:t>Schedule variables: covers or extensions increased; increased sub-limit for each; retention (if different).</w:t>
      </w:r>
    </w:p>
    <w:p>
      <w:bookmarkStart w:id="157" w:name="c_tl_end_e04"/>
      <w:r>
        <w:rPr>
          <w:rFonts w:ascii="Georgia" w:hAnsi="Georgia" w:eastAsia="Georgia"/>
          <w:b/>
          <w:i w:val="0"/>
          <w:color w:val="2E5C4E"/>
          <w:sz w:val="25"/>
        </w:rPr>
        <w:t>E04 Excess Layer</w:t>
      </w:r>
      <w:bookmarkEnd w:id="157"/>
    </w:p>
    <w:p>
      <w:r>
        <w:rPr>
          <w:b w:val="0"/>
          <w:i w:val="0"/>
        </w:rPr>
        <w:t>This policy applies as excess insurance above the underlying insurance listed in the schedule for this endorsement. Cover attaches only after the underlying limits have been exhausted by actual payment of covered loss.</w:t>
      </w:r>
    </w:p>
    <w:p>
      <w:r>
        <w:rPr>
          <w:b w:val="0"/>
          <w:i w:val="0"/>
        </w:rPr>
        <w:t>This policy follows the terms, conditions, definitions and exclusions of the underlying policy listed in the schedule, except as otherwise stated in this policy or the schedule, and except that this policy's limit of liability, premium and notice provisions always apply.</w:t>
      </w:r>
    </w:p>
    <w:p>
      <w:r>
        <w:rPr>
          <w:b w:val="0"/>
          <w:i w:val="0"/>
        </w:rPr>
        <w:t xml:space="preserve">You must maintain the underlying insurance in full effect during the policy period and tell us of any change to it. If the underlying insurance is reduced or exhausted by covered loss, this policy drops down only to the extent of that reduction; it does not drop down where the underlying insurance is uncollectible for any other reason, including insurer insolvency. </w:t>
      </w:r>
      <w:hyperlink w:anchor="c_tl_pay_retention">
        <w:r>
          <w:rPr>
            <w:color w:val="2E5C4E"/>
            <w:u w:val="single"/>
          </w:rPr>
          <w:t xml:space="preserve">The Retention provision</w:t>
        </w:r>
      </w:hyperlink>
      <w:r>
        <w:rPr>
          <w:b w:val="0"/>
          <w:i w:val="0"/>
        </w:rPr>
        <w:t xml:space="preserve"> does not apply; the underlying limits are the attachment point.</w:t>
      </w:r>
    </w:p>
    <w:p>
      <w:r>
        <w:rPr>
          <w:b w:val="0"/>
          <w:i w:val="0"/>
        </w:rPr>
        <w:t>Schedule variables: underlying insurance; attachment point.</w:t>
      </w:r>
    </w:p>
    <w:p>
      <w:bookmarkStart w:id="158" w:name="c_tl_end_e05"/>
      <w:r>
        <w:rPr>
          <w:rFonts w:ascii="Georgia" w:hAnsi="Georgia" w:eastAsia="Georgia"/>
          <w:b/>
          <w:i w:val="0"/>
          <w:color w:val="2E5C4E"/>
          <w:sz w:val="25"/>
        </w:rPr>
        <w:t>E05 IoT and Embedded Systems</w:t>
      </w:r>
      <w:bookmarkEnd w:id="158"/>
    </w:p>
    <w:p>
      <w:r>
        <w:rPr>
          <w:b/>
          <w:i w:val="0"/>
        </w:rPr>
        <w:t>technology product</w:t>
      </w:r>
      <w:r>
        <w:rPr>
          <w:b w:val="0"/>
          <w:i w:val="0"/>
        </w:rPr>
        <w:t xml:space="preserve"> includes software, firmware and configuration services you supply that are embedded in, or control, the connected devices named in the schedule for this endorsement, where you did not manufacture the device.</w:t>
      </w:r>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covers a claim alleging that a failure of that embedded software or firmware, or a failure to supply a security update you had agreed to supply, caused your client a financial loss. The </w:t>
      </w:r>
      <w:hyperlink w:anchor="c_tl_section_cyber">
        <w:r>
          <w:rPr>
            <w:color w:val="2E5C4E"/>
            <w:u w:val="single"/>
          </w:rPr>
          <w:t xml:space="preserve">Cyber Protection</w:t>
        </w:r>
      </w:hyperlink>
      <w:r>
        <w:rPr>
          <w:b w:val="0"/>
          <w:i w:val="0"/>
        </w:rPr>
        <w:t xml:space="preserve"> section covers a cyber loss that results from unauthorised access to those devices through a weakness in the software or firmware you supplied.</w:t>
      </w:r>
    </w:p>
    <w:p>
      <w:r>
        <w:rPr>
          <w:b w:val="0"/>
          <w:i w:val="0"/>
        </w:rPr>
        <w:t xml:space="preserve">This endorsement does not cover: (a) bodily injury or property damage, which are covered only as the </w:t>
      </w:r>
      <w:hyperlink w:anchor="c_tl_section_liability">
        <w:r>
          <w:rPr>
            <w:color w:val="2E5C4E"/>
            <w:u w:val="single"/>
          </w:rPr>
          <w:t xml:space="preserve">Public and Products Liability</w:t>
        </w:r>
      </w:hyperlink>
      <w:r>
        <w:rPr>
          <w:b w:val="0"/>
          <w:i w:val="0"/>
        </w:rPr>
        <w:t xml:space="preserve"> section provides, where that section is included; (b) the cost of recalling, repairing or replacing a device; or (c) a claim arising from a device you manufactured.</w:t>
      </w:r>
    </w:p>
    <w:p>
      <w:r>
        <w:rPr>
          <w:b w:val="0"/>
          <w:i w:val="0"/>
        </w:rPr>
        <w:t>The most we will pay under this endorsement is the sub-limit shown in the schedule for it, which is part of the limit of liability.</w:t>
      </w:r>
    </w:p>
    <w:p>
      <w:r>
        <w:rPr>
          <w:b w:val="0"/>
          <w:i w:val="0"/>
        </w:rPr>
        <w:t>Schedule variables: named devices or product lines; sub-limit.</w:t>
      </w:r>
    </w:p>
    <w:p>
      <w:bookmarkStart w:id="159" w:name="c_tl_end_e06"/>
      <w:r>
        <w:rPr>
          <w:rFonts w:ascii="Georgia" w:hAnsi="Georgia" w:eastAsia="Georgia"/>
          <w:b/>
          <w:i w:val="0"/>
          <w:color w:val="2E5C4E"/>
          <w:sz w:val="25"/>
        </w:rPr>
        <w:t>E06 AI Governance and Model Liability</w:t>
      </w:r>
      <w:bookmarkEnd w:id="159"/>
    </w:p>
    <w:p>
      <w:r>
        <w:rPr>
          <w:b/>
          <w:i w:val="0"/>
        </w:rPr>
        <w:t>technology services</w:t>
      </w:r>
      <w:r>
        <w:rPr>
          <w:b w:val="0"/>
          <w:i w:val="0"/>
        </w:rPr>
        <w:t xml:space="preserve"> includes the design, training, fine-tuning, testing, hosting and deployment of artificial intelligence models or systems for others, and </w:t>
      </w:r>
      <w:r>
        <w:rPr>
          <w:b/>
          <w:i w:val="0"/>
        </w:rPr>
        <w:t>technology product</w:t>
      </w:r>
      <w:r>
        <w:rPr>
          <w:b w:val="0"/>
          <w:i w:val="0"/>
        </w:rPr>
        <w:t xml:space="preserve"> includes those models and systems.</w:t>
      </w:r>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covers a claim alleging that a model or system you supplied failed to perform as your contract or your documented specification required, or that you were negligent in its design, training, testing or monitoring, and that your client suffered a financial loss as a result. The </w:t>
      </w:r>
      <w:hyperlink w:anchor="c_tl_section_cyber">
        <w:r>
          <w:rPr>
            <w:color w:val="2E5C4E"/>
            <w:u w:val="single"/>
          </w:rPr>
          <w:t xml:space="preserve">Cyber Protection</w:t>
        </w:r>
      </w:hyperlink>
      <w:r>
        <w:rPr>
          <w:b w:val="0"/>
          <w:i w:val="0"/>
        </w:rPr>
        <w:t xml:space="preserve"> section covers a cyber loss that results from data poisoning, meaning deliberate corruption of training data or model weights by a person without authority, or from adversarial inputs, including prompt injection, that result in </w:t>
      </w:r>
      <w:r>
        <w:rPr>
          <w:b/>
          <w:i w:val="0"/>
        </w:rPr>
        <w:t>unauthorised</w:t>
      </w:r>
      <w:r>
        <w:rPr>
          <w:b w:val="0"/>
          <w:i w:val="0"/>
        </w:rPr>
        <w:t xml:space="preserve"> access to or disclosure of data.</w:t>
      </w:r>
    </w:p>
    <w:p>
      <w:hyperlink w:anchor="c_tl_ext_regulatory_penalties">
        <w:r>
          <w:rPr>
            <w:color w:val="2E5C4E"/>
            <w:u w:val="single"/>
          </w:rPr>
          <w:t xml:space="preserve">The Regulatory Penalties extension</w:t>
        </w:r>
      </w:hyperlink>
      <w:r>
        <w:rPr>
          <w:b w:val="0"/>
          <w:i w:val="0"/>
        </w:rPr>
        <w:t xml:space="preserve"> extends to the defence costs of a regulatory proceeding that arises from your governance of an AI system you supplied to a client. We do not pay a fine or penalty.</w:t>
      </w:r>
    </w:p>
    <w:p>
      <w:r>
        <w:rPr>
          <w:b w:val="0"/>
          <w:i w:val="0"/>
        </w:rPr>
        <w:t>This endorsement does not cover: (a) a claim alleging infringement of intellectual property rights in training data or model outputs; (b) loss from the inherent inaccuracy, bias or unreliability of model outputs where you met the contract or specification; or (c) a claim alleging deliberate discrimination.</w:t>
      </w:r>
    </w:p>
    <w:p>
      <w:r>
        <w:rPr>
          <w:b w:val="0"/>
          <w:i w:val="0"/>
        </w:rPr>
        <w:t>The most we will pay under this endorsement is the sub-limit shown in the schedule for it, which is part of the limit of liability. [WP REVIEW: confirm the regulatory defence costs paragraph against the statutory limits on insuring penalties and against the adopting insurer's regulatory-proceedings position.]</w:t>
      </w:r>
    </w:p>
    <w:p>
      <w:r>
        <w:rPr>
          <w:b w:val="0"/>
          <w:i w:val="0"/>
        </w:rPr>
        <w:t>Schedule variables: covered AI systems; sub-limit.</w:t>
      </w:r>
    </w:p>
    <w:p>
      <w:bookmarkStart w:id="160" w:name="c_tl_end_e07"/>
      <w:r>
        <w:rPr>
          <w:rFonts w:ascii="Georgia" w:hAnsi="Georgia" w:eastAsia="Georgia"/>
          <w:b/>
          <w:i w:val="0"/>
          <w:color w:val="2E5C4E"/>
          <w:sz w:val="25"/>
        </w:rPr>
        <w:t>E07 Open Source Software Licence Compliance</w:t>
      </w:r>
      <w:bookmarkEnd w:id="160"/>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covers a claim alleging that you breached the terms of an open source software licence in a technology product or technology service you supplied, including a claim for damages, for the cost of replacing the affected component, and for the defence costs of a claim for relief.</w:t>
      </w:r>
    </w:p>
    <w:p>
      <w:r>
        <w:rPr>
          <w:b w:val="0"/>
          <w:i w:val="0"/>
        </w:rPr>
        <w:t xml:space="preserve">This endorsement does not cover: (a) a claim alleging that you deliberately breached a licence after you received written notice of the breach and did not remedy it within the time the notice allowed; (b) the cost of releasing your own source code; (c) loss of the value of your own intellectual property; or (d) a claim that </w:t>
      </w:r>
      <w:hyperlink w:anchor="c_tl_ext_patents">
        <w:r>
          <w:rPr>
            <w:color w:val="2E5C4E"/>
            <w:u w:val="single"/>
          </w:rPr>
          <w:t xml:space="preserve">the Patents extension</w:t>
        </w:r>
      </w:hyperlink>
      <w:r>
        <w:rPr>
          <w:b w:val="0"/>
          <w:i w:val="0"/>
        </w:rPr>
        <w:t xml:space="preserve"> covers, which is dealt with under that extension.</w:t>
      </w:r>
    </w:p>
    <w:p>
      <w:r>
        <w:rPr>
          <w:b w:val="0"/>
          <w:i w:val="0"/>
        </w:rPr>
        <w:t>The most we will pay under this endorsement is the sub-limit shown in the schedule for it, which is part of the limit of liability.</w:t>
      </w:r>
    </w:p>
    <w:p>
      <w:r>
        <w:rPr>
          <w:b w:val="0"/>
          <w:i w:val="0"/>
        </w:rPr>
        <w:t>Schedule variables: sub-limit.</w:t>
      </w:r>
    </w:p>
    <w:p>
      <w:bookmarkStart w:id="161" w:name="c_tl_end_e08"/>
      <w:r>
        <w:rPr>
          <w:rFonts w:ascii="Georgia" w:hAnsi="Georgia" w:eastAsia="Georgia"/>
          <w:b/>
          <w:i w:val="0"/>
          <w:color w:val="2E5C4E"/>
          <w:sz w:val="25"/>
        </w:rPr>
        <w:t>E08 Cryptocurrency and Digital Asset Services</w:t>
      </w:r>
      <w:bookmarkEnd w:id="161"/>
    </w:p>
    <w:p>
      <w:r>
        <w:rPr>
          <w:b/>
          <w:i w:val="0"/>
        </w:rPr>
        <w:t>technology services</w:t>
      </w:r>
      <w:r>
        <w:rPr>
          <w:b w:val="0"/>
          <w:i w:val="0"/>
        </w:rPr>
        <w:t xml:space="preserve"> includes the development, hosting or operation of software for the custody, transfer, exchange or issue of cryptocurrency or other digital assets, as described in the schedule for this endorsement.</w:t>
      </w:r>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covers a claim alleging that your negligent act, error or omission in those services caused your client a financial loss. The </w:t>
      </w:r>
      <w:hyperlink w:anchor="c_tl_section_cyber">
        <w:r>
          <w:rPr>
            <w:color w:val="2E5C4E"/>
            <w:u w:val="single"/>
          </w:rPr>
          <w:t xml:space="preserve">Cyber Protection</w:t>
        </w:r>
      </w:hyperlink>
      <w:r>
        <w:rPr>
          <w:b w:val="0"/>
          <w:i w:val="0"/>
        </w:rPr>
        <w:t xml:space="preserve"> section covers a cyber loss that results in the theft of digital assets from wallets or accounts you hold on behalf of a client or in your own name, up to the sub-limit shown in the schedule for this endorsement.</w:t>
      </w:r>
    </w:p>
    <w:p>
      <w:r>
        <w:rPr>
          <w:b w:val="0"/>
          <w:i w:val="0"/>
        </w:rPr>
        <w:t>The value of a digital asset is its value in Australian dollars at the time of the loss, taken from the exchange named in the schedule or, if none is named, the exchange with the highest trading volume for that asset that day. We do not pay for a fall in value after the loss, or for any loss arising from trading, price movement or the failure of an exchange.</w:t>
      </w:r>
    </w:p>
    <w:p>
      <w:r>
        <w:rPr>
          <w:b w:val="0"/>
          <w:i w:val="0"/>
        </w:rPr>
        <w:t>This endorsement does not cover: (a) a claim or loss arising from your private keys being held by a person you did not authorise; (b) a claim by an investor alleging a loss on an investment; or (c) a claim or loss relating to a financial product or a financial service for which a licence is required and you do not hold it.</w:t>
      </w:r>
    </w:p>
    <w:p>
      <w:r>
        <w:rPr>
          <w:b w:val="0"/>
          <w:i w:val="0"/>
        </w:rPr>
        <w:t>Schedule variables: described services; sub-limit; named exchange (if any).</w:t>
      </w:r>
    </w:p>
    <w:p>
      <w:bookmarkStart w:id="162" w:name="c_tl_end_e09"/>
      <w:r>
        <w:rPr>
          <w:rFonts w:ascii="Georgia" w:hAnsi="Georgia" w:eastAsia="Georgia"/>
          <w:b/>
          <w:i w:val="0"/>
          <w:color w:val="2E5C4E"/>
          <w:sz w:val="25"/>
        </w:rPr>
        <w:t>E09 Managed Security Services Provider</w:t>
      </w:r>
      <w:bookmarkEnd w:id="162"/>
    </w:p>
    <w:p>
      <w:r>
        <w:rPr>
          <w:b/>
          <w:i w:val="0"/>
        </w:rPr>
        <w:t>technology services</w:t>
      </w:r>
      <w:r>
        <w:rPr>
          <w:b w:val="0"/>
          <w:i w:val="0"/>
        </w:rPr>
        <w:t xml:space="preserve"> includes managed security services, as described in the schedule for this endorsement, namely monitoring, detection, response, vulnerability management and security consulting you provide to a client under a written contract.</w:t>
      </w:r>
    </w:p>
    <w:p>
      <w:r>
        <w:rPr>
          <w:b w:val="0"/>
          <w:i w:val="0"/>
        </w:rPr>
        <w:t xml:space="preserve">The </w:t>
      </w:r>
      <w:hyperlink w:anchor="c_tl_section_professional_liability">
        <w:r>
          <w:rPr>
            <w:color w:val="2E5C4E"/>
            <w:u w:val="single"/>
          </w:rPr>
          <w:t xml:space="preserve">Technology Professional Liability</w:t>
        </w:r>
      </w:hyperlink>
      <w:r>
        <w:rPr>
          <w:b w:val="0"/>
          <w:i w:val="0"/>
        </w:rPr>
        <w:t xml:space="preserve"> section covers a claim alleging that your negligent act, error or omission in providing those services allowed a </w:t>
      </w:r>
      <w:r>
        <w:rPr>
          <w:b/>
          <w:i w:val="0"/>
        </w:rPr>
        <w:t>cyber security breach</w:t>
      </w:r>
      <w:r>
        <w:rPr>
          <w:b w:val="0"/>
          <w:i w:val="0"/>
        </w:rPr>
        <w:t xml:space="preserve"> or </w:t>
      </w:r>
      <w:r>
        <w:rPr>
          <w:b/>
          <w:i w:val="0"/>
        </w:rPr>
        <w:t>data breach</w:t>
      </w:r>
      <w:r>
        <w:rPr>
          <w:b w:val="0"/>
          <w:i w:val="0"/>
        </w:rPr>
        <w:t xml:space="preserve"> at your client that you were engaged to detect, prevent or contain, and your client suffered a financial loss.</w:t>
      </w:r>
    </w:p>
    <w:p>
      <w:r>
        <w:rPr>
          <w:b w:val="0"/>
          <w:i w:val="0"/>
        </w:rPr>
        <w:t>This endorsement does not cover: (a) a claim alleging that you guaranteed that a breach would not occur or would be detected; (b) the cost of improving your client's security beyond what it was before the breach; or (c) a claim for a breach at a client that the contract did not require you to monitor.</w:t>
      </w:r>
    </w:p>
    <w:p>
      <w:r>
        <w:rPr>
          <w:b w:val="0"/>
          <w:i w:val="0"/>
        </w:rPr>
        <w:t>The most we will pay under this endorsement is the sub-limit shown in the schedule for it, which is part of the limit of liability.</w:t>
      </w:r>
    </w:p>
    <w:p>
      <w:r>
        <w:rPr>
          <w:b w:val="0"/>
          <w:i w:val="0"/>
        </w:rPr>
        <w:t>Schedule variables: described services; sub-limit.</w:t>
      </w:r>
    </w:p>
    <w:p>
      <w:bookmarkStart w:id="163" w:name="c_tl_end_e10"/>
      <w:r>
        <w:rPr>
          <w:rFonts w:ascii="Georgia" w:hAnsi="Georgia" w:eastAsia="Georgia"/>
          <w:b/>
          <w:i w:val="0"/>
          <w:color w:val="2E5C4E"/>
          <w:sz w:val="25"/>
        </w:rPr>
        <w:t>E10 Government and Defence Contractor</w:t>
      </w:r>
      <w:bookmarkEnd w:id="163"/>
    </w:p>
    <w:p>
      <w:hyperlink w:anchor="c_tl_excl_contractual_liability">
        <w:r>
          <w:rPr>
            <w:color w:val="2E5C4E"/>
            <w:u w:val="single"/>
          </w:rPr>
          <w:t xml:space="preserve">The Contractual Liability exclusion</w:t>
        </w:r>
      </w:hyperlink>
      <w:r>
        <w:rPr>
          <w:b w:val="0"/>
          <w:i w:val="0"/>
        </w:rPr>
        <w:t xml:space="preserve"> and </w:t>
      </w:r>
      <w:hyperlink w:anchor="c_tl_ext_contractual_liability">
        <w:r>
          <w:rPr>
            <w:color w:val="2E5C4E"/>
            <w:u w:val="single"/>
          </w:rPr>
          <w:t xml:space="preserve">the Contractual Liability extension</w:t>
        </w:r>
      </w:hyperlink>
      <w:r>
        <w:rPr>
          <w:b w:val="0"/>
          <w:i w:val="0"/>
        </w:rPr>
        <w:t xml:space="preserve"> are read so that a liability under a contract with an Australian federal, state or territory government body, or a defence prime contractor, is covered only to the extent the liability would have arisen without the contract, or the schedule for this endorsement names the contract.</w:t>
      </w:r>
    </w:p>
    <w:p>
      <w:r>
        <w:rPr>
          <w:b w:val="0"/>
          <w:i w:val="0"/>
        </w:rPr>
        <w:t>Cover for a claim under a contract named in the schedule includes liquidated damages, service credits and the cost of re-performing the work, up to the sub-limit shown for this endorsement, which is part of the limit of liability.</w:t>
      </w:r>
    </w:p>
    <w:p>
      <w:r>
        <w:rPr>
          <w:b w:val="0"/>
          <w:i w:val="0"/>
        </w:rPr>
        <w:t xml:space="preserve">This endorsement does not cover: (a) a claim relating to classified information, or a breach of a security clearance or an export control; (b) a fine or penalty; (c) a claim made by a government body in its capacity as a regulator; or (d) a claim outside Australia unless </w:t>
      </w:r>
      <w:hyperlink w:anchor="c_tl_end_e01">
        <w:r>
          <w:rPr>
            <w:color w:val="2E5C4E"/>
            <w:u w:val="single"/>
          </w:rPr>
          <w:t xml:space="preserve">the E01 United States and Canada Jurisdiction endorsement</w:t>
        </w:r>
      </w:hyperlink>
      <w:r>
        <w:rPr>
          <w:b w:val="0"/>
          <w:i w:val="0"/>
        </w:rPr>
        <w:t xml:space="preserve"> applies.</w:t>
      </w:r>
    </w:p>
    <w:p>
      <w:r>
        <w:rPr>
          <w:b w:val="0"/>
          <w:i w:val="0"/>
        </w:rPr>
        <w:t>Schedule variables: named contracts; sub-limit.</w:t>
      </w:r>
    </w:p>
    <w:p>
      <w:bookmarkStart w:id="164" w:name="c_tl_end_e11"/>
      <w:r>
        <w:rPr>
          <w:rFonts w:ascii="Georgia" w:hAnsi="Georgia" w:eastAsia="Georgia"/>
          <w:b/>
          <w:i w:val="0"/>
          <w:color w:val="2E5C4E"/>
          <w:sz w:val="25"/>
        </w:rPr>
        <w:t>E11 Non-IT Dependent Business Interruption</w:t>
      </w:r>
      <w:bookmarkEnd w:id="164"/>
    </w:p>
    <w:p>
      <w:hyperlink w:anchor="c_tl_cover_business_interruption">
        <w:r>
          <w:rPr>
            <w:color w:val="2E5C4E"/>
            <w:u w:val="single"/>
          </w:rPr>
          <w:t xml:space="preserve">The Business Interruption clause</w:t>
        </w:r>
      </w:hyperlink>
      <w:r>
        <w:rPr>
          <w:b w:val="0"/>
          <w:i w:val="0"/>
        </w:rPr>
        <w:t xml:space="preserve"> extends to business interruption loss resulting from a </w:t>
      </w:r>
      <w:r>
        <w:rPr>
          <w:b/>
          <w:i w:val="0"/>
        </w:rPr>
        <w:t>cyber security breach</w:t>
      </w:r>
      <w:r>
        <w:rPr>
          <w:b w:val="0"/>
          <w:i w:val="0"/>
        </w:rPr>
        <w:t xml:space="preserve"> affecting the computer systems of a supplier named in the schedule for this endorsement, even though that supplier is not a </w:t>
      </w:r>
      <w:r>
        <w:rPr>
          <w:b/>
          <w:i w:val="0"/>
        </w:rPr>
        <w:t>technology provider</w:t>
      </w:r>
      <w:r>
        <w:rPr>
          <w:b w:val="0"/>
          <w:i w:val="0"/>
        </w:rPr>
        <w:t xml:space="preserve">. For this endorsement, a </w:t>
      </w:r>
      <w:r>
        <w:rPr>
          <w:b/>
          <w:i w:val="0"/>
        </w:rPr>
        <w:t>cyber security breach</w:t>
      </w:r>
      <w:r>
        <w:rPr>
          <w:b w:val="0"/>
          <w:i w:val="0"/>
        </w:rPr>
        <w:t xml:space="preserve"> at a named supplier is treated as a dependent security breach.</w:t>
      </w:r>
    </w:p>
    <w:p>
      <w:r>
        <w:rPr>
          <w:b w:val="0"/>
          <w:i w:val="0"/>
        </w:rPr>
        <w:t>The waiting period shown for this endorsement applies on a threshold basis: once the interruption exceeds it, business interruption loss is measured from the start of the interruption.</w:t>
      </w:r>
    </w:p>
    <w:p>
      <w:r>
        <w:rPr>
          <w:b w:val="0"/>
          <w:i w:val="0"/>
        </w:rPr>
        <w:t>This endorsement does not cover interruption arising from physical damage to the supplier's premises or plant, insolvency of the supplier, industrial action, or the supplier's commercial decision to stop supplying.</w:t>
      </w:r>
    </w:p>
    <w:p>
      <w:r>
        <w:rPr>
          <w:b w:val="0"/>
          <w:i w:val="0"/>
        </w:rPr>
        <w:t>Schedule variables: named suppliers; sub-limit; waiting period.</w:t>
      </w:r>
    </w:p>
    <w:p>
      <w:bookmarkStart w:id="165" w:name="c_tl_end_e12"/>
      <w:r>
        <w:rPr>
          <w:rFonts w:ascii="Georgia" w:hAnsi="Georgia" w:eastAsia="Georgia"/>
          <w:b/>
          <w:i w:val="0"/>
          <w:color w:val="2E5C4E"/>
          <w:sz w:val="25"/>
        </w:rPr>
        <w:t>E12 Customer Business Interruption</w:t>
      </w:r>
      <w:bookmarkEnd w:id="165"/>
    </w:p>
    <w:p>
      <w:hyperlink w:anchor="c_tl_cover_business_interruption">
        <w:r>
          <w:rPr>
            <w:color w:val="2E5C4E"/>
            <w:u w:val="single"/>
          </w:rPr>
          <w:t xml:space="preserve">The Business Interruption clause</w:t>
        </w:r>
      </w:hyperlink>
      <w:r>
        <w:rPr>
          <w:b w:val="0"/>
          <w:i w:val="0"/>
        </w:rPr>
        <w:t xml:space="preserve"> extends to your lost income resulting from a reduction in purchases by a customer named in the schedule for this endorsement, where that reduction results directly from a </w:t>
      </w:r>
      <w:r>
        <w:rPr>
          <w:b/>
          <w:i w:val="0"/>
        </w:rPr>
        <w:t>cyber security breach</w:t>
      </w:r>
      <w:r>
        <w:rPr>
          <w:b w:val="0"/>
          <w:i w:val="0"/>
        </w:rPr>
        <w:t xml:space="preserve"> affecting the named customer's computer systems.</w:t>
      </w:r>
    </w:p>
    <w:p>
      <w:r>
        <w:rPr>
          <w:b w:val="0"/>
          <w:i w:val="0"/>
        </w:rPr>
        <w:t>Loss is measured over the indemnity period, after the waiting period shown for this endorsement on a threshold basis, and only to the extent the reduction in the named customer's purchases exceeds normal variation in their purchasing pattern over the preceding 12 months.</w:t>
      </w:r>
    </w:p>
    <w:p>
      <w:r>
        <w:rPr>
          <w:b w:val="0"/>
          <w:i w:val="0"/>
        </w:rPr>
        <w:t xml:space="preserve">This endorsement does not cover reductions attributable to market conditions, the customer's financial position, or any cause other than the </w:t>
      </w:r>
      <w:r>
        <w:rPr>
          <w:b/>
          <w:i w:val="0"/>
        </w:rPr>
        <w:t>cyber security breach</w:t>
      </w:r>
      <w:r>
        <w:rPr>
          <w:b w:val="0"/>
          <w:i w:val="0"/>
        </w:rPr>
        <w:t>.</w:t>
      </w:r>
    </w:p>
    <w:p>
      <w:r>
        <w:rPr>
          <w:b w:val="0"/>
          <w:i w:val="0"/>
        </w:rPr>
        <w:t>Schedule variables: named customers; sub-limit; waiting period.</w:t>
      </w:r>
    </w:p>
    <w:p>
      <w:bookmarkStart w:id="166" w:name="c_tl_end_e13"/>
      <w:r>
        <w:rPr>
          <w:rFonts w:ascii="Georgia" w:hAnsi="Georgia" w:eastAsia="Georgia"/>
          <w:b/>
          <w:i w:val="0"/>
          <w:color w:val="2E5C4E"/>
          <w:sz w:val="25"/>
        </w:rPr>
        <w:t>E13 Missed Bid Income Loss</w:t>
      </w:r>
      <w:bookmarkEnd w:id="166"/>
    </w:p>
    <w:p>
      <w:r>
        <w:rPr>
          <w:b w:val="0"/>
          <w:i w:val="0"/>
        </w:rPr>
        <w:t xml:space="preserve">The </w:t>
      </w:r>
      <w:hyperlink w:anchor="c_tl_section_cyber">
        <w:r>
          <w:rPr>
            <w:color w:val="2E5C4E"/>
            <w:u w:val="single"/>
          </w:rPr>
          <w:t xml:space="preserve">Cyber Protection</w:t>
        </w:r>
      </w:hyperlink>
      <w:r>
        <w:rPr>
          <w:b w:val="0"/>
          <w:i w:val="0"/>
        </w:rPr>
        <w:t xml:space="preserve"> section extends to your lost net profit on a tender or bid you were unable to submit by its closing date because a </w:t>
      </w:r>
      <w:r>
        <w:rPr>
          <w:b/>
          <w:i w:val="0"/>
        </w:rPr>
        <w:t>cyber security breach</w:t>
      </w:r>
      <w:r>
        <w:rPr>
          <w:b w:val="0"/>
          <w:i w:val="0"/>
        </w:rPr>
        <w:t xml:space="preserve"> made your </w:t>
      </w:r>
      <w:r>
        <w:rPr>
          <w:b/>
          <w:i w:val="0"/>
        </w:rPr>
        <w:t>computer system</w:t>
      </w:r>
      <w:r>
        <w:rPr>
          <w:b w:val="0"/>
          <w:i w:val="0"/>
        </w:rPr>
        <w:t xml:space="preserve"> unavailable, where you have the written tender documents showing the closing date and you had begun preparing the bid before the breach.</w:t>
      </w:r>
    </w:p>
    <w:p>
      <w:r>
        <w:rPr>
          <w:b w:val="0"/>
          <w:i w:val="0"/>
        </w:rPr>
        <w:t>We pay net profit on the bid only to the extent you show, from the bid documents and your record of similar bids you won in the preceding 24 months, that you would have won it. We pay for no more than the number of bids and the amount per bid shown in the schedule for this endorsement.</w:t>
      </w:r>
    </w:p>
    <w:p>
      <w:r>
        <w:rPr>
          <w:b w:val="0"/>
          <w:i w:val="0"/>
        </w:rPr>
        <w:t xml:space="preserve">This endorsement does not cover a bid you did not submit for a reason other than the </w:t>
      </w:r>
      <w:r>
        <w:rPr>
          <w:b/>
          <w:i w:val="0"/>
        </w:rPr>
        <w:t>cyber security breach</w:t>
      </w:r>
      <w:r>
        <w:rPr>
          <w:b w:val="0"/>
          <w:i w:val="0"/>
        </w:rPr>
        <w:t>, or a bid for work you could not have performed.</w:t>
      </w:r>
    </w:p>
    <w:p>
      <w:r>
        <w:rPr>
          <w:b w:val="0"/>
          <w:i w:val="0"/>
        </w:rPr>
        <w:t>Schedule variables: sub-limit; maximum amount per bid; maximum number of bids.</w:t>
      </w:r>
    </w:p>
    <w:p>
      <w:bookmarkStart w:id="167" w:name="c_tl_end_e14"/>
      <w:r>
        <w:rPr>
          <w:rFonts w:ascii="Georgia" w:hAnsi="Georgia" w:eastAsia="Georgia"/>
          <w:b/>
          <w:i w:val="0"/>
          <w:color w:val="2E5C4E"/>
          <w:sz w:val="25"/>
        </w:rPr>
        <w:t>E14 Emergency Continuity Costs</w:t>
      </w:r>
      <w:bookmarkEnd w:id="167"/>
    </w:p>
    <w:p>
      <w:r>
        <w:rPr>
          <w:b w:val="0"/>
          <w:i w:val="0"/>
        </w:rPr>
        <w:t xml:space="preserve">The </w:t>
      </w:r>
      <w:hyperlink w:anchor="c_tl_section_cyber">
        <w:r>
          <w:rPr>
            <w:color w:val="2E5C4E"/>
            <w:u w:val="single"/>
          </w:rPr>
          <w:t xml:space="preserve">Cyber Protection</w:t>
        </w:r>
      </w:hyperlink>
      <w:r>
        <w:rPr>
          <w:b w:val="0"/>
          <w:i w:val="0"/>
        </w:rPr>
        <w:t xml:space="preserve"> section extends to the reasonable costs you incur in the first 72 hours after a </w:t>
      </w:r>
      <w:r>
        <w:rPr>
          <w:b/>
          <w:i w:val="0"/>
        </w:rPr>
        <w:t>cyber security breach</w:t>
      </w:r>
      <w:r>
        <w:rPr>
          <w:b w:val="0"/>
          <w:i w:val="0"/>
        </w:rPr>
        <w:t xml:space="preserve"> to keep your technology services available to clients, including temporary hosting, temporary staff and contractors, and expedited delivery of replacement equipment, where we have not yet had the chance to agree them.</w:t>
      </w:r>
    </w:p>
    <w:p>
      <w:r>
        <w:rPr>
          <w:b w:val="0"/>
          <w:i w:val="0"/>
        </w:rPr>
        <w:t xml:space="preserve">You must give us notice of the costs as soon as reasonably practicable and keep the invoices. We pay these costs only to the extent they are also reasonable measures to reduce business interruption loss, and we do not pay for the permanent improvement of your </w:t>
      </w:r>
      <w:r>
        <w:rPr>
          <w:b/>
          <w:i w:val="0"/>
        </w:rPr>
        <w:t>computer system</w:t>
      </w:r>
      <w:r>
        <w:rPr>
          <w:b w:val="0"/>
          <w:i w:val="0"/>
        </w:rPr>
        <w:t>.</w:t>
      </w:r>
    </w:p>
    <w:p>
      <w:r>
        <w:rPr>
          <w:b w:val="0"/>
          <w:i w:val="0"/>
        </w:rPr>
        <w:t xml:space="preserve">The most we will pay under this endorsement is the sub-limit shown in the schedule for it, which is part of the limit of liability. Costs paid under this endorsement reduce the amount payable for the same costs under the covers in the </w:t>
      </w:r>
      <w:hyperlink w:anchor="c_tl_section_cyber">
        <w:r>
          <w:rPr>
            <w:color w:val="2E5C4E"/>
            <w:u w:val="single"/>
          </w:rPr>
          <w:t xml:space="preserve">Cyber Protection</w:t>
        </w:r>
      </w:hyperlink>
      <w:r>
        <w:rPr>
          <w:b w:val="0"/>
          <w:i w:val="0"/>
        </w:rPr>
        <w:t xml:space="preserve"> section.</w:t>
      </w:r>
    </w:p>
    <w:p>
      <w:r>
        <w:rPr>
          <w:b w:val="0"/>
          <w:i w:val="0"/>
        </w:rPr>
        <w:t>Schedule variables: sub-limit.</w:t>
      </w:r>
    </w:p>
    <w:p>
      <w:bookmarkStart w:id="168" w:name="c_tl_licence_notice"/>
      <w:r>
        <w:rPr>
          <w:rFonts w:ascii="Georgia" w:hAnsi="Georgia" w:eastAsia="Georgia"/>
          <w:b/>
          <w:i w:val="0"/>
          <w:color w:val="1C1915"/>
          <w:sz w:val="32"/>
        </w:rPr>
        <w:t>Licence and Trademark Notice</w:t>
      </w:r>
      <w:bookmarkEnd w:id="168"/>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Lloyd's risk codes: PC (technology professional liability), CY (cyber), GL (public liability), PR (products liability).</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release of the Meridian Technology Liability wording built from clause source in the Commons. It replaces version 1.3.0 (July 2026) and brings the endorsement library (2026/TL/0002) into this document. Changes from version 1.3.0:</w:t>
      </w:r>
    </w:p>
    <w:p>
      <w:pPr>
        <w:pStyle w:val="ListBullet"/>
      </w:pPr>
      <w:r>
        <w:rPr>
          <w:b w:val="0"/>
          <w:i w:val="0"/>
        </w:rPr>
        <w:t>Clause numbers are removed. Each clause is identified by its heading, and every cross-reference that used a section number is now a link to the clause it names. Where version 1.3.0 named a group of sections, the reference names each clause in the group.</w:t>
      </w:r>
    </w:p>
    <w:p>
      <w:pPr>
        <w:pStyle w:val="ListBullet"/>
      </w:pPr>
      <w:r>
        <w:rPr>
          <w:b w:val="0"/>
          <w:i w:val="0"/>
        </w:rPr>
        <w:t>New definitions of Related claims and Extended reporting period. Version 1.3.0 used both terms without defining them.</w:t>
      </w:r>
    </w:p>
    <w:p>
      <w:pPr>
        <w:pStyle w:val="ListBullet"/>
      </w:pPr>
      <w:r>
        <w:rPr>
          <w:b w:val="0"/>
          <w:i w:val="0"/>
        </w:rPr>
        <w:t>The Exclusion Applicability Matrix now names each exclusion by its heading.</w:t>
      </w:r>
    </w:p>
    <w:p>
      <w:pPr>
        <w:pStyle w:val="ListBullet"/>
      </w:pPr>
      <w:r>
        <w:rPr>
          <w:b w:val="0"/>
          <w:i w:val="0"/>
        </w:rPr>
        <w:t>The endorsement library is now part of this wording, with 14 endorsements, each with operative text, schedule variables and a platform trigger. The library in version 1.3.0 gave a title for each endorsement and no operative text. The operative text of E01 to E14 is new drafting and has not been reviewed.</w:t>
      </w:r>
    </w:p>
    <w:p>
      <w:pPr>
        <w:pStyle w:val="ListBullet"/>
      </w:pPr>
      <w:r>
        <w:rPr>
          <w:b w:val="0"/>
          <w:i w:val="0"/>
        </w:rPr>
        <w:t>E01 United States and Canada Jurisdiction writes back the jurisdictional limits exclusion for the sections the schedule names.</w:t>
      </w:r>
    </w:p>
    <w:p>
      <w:pPr>
        <w:pStyle w:val="ListBullet"/>
      </w:pPr>
      <w:r>
        <w:rPr>
          <w:b w:val="0"/>
          <w:i w:val="0"/>
        </w:rPr>
        <w:t>E02 pays defence costs for the Technology Professional Liability and Cyber Protection sections in addition to the limit, to a cap.</w:t>
      </w:r>
    </w:p>
    <w:p>
      <w:pPr>
        <w:pStyle w:val="ListBullet"/>
      </w:pPr>
      <w:r>
        <w:rPr>
          <w:b w:val="0"/>
          <w:i w:val="0"/>
        </w:rPr>
        <w:t>E04 Excess Layer follows the underlying policy and does not drop down for uncollectible underlying insurance.</w:t>
      </w:r>
    </w:p>
    <w:p>
      <w:pPr>
        <w:pStyle w:val="ListBullet"/>
      </w:pPr>
      <w:r>
        <w:rPr>
          <w:b w:val="0"/>
          <w:i w:val="0"/>
        </w:rPr>
        <w:t>The licence notice and the Lloyd's risk codes are now in this document as the Licence and Trademark Notice.</w:t>
      </w:r>
    </w:p>
    <w:p>
      <w:pPr>
        <w:pStyle w:val="ListBullet"/>
      </w:pPr>
      <w:r>
        <w:rPr>
          <w:b w:val="0"/>
          <w:i w:val="0"/>
        </w:rPr>
        <w:t>Statute references now read s.40, s.45, s.28 and s.6 so they are not mistaken for clause references.</w:t>
      </w:r>
    </w:p>
    <w:p>
      <w:pPr>
        <w:pStyle w:val="ListBullet"/>
      </w:pPr>
      <w:r>
        <w:rPr>
          <w:b w:val="0"/>
          <w:i w:val="0"/>
        </w:rPr>
        <w:t>Wording Partner review tags are added on the contractual liability exclusion (warranties and s.24 of the Insurance Contracts Act 1984 (Cth)) and on the regulatory defence costs paragraph of E06.</w:t>
      </w:r>
    </w:p>
    <w:p>
      <w:r>
        <w:rPr>
          <w:b w:val="0"/>
          <w:i/>
          <w:sz w:val="18"/>
        </w:rPr>
        <w:t>Cuttleflow Systems — Open Source Insurance Wording</w:t>
      </w:r>
    </w:p>
    <w:p>
      <w:r>
        <w:rPr>
          <w:rFonts w:ascii="Consolas" w:hAnsi="Consolas" w:eastAsia="Consolas"/>
          <w:b w:val="0"/>
          <w:i w:val="0"/>
          <w:sz w:val="16"/>
        </w:rPr>
        <w:t>2026/TL/0001 · v1.4.0-DRAFT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2026/TL/0001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TECHNOLOGY LIABILITY · V1.4.0-DRAFT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Liability</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