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FINANCIAL SERVICES PROFESSIONAL INDEMNITY INSURANCE · FINANCIAL ADVISERS</w:t>
      </w:r>
    </w:p>
    <w:p>
      <w:r>
        <w:rPr>
          <w:rFonts w:ascii="Georgia" w:hAnsi="Georgia" w:eastAsia="Georgia"/>
          <w:b/>
          <w:i w:val="0"/>
          <w:sz w:val="60"/>
        </w:rPr>
        <w:t>Financial Advisers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Attaches to base wording fs-base@1.0.0-DRAFT</w:t>
      </w:r>
    </w:p>
    <w:p>
      <w:r>
        <w:rPr>
          <w:rFonts w:ascii="Consolas" w:hAnsi="Consolas" w:eastAsia="Consolas"/>
          <w:b w:val="0"/>
          <w:i w:val="0"/>
          <w:sz w:val="18"/>
        </w:rPr>
        <w:t>Document ref 2026/FS/0004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Financial Services Professional Indemnity Insurance wording, version 1.0.0-DRAFT (document reference 2026/FS/0001),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Financial Advisers Professional Indemnity Insurance, version 1.0.0-DRAFT.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The following services, to the extent that you are authorised to provide them under the Australian financial services licence shown in the schedule, or as an authorised representative of the licensee shown in the schedule:</w:t>
      </w:r>
    </w:p>
    <w:p>
      <w:r>
        <w:rPr>
          <w:b w:val="0"/>
          <w:i w:val="0"/>
        </w:rPr>
        <w:t>(a) personal and general advice on financial products, including superannuation, self-managed superannuation funds, managed investments, securities, life risk insurance and retirement income products;</w:t>
      </w:r>
    </w:p>
    <w:p>
      <w:r>
        <w:rPr>
          <w:b w:val="0"/>
          <w:i w:val="0"/>
        </w:rPr>
        <w:t>(b) financial planning, including strategy advice on investment, superannuation, retirement, estate planning, debt and cash flow;</w:t>
      </w:r>
    </w:p>
    <w:p>
      <w:r>
        <w:rPr>
          <w:b w:val="0"/>
          <w:i w:val="0"/>
        </w:rPr>
        <w:t>(c) arranging or dealing in financial products for your clients;</w:t>
      </w:r>
    </w:p>
    <w:p>
      <w:r>
        <w:rPr>
          <w:b w:val="0"/>
          <w:i w:val="0"/>
        </w:rPr>
        <w:t>(d) tax (financial) advice provided by a qualified tax relevant provider; and</w:t>
      </w:r>
    </w:p>
    <w:p>
      <w:r>
        <w:rPr>
          <w:b w:val="0"/>
          <w:i w:val="0"/>
        </w:rPr>
        <w:t>(e) any other service shown in the schedule as a professional service.</w:t>
      </w:r>
    </w:p>
    <w:p>
      <w:r>
        <w:rPr>
          <w:b w:val="0"/>
          <w:i w:val="0"/>
        </w:rPr>
        <w:t>Advice to switch from one financial product to another, or to continue holding a financial product, is a professional service whether or not either product is on your approved product list.</w:t>
      </w:r>
    </w:p>
    <w:p>
      <w:bookmarkStart w:id="2" w:name="c_end_1"/>
      <w:r>
        <w:rPr>
          <w:rFonts w:ascii="Georgia" w:hAnsi="Georgia" w:eastAsia="Georgia"/>
          <w:b/>
          <w:i w:val="0"/>
          <w:color w:val="1C1915"/>
          <w:sz w:val="32"/>
        </w:rPr>
        <w:t>Added: Product Issuer Failure</w:t>
      </w:r>
      <w:bookmarkEnd w:id="2"/>
    </w:p>
    <w:p>
      <w:r>
        <w:rPr>
          <w:b w:val="0"/>
          <w:i w:val="0"/>
        </w:rPr>
        <w:t>The following exclusion is added to the base wording, after the Investment Performance exclusion.</w:t>
      </w:r>
    </w:p>
    <w:p>
      <w:r>
        <w:rPr>
          <w:b/>
          <w:i w:val="0"/>
        </w:rPr>
        <w:t>Product Issuer Failure</w:t>
      </w:r>
    </w:p>
    <w:p>
      <w:r>
        <w:rPr>
          <w:b w:val="0"/>
          <w:i w:val="0"/>
        </w:rPr>
        <w:t>For loss caused solely by the insolvency, fraud or failure of the issuer or operator of a financial product, or of a platform or custodian, that you did not control.</w:t>
      </w:r>
    </w:p>
    <w:p>
      <w:r>
        <w:rPr>
          <w:b w:val="0"/>
          <w:i w:val="0"/>
        </w:rPr>
        <w:t>This exclusion does not apply to a claim that your advice to acquire, switch to or continue to hold the product was negligent or was given in breach of your duties, including a best interests duty.</w:t>
      </w:r>
    </w:p>
    <w:p>
      <w:bookmarkStart w:id="3" w:name="c_end_2"/>
      <w:r>
        <w:rPr>
          <w:rFonts w:ascii="Georgia" w:hAnsi="Georgia" w:eastAsia="Georgia"/>
          <w:b/>
          <w:i w:val="0"/>
          <w:color w:val="1C1915"/>
          <w:sz w:val="32"/>
        </w:rPr>
        <w:t>Added: Market Participants</w:t>
      </w:r>
      <w:bookmarkEnd w:id="3"/>
    </w:p>
    <w:p>
      <w:r>
        <w:rPr>
          <w:b w:val="0"/>
          <w:i w:val="0"/>
        </w:rPr>
        <w:t>The following exclusion is added to the base wording, after the Product Issuer Failure exclusion.</w:t>
      </w:r>
    </w:p>
    <w:p>
      <w:r>
        <w:rPr>
          <w:b/>
          <w:i w:val="0"/>
        </w:rPr>
        <w:t>Market Participants</w:t>
      </w:r>
    </w:p>
    <w:p>
      <w:r>
        <w:rPr>
          <w:b w:val="0"/>
          <w:i w:val="0"/>
        </w:rPr>
        <w:t>Arising from your activities as a participant of a licensed financial market or clearing and settlement facility, including executing orders on a market for clients.</w:t>
      </w:r>
    </w:p>
    <w:p>
      <w:r>
        <w:rPr>
          <w:b w:val="0"/>
          <w:i w:val="0"/>
        </w:rPr>
        <w:t>This exclusion does not apply to advice to buy or sell a financial product, or to arranging for a market participant to execute a client's order.</w:t>
      </w:r>
    </w:p>
    <w:p>
      <w:bookmarkStart w:id="4" w:name="c_end_3"/>
      <w:r>
        <w:rPr>
          <w:rFonts w:ascii="Georgia" w:hAnsi="Georgia" w:eastAsia="Georgia"/>
          <w:b/>
          <w:i w:val="0"/>
          <w:color w:val="1C1915"/>
          <w:sz w:val="32"/>
        </w:rPr>
        <w:t>Financial Advisers Endorsements</w:t>
      </w:r>
      <w:bookmarkEnd w:id="4"/>
    </w:p>
    <w:p>
      <w:r>
        <w:rPr>
          <w:b w:val="0"/>
          <w:i w:val="0"/>
        </w:rPr>
        <w:t>The following endorsements apply to this policy only when the schedule shows that they apply.</w:t>
      </w:r>
    </w:p>
    <w:p>
      <w:r>
        <w:rPr>
          <w:b w:val="0"/>
          <w:i w:val="0"/>
        </w:rPr>
        <w:t>An endorsement does not apply to the extent that it would exclude cover that ASIC Regulatory Guide 126 requires the policy to provide, including AFCA determinations, the conduct of your representatives, and the fraud or dishonesty of your officers, employees and representatives.</w:t>
      </w:r>
    </w:p>
    <w:p>
      <w:bookmarkStart w:id="5" w:name="c_end_4"/>
      <w:r>
        <w:rPr>
          <w:rFonts w:ascii="Georgia" w:hAnsi="Georgia" w:eastAsia="Georgia"/>
          <w:b/>
          <w:i w:val="0"/>
          <w:color w:val="1C1915"/>
          <w:sz w:val="32"/>
        </w:rPr>
        <w:t>Approved Product List Condition</w:t>
      </w:r>
      <w:bookmarkEnd w:id="5"/>
    </w:p>
    <w:p>
      <w:r>
        <w:rPr>
          <w:b w:val="0"/>
          <w:i w:val="0"/>
        </w:rPr>
        <w:t>For advice to acquire a financial product, we cover you only if the product was on your approved product list when the advice was given, or you had completed and recorded your own review of the product before the advice was given.</w:t>
      </w:r>
    </w:p>
    <w:p>
      <w:r>
        <w:rPr>
          <w:b w:val="0"/>
          <w:i w:val="0"/>
        </w:rPr>
        <w:t>This endorsement does not apply to advice to switch from a product to one on your approved product list, or to continue holding a product, or to advice on a product the client already held.</w:t>
      </w:r>
    </w:p>
    <w:p>
      <w:bookmarkStart w:id="6" w:name="c_end_5"/>
      <w:r>
        <w:rPr>
          <w:rFonts w:ascii="Georgia" w:hAnsi="Georgia" w:eastAsia="Georgia"/>
          <w:b/>
          <w:i w:val="0"/>
          <w:color w:val="1C1915"/>
          <w:sz w:val="32"/>
        </w:rPr>
        <w:t>Managed Discretionary Accounts Exclusion</w:t>
      </w:r>
      <w:bookmarkEnd w:id="6"/>
    </w:p>
    <w:p>
      <w:r>
        <w:rPr>
          <w:b w:val="0"/>
          <w:i w:val="0"/>
        </w:rPr>
        <w:t>We do not cover any claim, loss or liability arising from your operation of a managed discretionary account service, including investment decisions you make for a client without the client's instruction on each transaction.</w:t>
      </w:r>
    </w:p>
    <w:p>
      <w:r>
        <w:rPr>
          <w:b w:val="0"/>
          <w:i w:val="0"/>
        </w:rPr>
        <w:t>This endorsement does not apply to advice to a client to use a managed discretionary account service operated by someone else.</w:t>
      </w:r>
    </w:p>
    <w:p>
      <w:bookmarkStart w:id="7" w:name="c_end_6"/>
      <w:r>
        <w:rPr>
          <w:rFonts w:ascii="Georgia" w:hAnsi="Georgia" w:eastAsia="Georgia"/>
          <w:b/>
          <w:i w:val="0"/>
          <w:color w:val="1C1915"/>
          <w:sz w:val="32"/>
        </w:rPr>
        <w:t>Geared Investment Advice Sub-limit</w:t>
      </w:r>
      <w:bookmarkEnd w:id="7"/>
    </w:p>
    <w:p>
      <w:r>
        <w:rPr>
          <w:b w:val="0"/>
          <w:i w:val="0"/>
        </w:rPr>
        <w:t>For all claims arising from advice to borrow to invest, including margin lending and geared investment strategies, the most we will pay in total, including defence costs, is the sub-limit shown in the schedule for this endorsement. The sub-limit is part of, and not in addition to, the limit of liability.</w:t>
      </w:r>
    </w:p>
    <w:p>
      <w:bookmarkStart w:id="8" w:name="c_end_7"/>
      <w:r>
        <w:rPr>
          <w:rFonts w:ascii="Georgia" w:hAnsi="Georgia" w:eastAsia="Georgia"/>
          <w:b/>
          <w:i w:val="0"/>
          <w:color w:val="1C1915"/>
          <w:sz w:val="32"/>
        </w:rPr>
        <w:t>Related Products Exclusion</w:t>
      </w:r>
      <w:bookmarkEnd w:id="8"/>
    </w:p>
    <w:p>
      <w:r>
        <w:rPr>
          <w:b w:val="0"/>
          <w:i w:val="0"/>
        </w:rPr>
        <w:t>We do not cover any claim, loss or liability arising from advice to acquire a financial product that is issued, operated or promoted by you, a representative, or a related party, or from which you or a related party receive a benefit other than advice fees paid by the client.</w:t>
      </w:r>
    </w:p>
    <w:p>
      <w:bookmarkStart w:id="9" w:name="c_end_8"/>
      <w:r>
        <w:rPr>
          <w:rFonts w:ascii="Georgia" w:hAnsi="Georgia" w:eastAsia="Georgia"/>
          <w:b/>
          <w:i w:val="0"/>
          <w:color w:val="1C1915"/>
          <w:sz w:val="32"/>
        </w:rPr>
        <w:t>Named Products Exclusion</w:t>
      </w:r>
      <w:bookmarkEnd w:id="9"/>
    </w:p>
    <w:p>
      <w:r>
        <w:rPr>
          <w:b w:val="0"/>
          <w:i w:val="0"/>
        </w:rPr>
        <w:t>We do not cover any claim, loss or liability arising from advice to acquire, switch to or continue to hold a financial product named in the schedule for this endorsement.</w:t>
      </w:r>
    </w:p>
    <w:p>
      <w:r>
        <w:rPr>
          <w:b w:val="0"/>
          <w:i/>
          <w:sz w:val="18"/>
        </w:rPr>
        <w:t>Cuttleflow Systems — Open Source Insurance Wording</w:t>
      </w:r>
    </w:p>
    <w:p>
      <w:r>
        <w:rPr>
          <w:rFonts w:ascii="Consolas" w:hAnsi="Consolas" w:eastAsia="Consolas"/>
          <w:b w:val="0"/>
          <w:i w:val="0"/>
          <w:sz w:val="16"/>
        </w:rPr>
        <w:t>2026/FS/0004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2026/FS/0004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FINANCIAL ADVISERS PROFESSIONAL INDEMNITY INSURANCE — ENDORSEMENT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Advisers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