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1.3.0-DRAFT · October 2026 · CC BY 4.0 (wording text only)</w:t>
      </w:r>
    </w:p>
    <w:p>
      <w:r>
        <w:rPr>
          <w:rFonts w:ascii="Consolas" w:hAnsi="Consolas" w:eastAsia="Consolas"/>
          <w:b w:val="0"/>
          <w:i w:val="0"/>
          <w:sz w:val="18"/>
        </w:rPr>
        <w:t>Document ref 2026/PI/0001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def_professional_services"/>
            <w:r>
              <w:rPr>
                <w:b/>
                <w:i w:val="0"/>
              </w:rPr>
              <w:t>Professional services</w:t>
            </w:r>
            <w:bookmarkEnd w:id="23"/>
          </w:p>
        </w:tc>
        <w:tc>
          <w:tcPr>
            <w:tcW w:type="dxa" w:w="6803"/>
          </w:tcPr>
          <w:p>
            <w:r>
              <w:rPr>
                <w:b w:val="0"/>
                <w:i w:val="0"/>
              </w:rPr>
              <w:t>The services described in the schedule.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 We do not pay fines or penalties that are not insurable at law, or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section_exclusions"/>
      <w:r>
        <w:rPr>
          <w:rFonts w:ascii="Georgia" w:hAnsi="Georgia" w:eastAsia="Georgia"/>
          <w:b/>
          <w:i w:val="0"/>
          <w:color w:val="1C1915"/>
          <w:sz w:val="32"/>
        </w:rPr>
        <w:t>What Is Not Covered</w:t>
      </w:r>
      <w:bookmarkEnd w:id="47"/>
    </w:p>
    <w:p>
      <w:r>
        <w:rPr>
          <w:b w:val="0"/>
          <w:i w:val="0"/>
        </w:rPr>
        <w:t>We do not cover any claim, loss, or liability:</w:t>
      </w:r>
    </w:p>
    <w:p>
      <w:bookmarkStart w:id="48" w:name="c_pi_excl_bodily_injury_and_property_dam"/>
      <w:r>
        <w:rPr>
          <w:rFonts w:ascii="Georgia" w:hAnsi="Georgia" w:eastAsia="Georgia"/>
          <w:b/>
          <w:i w:val="0"/>
          <w:color w:val="2E5C4E"/>
          <w:sz w:val="25"/>
        </w:rPr>
        <w:t>Bodily Injury and Property Damage</w:t>
      </w:r>
      <w:bookmarkEnd w:id="48"/>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49" w:name="c_pi_excl_employers_liability"/>
      <w:r>
        <w:rPr>
          <w:rFonts w:ascii="Georgia" w:hAnsi="Georgia" w:eastAsia="Georgia"/>
          <w:b/>
          <w:i w:val="0"/>
          <w:color w:val="2E5C4E"/>
          <w:sz w:val="25"/>
        </w:rPr>
        <w:t>Employer's Liability</w:t>
      </w:r>
      <w:bookmarkEnd w:id="49"/>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0" w:name="c_pi_excl_directors_and_officers_liabili"/>
      <w:r>
        <w:rPr>
          <w:rFonts w:ascii="Georgia" w:hAnsi="Georgia" w:eastAsia="Georgia"/>
          <w:b/>
          <w:i w:val="0"/>
          <w:color w:val="2E5C4E"/>
          <w:sz w:val="25"/>
        </w:rPr>
        <w:t>Directors' and Officers' Liability</w:t>
      </w:r>
      <w:bookmarkEnd w:id="50"/>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1" w:name="c_pi_excl_cyber_event"/>
      <w:r>
        <w:rPr>
          <w:rFonts w:ascii="Georgia" w:hAnsi="Georgia" w:eastAsia="Georgia"/>
          <w:b/>
          <w:i w:val="0"/>
          <w:color w:val="2E5C4E"/>
          <w:sz w:val="25"/>
        </w:rPr>
        <w:t>Cyber Event</w:t>
      </w:r>
      <w:bookmarkEnd w:id="51"/>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2" w:name="c_pi_excl_financial_services"/>
      <w:r>
        <w:rPr>
          <w:rFonts w:ascii="Georgia" w:hAnsi="Georgia" w:eastAsia="Georgia"/>
          <w:b/>
          <w:i w:val="0"/>
          <w:color w:val="2E5C4E"/>
          <w:sz w:val="25"/>
        </w:rPr>
        <w:t>Financial Services</w:t>
      </w:r>
      <w:bookmarkEnd w:id="52"/>
    </w:p>
    <w:p>
      <w:r>
        <w:rPr>
          <w:b w:val="0"/>
          <w:i w:val="0"/>
        </w:rPr>
        <w:t>Arising from any activity regulated by ASIC, APRA, or any equivalent regulator, including investment advice, financial product advice, credit activities, funds management, or dealing in securities.</w:t>
      </w:r>
    </w:p>
    <w:p>
      <w:bookmarkStart w:id="53" w:name="c_pi_excl_products"/>
      <w:r>
        <w:rPr>
          <w:rFonts w:ascii="Georgia" w:hAnsi="Georgia" w:eastAsia="Georgia"/>
          <w:b/>
          <w:i w:val="0"/>
          <w:color w:val="2E5C4E"/>
          <w:sz w:val="25"/>
        </w:rPr>
        <w:t>Products</w:t>
      </w:r>
      <w:bookmarkEnd w:id="53"/>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4" w:name="c_pi_excl_contractual_liability"/>
      <w:r>
        <w:rPr>
          <w:rFonts w:ascii="Georgia" w:hAnsi="Georgia" w:eastAsia="Georgia"/>
          <w:b/>
          <w:i w:val="0"/>
          <w:color w:val="2E5C4E"/>
          <w:sz w:val="25"/>
        </w:rPr>
        <w:t>Contractual Liability</w:t>
      </w:r>
      <w:bookmarkEnd w:id="54"/>
    </w:p>
    <w:p>
      <w:r>
        <w:rPr>
          <w:b w:val="0"/>
          <w:i w:val="0"/>
        </w:rPr>
        <w:t>For any liability you assume under a contract that is greater than the liability you would have at law without the contract.</w:t>
      </w:r>
    </w:p>
    <w:p>
      <w:bookmarkStart w:id="55" w:name="c_pi_excl_deliberate_and_dishonest_acts"/>
      <w:r>
        <w:rPr>
          <w:rFonts w:ascii="Georgia" w:hAnsi="Georgia" w:eastAsia="Georgia"/>
          <w:b/>
          <w:i w:val="0"/>
          <w:color w:val="2E5C4E"/>
          <w:sz w:val="25"/>
        </w:rPr>
        <w:t>Deliberate and Dishonest Acts</w:t>
      </w:r>
      <w:bookmarkEnd w:id="55"/>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6" w:name="c_pi_excl_prior_known_circumstances"/>
      <w:r>
        <w:rPr>
          <w:rFonts w:ascii="Georgia" w:hAnsi="Georgia" w:eastAsia="Georgia"/>
          <w:b/>
          <w:i w:val="0"/>
          <w:color w:val="2E5C4E"/>
          <w:sz w:val="25"/>
        </w:rPr>
        <w:t>Prior Known Circumstances</w:t>
      </w:r>
      <w:bookmarkEnd w:id="56"/>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57" w:name="c_pi_excl_war_terrorism_and_sanctions"/>
      <w:r>
        <w:rPr>
          <w:rFonts w:ascii="Georgia" w:hAnsi="Georgia" w:eastAsia="Georgia"/>
          <w:b/>
          <w:i w:val="0"/>
          <w:color w:val="2E5C4E"/>
          <w:sz w:val="25"/>
        </w:rPr>
        <w:t>War, Terrorism, and Sanctions</w:t>
      </w:r>
      <w:bookmarkEnd w:id="57"/>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58" w:name="c_pi_excl_nuclear"/>
      <w:r>
        <w:rPr>
          <w:rFonts w:ascii="Georgia" w:hAnsi="Georgia" w:eastAsia="Georgia"/>
          <w:b/>
          <w:i w:val="0"/>
          <w:color w:val="2E5C4E"/>
          <w:sz w:val="25"/>
        </w:rPr>
        <w:t>Nuclear</w:t>
      </w:r>
      <w:bookmarkEnd w:id="58"/>
    </w:p>
    <w:p>
      <w:r>
        <w:rPr>
          <w:b w:val="0"/>
          <w:i w:val="0"/>
        </w:rPr>
        <w:t>Arising from nuclear reaction, radiation, or radioactive contamination, however caused.</w:t>
      </w:r>
    </w:p>
    <w:p>
      <w:bookmarkStart w:id="59" w:name="c_pi_excl_asbestos"/>
      <w:r>
        <w:rPr>
          <w:rFonts w:ascii="Georgia" w:hAnsi="Georgia" w:eastAsia="Georgia"/>
          <w:b/>
          <w:i w:val="0"/>
          <w:color w:val="2E5C4E"/>
          <w:sz w:val="25"/>
        </w:rPr>
        <w:t>Asbestos</w:t>
      </w:r>
      <w:bookmarkEnd w:id="59"/>
    </w:p>
    <w:p>
      <w:r>
        <w:rPr>
          <w:b w:val="0"/>
          <w:i w:val="0"/>
        </w:rPr>
        <w:t>Arising from or in connection with asbestos in any form, including its mining, manufacture, distribution, installation, presence, removal, or disposal.</w:t>
      </w:r>
    </w:p>
    <w:p>
      <w:bookmarkStart w:id="60" w:name="c_pi_excl_pollution"/>
      <w:r>
        <w:rPr>
          <w:rFonts w:ascii="Georgia" w:hAnsi="Georgia" w:eastAsia="Georgia"/>
          <w:b/>
          <w:i w:val="0"/>
          <w:color w:val="2E5C4E"/>
          <w:sz w:val="25"/>
        </w:rPr>
        <w:t>Pollution</w:t>
      </w:r>
      <w:bookmarkEnd w:id="60"/>
    </w:p>
    <w:p>
      <w:r>
        <w:rPr>
          <w:b w:val="0"/>
          <w:i w:val="0"/>
        </w:rPr>
        <w:t>Arising from pollution — unless the pollution is sudden, accidental, unintended, and unexpected, and results directly from your business activity.</w:t>
      </w:r>
    </w:p>
    <w:p>
      <w:bookmarkStart w:id="61" w:name="c_pi_excl_trading_debts_and_business_los"/>
      <w:r>
        <w:rPr>
          <w:rFonts w:ascii="Georgia" w:hAnsi="Georgia" w:eastAsia="Georgia"/>
          <w:b/>
          <w:i w:val="0"/>
          <w:color w:val="2E5C4E"/>
          <w:sz w:val="25"/>
        </w:rPr>
        <w:t>Trading Debts and Business Losses</w:t>
      </w:r>
      <w:bookmarkEnd w:id="61"/>
    </w:p>
    <w:p>
      <w:r>
        <w:rPr>
          <w:b w:val="0"/>
          <w:i w:val="0"/>
        </w:rPr>
        <w:t>For: (a) fees, charges, or debts owed to you; (b) your lost profit, mark-up, or overheads; (c) any trading loss or loss of any client, contract, or business opportunity; or (d) your liability for GST or any other tax.</w:t>
      </w:r>
    </w:p>
    <w:p>
      <w:bookmarkStart w:id="62" w:name="c_pi_excl_related_party_claims"/>
      <w:r>
        <w:rPr>
          <w:rFonts w:ascii="Georgia" w:hAnsi="Georgia" w:eastAsia="Georgia"/>
          <w:b/>
          <w:i w:val="0"/>
          <w:color w:val="2E5C4E"/>
          <w:sz w:val="25"/>
        </w:rPr>
        <w:t>Related Party Claims</w:t>
      </w:r>
      <w:bookmarkEnd w:id="62"/>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3" w:name="c_pi_excl_non_compensatory_payments"/>
      <w:r>
        <w:rPr>
          <w:rFonts w:ascii="Georgia" w:hAnsi="Georgia" w:eastAsia="Georgia"/>
          <w:b/>
          <w:i w:val="0"/>
          <w:color w:val="2E5C4E"/>
          <w:sz w:val="25"/>
        </w:rPr>
        <w:t>Non-Compensatory Payments</w:t>
      </w:r>
      <w:bookmarkEnd w:id="63"/>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4" w:name="c_pi_section_payment"/>
      <w:r>
        <w:rPr>
          <w:rFonts w:ascii="Georgia" w:hAnsi="Georgia" w:eastAsia="Georgia"/>
          <w:b/>
          <w:i w:val="0"/>
          <w:color w:val="1C1915"/>
          <w:sz w:val="32"/>
        </w:rPr>
        <w:t>How Much We Will Pay</w:t>
      </w:r>
      <w:bookmarkEnd w:id="64"/>
    </w:p>
    <w:p>
      <w:bookmarkStart w:id="65" w:name="c_pi_pay_limit_of_liability"/>
      <w:r>
        <w:rPr>
          <w:rFonts w:ascii="Georgia" w:hAnsi="Georgia" w:eastAsia="Georgia"/>
          <w:b/>
          <w:i w:val="0"/>
          <w:color w:val="2E5C4E"/>
          <w:sz w:val="25"/>
        </w:rPr>
        <w:t>Limit of Liability</w:t>
      </w:r>
      <w:bookmarkEnd w:id="65"/>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6" w:name="c_pi_pay_sub_limits"/>
      <w:r>
        <w:rPr>
          <w:rFonts w:ascii="Georgia" w:hAnsi="Georgia" w:eastAsia="Georgia"/>
          <w:b/>
          <w:i w:val="0"/>
          <w:color w:val="2E5C4E"/>
          <w:sz w:val="25"/>
        </w:rPr>
        <w:t>Sub-Limits</w:t>
      </w:r>
      <w:bookmarkEnd w:id="66"/>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67" w:name="c_pi_pay_defence_costs"/>
      <w:r>
        <w:rPr>
          <w:rFonts w:ascii="Georgia" w:hAnsi="Georgia" w:eastAsia="Georgia"/>
          <w:b/>
          <w:i w:val="0"/>
          <w:color w:val="2E5C4E"/>
          <w:sz w:val="25"/>
        </w:rPr>
        <w:t>Defence Costs</w:t>
      </w:r>
      <w:bookmarkEnd w:id="67"/>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68" w:name="c_pi_pay_excess"/>
      <w:r>
        <w:rPr>
          <w:rFonts w:ascii="Georgia" w:hAnsi="Georgia" w:eastAsia="Georgia"/>
          <w:b/>
          <w:i w:val="0"/>
          <w:color w:val="2E5C4E"/>
          <w:sz w:val="25"/>
        </w:rPr>
        <w:t>Excess</w:t>
      </w:r>
      <w:bookmarkEnd w:id="68"/>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69" w:name="c_pi_pay_other_insurance"/>
      <w:r>
        <w:rPr>
          <w:rFonts w:ascii="Georgia" w:hAnsi="Georgia" w:eastAsia="Georgia"/>
          <w:b/>
          <w:i w:val="0"/>
          <w:color w:val="2E5C4E"/>
          <w:sz w:val="25"/>
        </w:rPr>
        <w:t>Other Insurance</w:t>
      </w:r>
      <w:bookmarkEnd w:id="69"/>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0" w:name="c_pi_pay_paying_out_the_limit"/>
      <w:r>
        <w:rPr>
          <w:rFonts w:ascii="Georgia" w:hAnsi="Georgia" w:eastAsia="Georgia"/>
          <w:b/>
          <w:i w:val="0"/>
          <w:color w:val="2E5C4E"/>
          <w:sz w:val="25"/>
        </w:rPr>
        <w:t>Paying Out the Limit</w:t>
      </w:r>
      <w:bookmarkEnd w:id="70"/>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1" w:name="c_pi_pay_allocation"/>
      <w:r>
        <w:rPr>
          <w:rFonts w:ascii="Georgia" w:hAnsi="Georgia" w:eastAsia="Georgia"/>
          <w:b/>
          <w:i w:val="0"/>
          <w:color w:val="2E5C4E"/>
          <w:sz w:val="25"/>
        </w:rPr>
        <w:t>Allocation</w:t>
      </w:r>
      <w:bookmarkEnd w:id="71"/>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2" w:name="c_pi_section_obligations"/>
      <w:r>
        <w:rPr>
          <w:rFonts w:ascii="Georgia" w:hAnsi="Georgia" w:eastAsia="Georgia"/>
          <w:b/>
          <w:i w:val="0"/>
          <w:color w:val="1C1915"/>
          <w:sz w:val="32"/>
        </w:rPr>
        <w:t>Your Obligations</w:t>
      </w:r>
      <w:bookmarkEnd w:id="72"/>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3" w:name="c_pi_obl_tell_us_about_claims"/>
      <w:r>
        <w:rPr>
          <w:rFonts w:ascii="Georgia" w:hAnsi="Georgia" w:eastAsia="Georgia"/>
          <w:b/>
          <w:i w:val="0"/>
          <w:color w:val="2E5C4E"/>
          <w:sz w:val="25"/>
        </w:rPr>
        <w:t>Tell Us About Claims</w:t>
      </w:r>
      <w:bookmarkEnd w:id="73"/>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4" w:name="c_pi_obl_tell_us_about_circumstances"/>
      <w:r>
        <w:rPr>
          <w:rFonts w:ascii="Georgia" w:hAnsi="Georgia" w:eastAsia="Georgia"/>
          <w:b/>
          <w:i w:val="0"/>
          <w:color w:val="2E5C4E"/>
          <w:sz w:val="25"/>
        </w:rPr>
        <w:t>Tell Us About Circumstances</w:t>
      </w:r>
      <w:bookmarkEnd w:id="74"/>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5" w:name="c_pi_obl_do_not_admit_liability"/>
      <w:r>
        <w:rPr>
          <w:rFonts w:ascii="Georgia" w:hAnsi="Georgia" w:eastAsia="Georgia"/>
          <w:b/>
          <w:i w:val="0"/>
          <w:color w:val="2E5C4E"/>
          <w:sz w:val="25"/>
        </w:rPr>
        <w:t>Do Not Admit Liability</w:t>
      </w:r>
      <w:bookmarkEnd w:id="75"/>
    </w:p>
    <w:p>
      <w:r>
        <w:rPr>
          <w:b w:val="0"/>
          <w:i w:val="0"/>
        </w:rPr>
        <w:t>Do not admit liability, make any offer or promise to pay, or agree to settle any claim without our written consent. We will not unreasonably withhold or delay consent.</w:t>
      </w:r>
    </w:p>
    <w:p>
      <w:bookmarkStart w:id="76" w:name="c_pi_obl_cooperate_with_us"/>
      <w:r>
        <w:rPr>
          <w:rFonts w:ascii="Georgia" w:hAnsi="Georgia" w:eastAsia="Georgia"/>
          <w:b/>
          <w:i w:val="0"/>
          <w:color w:val="2E5C4E"/>
          <w:sz w:val="25"/>
        </w:rPr>
        <w:t>Cooperate With Us</w:t>
      </w:r>
      <w:bookmarkEnd w:id="76"/>
    </w:p>
    <w:p>
      <w:r>
        <w:rPr>
          <w:b w:val="0"/>
          <w:i w:val="0"/>
        </w:rPr>
        <w:t>Give us all information, documents, and assistance we reasonably need to handle the claim. Attend any meetings, examinations, or proceedings we reasonably require.</w:t>
      </w:r>
    </w:p>
    <w:p>
      <w:bookmarkStart w:id="77" w:name="c_pi_obl_mitigate_your_loss"/>
      <w:r>
        <w:rPr>
          <w:rFonts w:ascii="Georgia" w:hAnsi="Georgia" w:eastAsia="Georgia"/>
          <w:b/>
          <w:i w:val="0"/>
          <w:color w:val="2E5C4E"/>
          <w:sz w:val="25"/>
        </w:rPr>
        <w:t>Mitigate Your Loss</w:t>
      </w:r>
      <w:bookmarkEnd w:id="77"/>
    </w:p>
    <w:p>
      <w:r>
        <w:rPr>
          <w:b w:val="0"/>
          <w:i w:val="0"/>
        </w:rPr>
        <w:t>Take all reasonable steps to prevent or reduce any loss that might be covered by this policy.</w:t>
      </w:r>
    </w:p>
    <w:p>
      <w:bookmarkStart w:id="78" w:name="c_pi_obl_preserve_our_recovery_rights"/>
      <w:r>
        <w:rPr>
          <w:rFonts w:ascii="Georgia" w:hAnsi="Georgia" w:eastAsia="Georgia"/>
          <w:b/>
          <w:i w:val="0"/>
          <w:color w:val="2E5C4E"/>
          <w:sz w:val="25"/>
        </w:rPr>
        <w:t>Preserve Our Recovery Rights</w:t>
      </w:r>
      <w:bookmarkEnd w:id="78"/>
    </w:p>
    <w:p>
      <w:r>
        <w:rPr>
          <w:b w:val="0"/>
          <w:i w:val="0"/>
        </w:rPr>
        <w:t>Do not do anything after a claim is made that might prejudice our right to recover from any third party. If we pay a claim, we may take action in your name to recover what we have paid.</w:t>
      </w:r>
    </w:p>
    <w:p>
      <w:bookmarkStart w:id="79" w:name="c_pi_obl_tell_us_about_other_insurance"/>
      <w:r>
        <w:rPr>
          <w:rFonts w:ascii="Georgia" w:hAnsi="Georgia" w:eastAsia="Georgia"/>
          <w:b/>
          <w:i w:val="0"/>
          <w:color w:val="2E5C4E"/>
          <w:sz w:val="25"/>
        </w:rPr>
        <w:t>Tell Us About Other Insurance</w:t>
      </w:r>
      <w:bookmarkEnd w:id="79"/>
    </w:p>
    <w:p>
      <w:r>
        <w:rPr>
          <w:b w:val="0"/>
          <w:i w:val="0"/>
        </w:rPr>
        <w:t>Tell us about any other insurance that might cover the same loss.</w:t>
      </w:r>
    </w:p>
    <w:p>
      <w:bookmarkStart w:id="80" w:name="c_pi_obl_tell_us_about_changes"/>
      <w:r>
        <w:rPr>
          <w:rFonts w:ascii="Georgia" w:hAnsi="Georgia" w:eastAsia="Georgia"/>
          <w:b/>
          <w:i w:val="0"/>
          <w:color w:val="2E5C4E"/>
          <w:sz w:val="25"/>
        </w:rPr>
        <w:t>Tell Us About Changes</w:t>
      </w:r>
      <w:bookmarkEnd w:id="80"/>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1" w:name="c_pi_obl_individual_treatment_of_insured"/>
      <w:r>
        <w:rPr>
          <w:rFonts w:ascii="Georgia" w:hAnsi="Georgia" w:eastAsia="Georgia"/>
          <w:b/>
          <w:i w:val="0"/>
          <w:color w:val="2E5C4E"/>
          <w:sz w:val="25"/>
        </w:rPr>
        <w:t>Individual Treatment of Insured Persons</w:t>
      </w:r>
      <w:bookmarkEnd w:id="81"/>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2" w:name="c_pi_section_conditions"/>
      <w:r>
        <w:rPr>
          <w:rFonts w:ascii="Georgia" w:hAnsi="Georgia" w:eastAsia="Georgia"/>
          <w:b/>
          <w:i w:val="0"/>
          <w:color w:val="1C1915"/>
          <w:sz w:val="32"/>
        </w:rPr>
        <w:t>General Conditions</w:t>
      </w:r>
      <w:bookmarkEnd w:id="82"/>
    </w:p>
    <w:p>
      <w:bookmarkStart w:id="83" w:name="c_pi_cond_insurance_contracts_act"/>
      <w:r>
        <w:rPr>
          <w:rFonts w:ascii="Georgia" w:hAnsi="Georgia" w:eastAsia="Georgia"/>
          <w:b/>
          <w:i w:val="0"/>
          <w:color w:val="2E5C4E"/>
          <w:sz w:val="25"/>
        </w:rPr>
        <w:t>Insurance Contracts Act 1984 (Cth)</w:t>
      </w:r>
      <w:bookmarkEnd w:id="83"/>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4" w:name="c_pi_cond_your_duty_of_disclosure"/>
      <w:r>
        <w:rPr>
          <w:rFonts w:ascii="Georgia" w:hAnsi="Georgia" w:eastAsia="Georgia"/>
          <w:b/>
          <w:i w:val="0"/>
          <w:color w:val="2E5C4E"/>
          <w:sz w:val="25"/>
        </w:rPr>
        <w:t>Your Duty of Disclosure</w:t>
      </w:r>
      <w:bookmarkEnd w:id="84"/>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5" w:name="c_pi_cond_cancellation"/>
      <w:r>
        <w:rPr>
          <w:rFonts w:ascii="Georgia" w:hAnsi="Georgia" w:eastAsia="Georgia"/>
          <w:b/>
          <w:i w:val="0"/>
          <w:color w:val="2E5C4E"/>
          <w:sz w:val="25"/>
        </w:rPr>
        <w:t>Cancellation</w:t>
      </w:r>
      <w:bookmarkEnd w:id="85"/>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86" w:name="c_pi_cond_governing_law"/>
      <w:r>
        <w:rPr>
          <w:rFonts w:ascii="Georgia" w:hAnsi="Georgia" w:eastAsia="Georgia"/>
          <w:b/>
          <w:i w:val="0"/>
          <w:color w:val="2E5C4E"/>
          <w:sz w:val="25"/>
        </w:rPr>
        <w:t>Governing Law</w:t>
      </w:r>
      <w:bookmarkEnd w:id="86"/>
    </w:p>
    <w:p>
      <w:r>
        <w:rPr>
          <w:b w:val="0"/>
          <w:i w:val="0"/>
        </w:rPr>
        <w:t>This policy is governed by the laws of the state or territory of Australia in which the named insured has its principal place of business, as shown in the schedule.</w:t>
      </w:r>
    </w:p>
    <w:p>
      <w:bookmarkStart w:id="87" w:name="c_pi_cond_jurisdiction"/>
      <w:r>
        <w:rPr>
          <w:rFonts w:ascii="Georgia" w:hAnsi="Georgia" w:eastAsia="Georgia"/>
          <w:b/>
          <w:i w:val="0"/>
          <w:color w:val="2E5C4E"/>
          <w:sz w:val="25"/>
        </w:rPr>
        <w:t>Jurisdiction</w:t>
      </w:r>
      <w:bookmarkEnd w:id="87"/>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88" w:name="c_pi_cond_gst"/>
      <w:r>
        <w:rPr>
          <w:rFonts w:ascii="Georgia" w:hAnsi="Georgia" w:eastAsia="Georgia"/>
          <w:b/>
          <w:i w:val="0"/>
          <w:color w:val="2E5C4E"/>
          <w:sz w:val="25"/>
        </w:rPr>
        <w:t>GST</w:t>
      </w:r>
      <w:bookmarkEnd w:id="88"/>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89" w:name="c_pi_cond_several_liability"/>
      <w:r>
        <w:rPr>
          <w:rFonts w:ascii="Georgia" w:hAnsi="Georgia" w:eastAsia="Georgia"/>
          <w:b/>
          <w:i w:val="0"/>
          <w:color w:val="2E5C4E"/>
          <w:sz w:val="25"/>
        </w:rPr>
        <w:t>Several Liability</w:t>
      </w:r>
      <w:bookmarkEnd w:id="89"/>
    </w:p>
    <w:p>
      <w:r>
        <w:rPr>
          <w:b w:val="0"/>
          <w:i w:val="0"/>
        </w:rPr>
        <w:t>If more than one insurer is shown in the schedule, each is responsible only for its own share. One insurer's share is not increased by the failure of another to pay.</w:t>
      </w:r>
    </w:p>
    <w:p>
      <w:bookmarkStart w:id="90" w:name="c_pi_cond_assignment"/>
      <w:r>
        <w:rPr>
          <w:rFonts w:ascii="Georgia" w:hAnsi="Georgia" w:eastAsia="Georgia"/>
          <w:b/>
          <w:i w:val="0"/>
          <w:color w:val="2E5C4E"/>
          <w:sz w:val="25"/>
        </w:rPr>
        <w:t>Assignment</w:t>
      </w:r>
      <w:bookmarkEnd w:id="90"/>
    </w:p>
    <w:p>
      <w:r>
        <w:rPr>
          <w:b w:val="0"/>
          <w:i w:val="0"/>
        </w:rPr>
        <w:t>You cannot transfer this policy to another person or entity without our prior written consent.</w:t>
      </w:r>
    </w:p>
    <w:p>
      <w:bookmarkStart w:id="91" w:name="c_pi_cond_entire_agreement"/>
      <w:r>
        <w:rPr>
          <w:rFonts w:ascii="Georgia" w:hAnsi="Georgia" w:eastAsia="Georgia"/>
          <w:b/>
          <w:i w:val="0"/>
          <w:color w:val="2E5C4E"/>
          <w:sz w:val="25"/>
        </w:rPr>
        <w:t>Entire Agreement</w:t>
      </w:r>
      <w:bookmarkEnd w:id="91"/>
    </w:p>
    <w:p>
      <w:r>
        <w:rPr>
          <w:b w:val="0"/>
          <w:i w:val="0"/>
        </w:rPr>
        <w:t>This policy, the schedule, and any endorsements form the entire agreement between you and us about this insurance. No one has authority to change this policy unless the change is recorded in an endorsement.</w:t>
      </w:r>
    </w:p>
    <w:p>
      <w:bookmarkStart w:id="92" w:name="c_pi_cond_disputes_and_complaints"/>
      <w:r>
        <w:rPr>
          <w:rFonts w:ascii="Georgia" w:hAnsi="Georgia" w:eastAsia="Georgia"/>
          <w:b/>
          <w:i w:val="0"/>
          <w:color w:val="2E5C4E"/>
          <w:sz w:val="25"/>
        </w:rPr>
        <w:t>Disputes and Complaints</w:t>
      </w:r>
      <w:bookmarkEnd w:id="92"/>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93" w:name="c_pi_cond_privacy"/>
      <w:r>
        <w:rPr>
          <w:rFonts w:ascii="Georgia" w:hAnsi="Georgia" w:eastAsia="Georgia"/>
          <w:b/>
          <w:i w:val="0"/>
          <w:color w:val="2E5C4E"/>
          <w:sz w:val="25"/>
        </w:rPr>
        <w:t>Privacy</w:t>
      </w:r>
      <w:bookmarkEnd w:id="93"/>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94" w:name="c_pi_cond_headings_and_references"/>
      <w:r>
        <w:rPr>
          <w:rFonts w:ascii="Georgia" w:hAnsi="Georgia" w:eastAsia="Georgia"/>
          <w:b/>
          <w:i w:val="0"/>
          <w:color w:val="2E5C4E"/>
          <w:sz w:val="25"/>
        </w:rPr>
        <w:t>Headings and References</w:t>
      </w:r>
      <w:bookmarkEnd w:id="94"/>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95" w:name="c_pi_claims_how_to_make_a_claim"/>
      <w:r>
        <w:rPr>
          <w:rFonts w:ascii="Georgia" w:hAnsi="Georgia" w:eastAsia="Georgia"/>
          <w:b/>
          <w:i w:val="0"/>
          <w:color w:val="1C1915"/>
          <w:sz w:val="32"/>
        </w:rPr>
        <w:t>How to Make a Claim</w:t>
      </w:r>
      <w:bookmarkEnd w:id="95"/>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96" w:name="c_pi_endorsement_library"/>
      <w:r>
        <w:rPr>
          <w:rFonts w:ascii="Georgia" w:hAnsi="Georgia" w:eastAsia="Georgia"/>
          <w:b/>
          <w:i w:val="0"/>
          <w:color w:val="1C1915"/>
          <w:sz w:val="32"/>
        </w:rPr>
        <w:t>Endorsement Library</w:t>
      </w:r>
      <w:bookmarkEnd w:id="96"/>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Aggregate limit reinstatement</w:t>
            </w:r>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97" w:name="c_pi_licence_notice"/>
      <w:r>
        <w:rPr>
          <w:rFonts w:ascii="Georgia" w:hAnsi="Georgia" w:eastAsia="Georgia"/>
          <w:b/>
          <w:i w:val="0"/>
          <w:color w:val="1C1915"/>
          <w:sz w:val="32"/>
        </w:rPr>
        <w:t>Licence and Trademark Notice</w:t>
      </w:r>
      <w:bookmarkEnd w:id="97"/>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Drafting and structure only. No coverage position is changed.</w:t>
      </w:r>
    </w:p>
    <w:p>
      <w:pPr>
        <w:pStyle w:val="ListBullet"/>
      </w:pPr>
      <w:r>
        <w:rPr>
          <w:b w:val="0"/>
          <w:i w:val="0"/>
        </w:rPr>
        <w:t>Clause numbers removed throughout. Each clause is identified by its heading, and every internal cross-reference now cites the heading of the clause it refers to (for example, "the Financial Services exclusion" instead of "Section 3.5").</w:t>
      </w:r>
    </w:p>
    <w:p>
      <w:pPr>
        <w:pStyle w:val="ListBullet"/>
      </w:pPr>
      <w:r>
        <w:rPr>
          <w:b w:val="0"/>
          <w:i w:val="0"/>
        </w:rPr>
        <w:t>New general condition, Headings and References, stating that a reference to a clause by its heading is a reference to that clause. Its exact text is subject to counsel's approval.</w:t>
      </w:r>
    </w:p>
    <w:p>
      <w:pPr>
        <w:pStyle w:val="ListBullet"/>
      </w:pPr>
      <w:r>
        <w:rPr>
          <w:b w:val="0"/>
          <w:i w:val="0"/>
        </w:rPr>
        <w:t>The wording is now produced from the Commons single-source clause library, so the base wording and every profession wording built on it are generated from the same clause text.</w:t>
      </w:r>
    </w:p>
    <w:p>
      <w:r>
        <w:rPr>
          <w:b w:val="0"/>
          <w:i/>
          <w:sz w:val="18"/>
        </w:rPr>
        <w:t>Cuttleflow Systems — Open Source Insurance Wording</w:t>
      </w:r>
    </w:p>
    <w:p>
      <w:r>
        <w:rPr>
          <w:rFonts w:ascii="Consolas" w:hAnsi="Consolas" w:eastAsia="Consolas"/>
          <w:b w:val="0"/>
          <w:i w:val="0"/>
          <w:sz w:val="16"/>
        </w:rPr>
        <w:t>2026/PI/0001 · v1.3.0-DRAFT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PROFESSIONAL INDEMNITY INSURANCE · V1.3.0-DRAFT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