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COMPREHENSIVE CRIME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2.1.0-DRAFT · November 2026 · CC BY 4.0 (wording text only)</w:t>
      </w:r>
    </w:p>
    <w:p>
      <w:r>
        <w:rPr>
          <w:rFonts w:ascii="Consolas" w:hAnsi="Consolas" w:eastAsia="Consolas"/>
          <w:b w:val="0"/>
          <w:i w:val="0"/>
          <w:sz w:val="18"/>
        </w:rPr>
        <w:t>Document ref 2026/CRI/0001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cr_about"/>
      <w:r>
        <w:rPr>
          <w:rFonts w:ascii="Georgia" w:hAnsi="Georgia" w:eastAsia="Georgia"/>
          <w:b/>
          <w:i w:val="0"/>
          <w:color w:val="1C1915"/>
          <w:sz w:val="32"/>
        </w:rPr>
        <w:t>About This Policy</w:t>
      </w:r>
      <w:bookmarkEnd w:id="0"/>
    </w:p>
    <w:p>
      <w:r>
        <w:rPr>
          <w:b w:val="0"/>
          <w:i w:val="0"/>
        </w:rPr>
        <w:t>Crime losses are often discovered long after they occur, frequently involve people you trust, and can be devastating to a business. This policy covers seven categories of crime:</w:t>
      </w:r>
    </w:p>
    <w:p>
      <w:pPr>
        <w:pStyle w:val="ListBullet"/>
      </w:pPr>
      <w:r>
        <w:rPr>
          <w:b w:val="0"/>
          <w:i w:val="0"/>
        </w:rPr>
        <w:t>Employee Dishonesty</w:t>
      </w:r>
    </w:p>
    <w:p>
      <w:pPr>
        <w:pStyle w:val="ListBullet"/>
      </w:pPr>
      <w:r>
        <w:rPr>
          <w:b w:val="0"/>
          <w:i w:val="0"/>
        </w:rPr>
        <w:t>Forgery and Alteration</w:t>
      </w:r>
    </w:p>
    <w:p>
      <w:pPr>
        <w:pStyle w:val="ListBullet"/>
      </w:pPr>
      <w:r>
        <w:rPr>
          <w:b w:val="0"/>
          <w:i w:val="0"/>
        </w:rPr>
        <w:t>Computer Crime</w:t>
      </w:r>
    </w:p>
    <w:p>
      <w:pPr>
        <w:pStyle w:val="ListBullet"/>
      </w:pPr>
      <w:r>
        <w:rPr>
          <w:b w:val="0"/>
          <w:i w:val="0"/>
        </w:rPr>
        <w:t>Funds Transfer Fraud</w:t>
      </w:r>
    </w:p>
    <w:p>
      <w:pPr>
        <w:pStyle w:val="ListBullet"/>
      </w:pPr>
      <w:r>
        <w:rPr>
          <w:b w:val="0"/>
          <w:i w:val="0"/>
        </w:rPr>
        <w:t>Social Engineering Fraud</w:t>
      </w:r>
    </w:p>
    <w:p>
      <w:pPr>
        <w:pStyle w:val="ListBullet"/>
      </w:pPr>
      <w:r>
        <w:rPr>
          <w:b w:val="0"/>
          <w:i w:val="0"/>
        </w:rPr>
        <w:t>Theft of Money and Securities</w:t>
      </w:r>
    </w:p>
    <w:p>
      <w:pPr>
        <w:pStyle w:val="ListBullet"/>
      </w:pPr>
      <w:r>
        <w:rPr>
          <w:b w:val="0"/>
          <w:i w:val="0"/>
        </w:rPr>
        <w:t>Theft of Other Property</w:t>
      </w:r>
    </w:p>
    <w:p>
      <w:r>
        <w:rPr>
          <w:b w:val="0"/>
          <w:i w:val="0"/>
        </w:rPr>
        <w:t xml:space="preserve">This is a discovery policy. It covers losses you discover during the policy period, regardless of when the criminal act occurred, subject to the retroactive date. See </w:t>
      </w:r>
      <w:hyperlink w:anchor="c_cr_cond_discovery_trigger">
        <w:r>
          <w:rPr>
            <w:color w:val="2E5C4E"/>
            <w:u w:val="single"/>
          </w:rPr>
          <w:t xml:space="preserve">the Discovery Trigger condition</w:t>
        </w:r>
      </w:hyperlink>
      <w:r>
        <w:rPr>
          <w:b w:val="0"/>
          <w:i w:val="0"/>
        </w:rPr>
        <w:t>.</w:t>
      </w:r>
    </w:p>
    <w:p>
      <w:r>
        <w:rPr>
          <w:b w:val="0"/>
          <w:i w:val="0"/>
        </w:rPr>
        <w:t xml:space="preserve">This policy, together with your schedule and any endorsements, forms your contract of insurance with us. Words shown in </w:t>
      </w:r>
      <w:r>
        <w:rPr>
          <w:b/>
          <w:i w:val="0"/>
        </w:rPr>
        <w:t>bold</w:t>
      </w:r>
      <w:r>
        <w:rPr>
          <w:b w:val="0"/>
          <w:i w:val="0"/>
        </w:rPr>
        <w:t xml:space="preserve"> have special meanings. You will find their definitions in </w:t>
      </w:r>
      <w:hyperlink w:anchor="c_cr_section_definitions">
        <w:r>
          <w:rPr>
            <w:color w:val="2E5C4E"/>
            <w:u w:val="single"/>
          </w:rPr>
          <w:t xml:space="preserve">the Definitions section</w:t>
        </w:r>
      </w:hyperlink>
      <w:r>
        <w:rPr>
          <w:b w:val="0"/>
          <w:i w:val="0"/>
        </w:rPr>
        <w:t>.</w:t>
      </w:r>
    </w:p>
    <w:p>
      <w:r>
        <w:rPr>
          <w:b w:val="0"/>
          <w:i w:val="0"/>
        </w:rPr>
        <w:t xml:space="preserve">This policy is designed to operate consistently with, and does not seek to contract out of, the Insurance Contracts Act 1984 (Cth). See </w:t>
      </w:r>
      <w:hyperlink w:anchor="c_cr_cond_insurance_contracts_act_1984_c">
        <w:r>
          <w:rPr>
            <w:color w:val="2E5C4E"/>
            <w:u w:val="single"/>
          </w:rPr>
          <w:t xml:space="preserve">the Insurance Contracts Act 1984 (Cth) condition</w:t>
        </w:r>
      </w:hyperlink>
      <w:r>
        <w:rPr>
          <w:b w:val="0"/>
          <w:i w:val="0"/>
        </w:rPr>
        <w:t xml:space="preserve"> for the general position and </w:t>
      </w:r>
      <w:hyperlink w:anchor="c_cr_cond_duty_of_disclosure">
        <w:r>
          <w:rPr>
            <w:color w:val="2E5C4E"/>
            <w:u w:val="single"/>
          </w:rPr>
          <w:t xml:space="preserve">the Duty of Disclosure condition</w:t>
        </w:r>
      </w:hyperlink>
      <w:r>
        <w:rPr>
          <w:b w:val="0"/>
          <w:i w:val="0"/>
        </w:rPr>
        <w:t xml:space="preserve"> for the duty of disclosure.</w:t>
      </w:r>
    </w:p>
    <w:p>
      <w:bookmarkStart w:id="1" w:name="c_cr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r>
        <w:rPr>
          <w:b w:val="0"/>
          <w:i w:val="0"/>
        </w:rPr>
        <w:t>This is the first release of the Meridian Comprehensive Crime wording built from clause source in the Commons. It replaces version 1.2.0 (July 2026). Changes from version 1.2.0:</w:t>
      </w:r>
    </w:p>
    <w:p>
      <w:pPr>
        <w:pStyle w:val="ListBullet"/>
      </w:pPr>
      <w:r>
        <w:rPr>
          <w:b w:val="0"/>
          <w:i w:val="0"/>
        </w:rPr>
        <w:t>Clause numbers are removed. Each clause is identified by its heading, and every cross-reference is a link to the clause it names.</w:t>
      </w:r>
    </w:p>
    <w:p>
      <w:pPr>
        <w:pStyle w:val="ListBullet"/>
      </w:pPr>
      <w:r>
        <w:rPr>
          <w:b w:val="0"/>
          <w:i w:val="0"/>
        </w:rPr>
        <w:t>The endorsement library has 10 endorsements, each with operative text, schedule variables and a platform trigger. Version 1.2.0 listed titles only.</w:t>
      </w:r>
    </w:p>
    <w:p>
      <w:pPr>
        <w:pStyle w:val="ListBullet"/>
      </w:pPr>
      <w:r>
        <w:rPr>
          <w:b w:val="0"/>
          <w:i w:val="0"/>
        </w:rPr>
        <w:t>The kidnap, ransom and extortion endorsement (E05 in version 1.2.0) is removed, as it was from the Management Liability wording. The remaining endorsements are renumbered E01 to E10.</w:t>
      </w:r>
    </w:p>
    <w:p>
      <w:pPr>
        <w:pStyle w:val="ListBullet"/>
      </w:pPr>
      <w:r>
        <w:rPr>
          <w:b w:val="0"/>
          <w:i w:val="0"/>
        </w:rPr>
        <w:t>Each endorsement trigger is published for the Cuttleflow Go template. Social engineering fraud cover is referred to an underwriter where the insured does not have an independent audit, call-back verification of changed payment details, or dual authorisation of payments.</w:t>
      </w:r>
    </w:p>
    <w:p>
      <w:pPr>
        <w:pStyle w:val="ListBullet"/>
      </w:pPr>
      <w:r>
        <w:rPr>
          <w:b w:val="0"/>
          <w:i w:val="0"/>
        </w:rPr>
        <w:t>The wording remains DRAFT and is subject to legal review.</w:t>
      </w:r>
    </w:p>
    <w:p>
      <w:bookmarkStart w:id="2" w:name="c_cr_distribution_note"/>
      <w:r>
        <w:rPr>
          <w:rFonts w:ascii="Georgia" w:hAnsi="Georgia" w:eastAsia="Georgia"/>
          <w:b/>
          <w:i w:val="0"/>
          <w:color w:val="1C1915"/>
          <w:sz w:val="32"/>
        </w:rPr>
        <w:t>Distribution and Regulatory Note</w:t>
      </w:r>
      <w:bookmarkEnd w:id="2"/>
    </w:p>
    <w:p>
      <w:r>
        <w:rPr>
          <w:b w:val="0"/>
          <w:i w:val="0"/>
        </w:rPr>
        <w:t>*For issuing insurers and distributors. Not an operative policy term.*</w:t>
      </w:r>
    </w:p>
    <w:p>
      <w:r>
        <w:rPr>
          <w:b w:val="0"/>
          <w:i w:val="0"/>
        </w:rPr>
        <w:t>This wording is designed for the crime and fidelity risks of Australian businesses. Some entities that acquire this product may meet the "retail client" test under section 761G of the Corporations Act 2001 (Cth) and regulation 7.1.11 of the Corporations Regulations 2001 (Cth) notwithstanding the commercial nature of the risk.</w:t>
      </w:r>
    </w:p>
    <w:p>
      <w:r>
        <w:rPr>
          <w:b w:val="0"/>
          <w:i w:val="0"/>
        </w:rPr>
        <w:t>Before distributing this wording, the issuing insurer or its authorised distributor should:</w:t>
      </w:r>
    </w:p>
    <w:p>
      <w:pPr>
        <w:pStyle w:val="ListBullet"/>
      </w:pPr>
      <w:r>
        <w:rPr>
          <w:b w:val="0"/>
          <w:i w:val="0"/>
        </w:rPr>
        <w:t>determine, for each prospective insured, whether the client meets the retail client test;</w:t>
      </w:r>
    </w:p>
    <w:p>
      <w:pPr>
        <w:pStyle w:val="ListBullet"/>
      </w:pPr>
      <w:r>
        <w:rPr>
          <w:b w:val="0"/>
          <w:i w:val="0"/>
        </w:rPr>
        <w:t>where the retail client test is met, prepare and maintain a Target Market Determination (TMD) and Product Disclosure Statement (PDS) that comply with Part 7.8A and Part 7.9 of the Corporations Act 2001 (Cth) before offering or issuing this product to that client; and</w:t>
      </w:r>
    </w:p>
    <w:p>
      <w:pPr>
        <w:pStyle w:val="ListBullet"/>
      </w:pPr>
      <w:r>
        <w:rPr>
          <w:b w:val="0"/>
          <w:i w:val="0"/>
        </w:rPr>
        <w:t>where this wording is intended for wholesale clients only, state that restriction expressly in the issuer's own distribution materials and schedule documentation. This wording does not itself impose or declare a wholesale-only restriction.</w:t>
      </w:r>
    </w:p>
    <w:p>
      <w:r>
        <w:rPr>
          <w:b w:val="0"/>
          <w:i w:val="0"/>
        </w:rPr>
        <w:t>This note is drafting guidance for adopters of the Meridian Commons wording. It is not a substitute for the issuer's own Design and Distribution Obligations compliance program, and not legal advice.</w:t>
      </w:r>
    </w:p>
    <w:p>
      <w:bookmarkStart w:id="3" w:name="c_cr_schedule"/>
      <w:r>
        <w:rPr>
          <w:rFonts w:ascii="Georgia" w:hAnsi="Georgia" w:eastAsia="Georgia"/>
          <w:b/>
          <w:i w:val="0"/>
          <w:color w:val="1C1915"/>
          <w:sz w:val="32"/>
        </w:rPr>
        <w:t>Schedule</w:t>
      </w:r>
      <w:bookmarkEnd w:id="3"/>
    </w:p>
    <w:p>
      <w:r>
        <w:rPr>
          <w:b w:val="0"/>
          <w:i w:val="0"/>
        </w:rPr>
        <w:t>(Completed separately for each policy, with your specific details)</w:t>
      </w:r>
    </w:p>
    <w:p>
      <w:r>
        <w:rPr>
          <w:b w:val="0"/>
          <w:i w:val="0"/>
        </w:rPr>
        <w:t>The schedule shows:</w:t>
      </w:r>
    </w:p>
    <w:p>
      <w:pPr>
        <w:pStyle w:val="ListBullet"/>
      </w:pPr>
      <w:r>
        <w:rPr>
          <w:b w:val="0"/>
          <w:i w:val="0"/>
        </w:rPr>
        <w:t>Who is insured (the named insured and any subsidiary)</w:t>
      </w:r>
    </w:p>
    <w:p>
      <w:pPr>
        <w:pStyle w:val="ListBullet"/>
      </w:pPr>
      <w:r>
        <w:rPr>
          <w:b w:val="0"/>
          <w:i w:val="0"/>
        </w:rPr>
        <w:t>The policy period (start and end dates)</w:t>
      </w:r>
    </w:p>
    <w:p>
      <w:pPr>
        <w:pStyle w:val="ListBullet"/>
      </w:pPr>
      <w:r>
        <w:rPr>
          <w:b w:val="0"/>
          <w:i w:val="0"/>
        </w:rPr>
        <w:t xml:space="preserve">The retroactive date (losses occurring on or after this date; see </w:t>
      </w:r>
      <w:hyperlink w:anchor="c_cr_def_retroactive_date">
        <w:r>
          <w:rPr>
            <w:color w:val="2E5C4E"/>
            <w:u w:val="single"/>
          </w:rPr>
          <w:t xml:space="preserve">the definition of Retroactive date</w:t>
        </w:r>
      </w:hyperlink>
      <w:r>
        <w:rPr>
          <w:b w:val="0"/>
          <w:i w:val="0"/>
        </w:rPr>
        <w:t>)</w:t>
      </w:r>
    </w:p>
    <w:p>
      <w:pPr>
        <w:pStyle w:val="ListBullet"/>
      </w:pPr>
      <w:r>
        <w:rPr>
          <w:b w:val="0"/>
          <w:i w:val="0"/>
        </w:rPr>
        <w:t>The limit of liability, per loss and aggregate, by insuring clause, and any overall aggregate</w:t>
      </w:r>
    </w:p>
    <w:p>
      <w:pPr>
        <w:pStyle w:val="ListBullet"/>
      </w:pPr>
      <w:r>
        <w:rPr>
          <w:b w:val="0"/>
          <w:i w:val="0"/>
        </w:rPr>
        <w:t>The excess, per loss, by insuring clause</w:t>
      </w:r>
    </w:p>
    <w:p>
      <w:pPr>
        <w:pStyle w:val="ListBullet"/>
      </w:pPr>
      <w:r>
        <w:rPr>
          <w:b w:val="0"/>
          <w:i w:val="0"/>
        </w:rPr>
        <w:t xml:space="preserve">The discovery period after non-renewal or cancellation (minimum 90 days; see </w:t>
      </w:r>
      <w:hyperlink w:anchor="c_cr_cond_discovery_period">
        <w:r>
          <w:rPr>
            <w:color w:val="2E5C4E"/>
            <w:u w:val="single"/>
          </w:rPr>
          <w:t xml:space="preserve">the Discovery Period condition</w:t>
        </w:r>
      </w:hyperlink>
      <w:r>
        <w:rPr>
          <w:b w:val="0"/>
          <w:i w:val="0"/>
        </w:rPr>
        <w:t>)</w:t>
      </w:r>
    </w:p>
    <w:p>
      <w:pPr>
        <w:pStyle w:val="ListBullet"/>
      </w:pPr>
      <w:r>
        <w:rPr>
          <w:b w:val="0"/>
          <w:i w:val="0"/>
        </w:rPr>
        <w:t>Any endorsements</w:t>
      </w:r>
    </w:p>
    <w:p>
      <w:pPr>
        <w:pStyle w:val="ListBullet"/>
      </w:pPr>
      <w:r>
        <w:rPr>
          <w:b w:val="0"/>
          <w:i w:val="0"/>
        </w:rPr>
        <w:t>The premium (including stamp duty and GST)</w:t>
      </w:r>
    </w:p>
    <w:p>
      <w:pPr>
        <w:pStyle w:val="ListBullet"/>
      </w:pPr>
      <w:r>
        <w:rPr>
          <w:b w:val="0"/>
          <w:i w:val="0"/>
        </w:rPr>
        <w:t xml:space="preserve">The governing law (the Australian state or territory), fixed as at the start of the policy period (see </w:t>
      </w:r>
      <w:hyperlink w:anchor="c_cr_cond_governing_law">
        <w:r>
          <w:rPr>
            <w:color w:val="2E5C4E"/>
            <w:u w:val="single"/>
          </w:rPr>
          <w:t xml:space="preserve">the Governing Law condition</w:t>
        </w:r>
      </w:hyperlink>
      <w:r>
        <w:rPr>
          <w:b w:val="0"/>
          <w:i w:val="0"/>
        </w:rPr>
        <w:t>)</w:t>
      </w:r>
    </w:p>
    <w:p>
      <w:bookmarkStart w:id="4" w:name="c_cr_section_definitions"/>
      <w:r>
        <w:rPr>
          <w:rFonts w:ascii="Georgia" w:hAnsi="Georgia" w:eastAsia="Georgia"/>
          <w:b/>
          <w:i w:val="0"/>
          <w:color w:val="1C1915"/>
          <w:sz w:val="32"/>
        </w:rPr>
        <w:t>Definitions</w:t>
      </w:r>
      <w:bookmarkEnd w:id="4"/>
    </w:p>
    <w:p>
      <w:r>
        <w:rPr>
          <w:b w:val="0"/>
          <w:i w:val="0"/>
        </w:rPr>
        <w:t xml:space="preserve">These definitions apply throughout this policy, your schedule and any endorsement, unless a clause expressly gives a different meaning for that clause. Words shown in </w:t>
      </w:r>
      <w:r>
        <w:rPr>
          <w:b/>
          <w:i w:val="0"/>
        </w:rPr>
        <w:t>bold</w:t>
      </w:r>
      <w:r>
        <w:rPr>
          <w:b w:val="0"/>
          <w:i w:val="0"/>
        </w:rPr>
        <w:t xml:space="preserve"> have the meanings given here.</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cr_def_computer_system"/>
            <w:r>
              <w:rPr>
                <w:b/>
                <w:i w:val="0"/>
              </w:rPr>
              <w:t>Computer system</w:t>
            </w:r>
            <w:bookmarkEnd w:id="5"/>
          </w:p>
        </w:tc>
        <w:tc>
          <w:tcPr>
            <w:tcW w:type="dxa" w:w="6803"/>
          </w:tcPr>
          <w:p>
            <w:r>
              <w:rPr>
                <w:b w:val="0"/>
                <w:i w:val="0"/>
              </w:rPr>
              <w:t>means any computer, server, network, hardware, software, firmware, data storage system, cloud service, hosted platform, application, or communications system owned by you, leased by you, or operated on your behalf under a written contract.</w:t>
            </w:r>
          </w:p>
        </w:tc>
      </w:tr>
      <w:tr>
        <w:tc>
          <w:tcPr>
            <w:tcW w:type="dxa" w:w="2608"/>
          </w:tcPr>
          <w:p>
            <w:bookmarkStart w:id="6" w:name="c_cr_def_control_group"/>
            <w:r>
              <w:rPr>
                <w:b/>
                <w:i w:val="0"/>
              </w:rPr>
              <w:t>Control group</w:t>
            </w:r>
            <w:bookmarkEnd w:id="6"/>
          </w:p>
        </w:tc>
        <w:tc>
          <w:tcPr>
            <w:tcW w:type="dxa" w:w="6803"/>
          </w:tcPr>
          <w:p>
            <w:r>
              <w:rPr>
                <w:b w:val="0"/>
                <w:i w:val="0"/>
              </w:rPr>
              <w:t>means the company's chief executive officer, chief financial officer, general counsel, head of risk or insurance, and directors, or a person performing an equivalent role. In this wording, the company is the named insured or the subsidiary concerned.</w:t>
            </w:r>
          </w:p>
        </w:tc>
      </w:tr>
      <w:tr>
        <w:tc>
          <w:tcPr>
            <w:tcW w:type="dxa" w:w="2608"/>
          </w:tcPr>
          <w:p>
            <w:bookmarkStart w:id="7" w:name="c_cr_def_counterfeit"/>
            <w:r>
              <w:rPr>
                <w:b/>
                <w:i w:val="0"/>
              </w:rPr>
              <w:t>Counterfeit</w:t>
            </w:r>
            <w:bookmarkEnd w:id="7"/>
          </w:p>
        </w:tc>
        <w:tc>
          <w:tcPr>
            <w:tcW w:type="dxa" w:w="6803"/>
          </w:tcPr>
          <w:p>
            <w:r>
              <w:rPr>
                <w:b w:val="0"/>
                <w:i w:val="0"/>
              </w:rPr>
              <w:t>means an imitation of a genuine document, security, or currency that is intended to deceive.</w:t>
            </w:r>
          </w:p>
        </w:tc>
      </w:tr>
      <w:tr>
        <w:tc>
          <w:tcPr>
            <w:tcW w:type="dxa" w:w="2608"/>
          </w:tcPr>
          <w:p>
            <w:bookmarkStart w:id="8" w:name="c_cr_def_discovery"/>
            <w:r>
              <w:rPr>
                <w:b/>
                <w:i w:val="0"/>
              </w:rPr>
              <w:t>Discovery</w:t>
            </w:r>
            <w:bookmarkEnd w:id="8"/>
          </w:p>
        </w:tc>
        <w:tc>
          <w:tcPr>
            <w:tcW w:type="dxa" w:w="6803"/>
          </w:tcPr>
          <w:p>
            <w:r>
              <w:rPr>
                <w:b w:val="0"/>
                <w:i w:val="0"/>
              </w:rPr>
              <w:t>means the point at which any responsible person first has reason to believe, on the information then available, that a loss covered by this policy has been or is likely to have been sustained, whether or not the amount, cause, or full circumstances of the loss are then known, and regardless of when the underlying act occurred.</w:t>
            </w:r>
          </w:p>
        </w:tc>
      </w:tr>
      <w:tr>
        <w:tc>
          <w:tcPr>
            <w:tcW w:type="dxa" w:w="2608"/>
          </w:tcPr>
          <w:p>
            <w:bookmarkStart w:id="9" w:name="c_cr_def_employee"/>
            <w:r>
              <w:rPr>
                <w:b/>
                <w:i w:val="0"/>
              </w:rPr>
              <w:t>Employee</w:t>
            </w:r>
            <w:bookmarkEnd w:id="9"/>
          </w:p>
        </w:tc>
        <w:tc>
          <w:tcPr>
            <w:tcW w:type="dxa" w:w="6803"/>
          </w:tcPr>
          <w:p>
            <w:r>
              <w:rPr>
                <w:b w:val="0"/>
                <w:i w:val="0"/>
              </w:rPr>
              <w:t>means any natural person who: (a) works for you under a contract of employment (including permanent, fixed-term, casual, and part-time); (b) is a volunteer or intern working under your direct supervision; (c) is a person seconded to you from another organisation, while working under your direction and control; (d) is a temporary or labour hire worker, while working under your direct supervision; or (e) was formerly any of the above, for acts committed during their employment or engagement. Does not include independent contractors, external auditors, or agents (unless specifically covered).</w:t>
            </w:r>
          </w:p>
        </w:tc>
      </w:tr>
      <w:tr>
        <w:tc>
          <w:tcPr>
            <w:tcW w:type="dxa" w:w="2608"/>
          </w:tcPr>
          <w:p>
            <w:bookmarkStart w:id="10" w:name="c_cr_def_endorsement"/>
            <w:r>
              <w:rPr>
                <w:b/>
                <w:i w:val="0"/>
              </w:rPr>
              <w:t>Endorsement</w:t>
            </w:r>
            <w:bookmarkEnd w:id="10"/>
          </w:p>
        </w:tc>
        <w:tc>
          <w:tcPr>
            <w:tcW w:type="dxa" w:w="6803"/>
          </w:tcPr>
          <w:p>
            <w:r>
              <w:rPr>
                <w:b w:val="0"/>
                <w:i w:val="0"/>
              </w:rPr>
              <w:t>means a document attached to this policy that changes its terms.</w:t>
            </w:r>
          </w:p>
        </w:tc>
      </w:tr>
      <w:tr>
        <w:tc>
          <w:tcPr>
            <w:tcW w:type="dxa" w:w="2608"/>
          </w:tcPr>
          <w:p>
            <w:bookmarkStart w:id="11" w:name="c_cr_def_excess"/>
            <w:r>
              <w:rPr>
                <w:b/>
                <w:i w:val="0"/>
              </w:rPr>
              <w:t>Excess</w:t>
            </w:r>
            <w:bookmarkEnd w:id="11"/>
          </w:p>
        </w:tc>
        <w:tc>
          <w:tcPr>
            <w:tcW w:type="dxa" w:w="6803"/>
          </w:tcPr>
          <w:p>
            <w:r>
              <w:rPr>
                <w:b w:val="0"/>
                <w:i w:val="0"/>
              </w:rPr>
              <w:t>means the amount shown in the schedule that you must pay as the first part of each loss.</w:t>
            </w:r>
          </w:p>
        </w:tc>
      </w:tr>
      <w:tr>
        <w:tc>
          <w:tcPr>
            <w:tcW w:type="dxa" w:w="2608"/>
          </w:tcPr>
          <w:p>
            <w:bookmarkStart w:id="12" w:name="c_cr_def_financial_instrument"/>
            <w:r>
              <w:rPr>
                <w:b/>
                <w:i w:val="0"/>
              </w:rPr>
              <w:t>Financial instrument</w:t>
            </w:r>
            <w:bookmarkEnd w:id="12"/>
          </w:p>
        </w:tc>
        <w:tc>
          <w:tcPr>
            <w:tcW w:type="dxa" w:w="6803"/>
          </w:tcPr>
          <w:p>
            <w:r>
              <w:rPr>
                <w:b w:val="0"/>
                <w:i w:val="0"/>
              </w:rPr>
              <w:t>means any cheque, draft, promissory note, bill of exchange, letter of credit, certificate of deposit, money order, warrant, or other written order or instruction to pay money.</w:t>
            </w:r>
          </w:p>
        </w:tc>
      </w:tr>
      <w:tr>
        <w:tc>
          <w:tcPr>
            <w:tcW w:type="dxa" w:w="2608"/>
          </w:tcPr>
          <w:p>
            <w:bookmarkStart w:id="13" w:name="c_cr_def_forgery"/>
            <w:r>
              <w:rPr>
                <w:b/>
                <w:i w:val="0"/>
              </w:rPr>
              <w:t>Forgery</w:t>
            </w:r>
            <w:bookmarkEnd w:id="13"/>
          </w:p>
        </w:tc>
        <w:tc>
          <w:tcPr>
            <w:tcW w:type="dxa" w:w="6803"/>
          </w:tcPr>
          <w:p>
            <w:r>
              <w:rPr>
                <w:b w:val="0"/>
                <w:i w:val="0"/>
              </w:rPr>
              <w:t>means the signing of another person's name, or the material alteration of a document, with the intent to deceive.</w:t>
            </w:r>
          </w:p>
        </w:tc>
      </w:tr>
      <w:tr>
        <w:tc>
          <w:tcPr>
            <w:tcW w:type="dxa" w:w="2608"/>
          </w:tcPr>
          <w:p>
            <w:bookmarkStart w:id="14" w:name="c_cr_def_funds_transfer"/>
            <w:r>
              <w:rPr>
                <w:b/>
                <w:i w:val="0"/>
              </w:rPr>
              <w:t>Funds transfer</w:t>
            </w:r>
            <w:bookmarkEnd w:id="14"/>
          </w:p>
        </w:tc>
        <w:tc>
          <w:tcPr>
            <w:tcW w:type="dxa" w:w="6803"/>
          </w:tcPr>
          <w:p>
            <w:r>
              <w:rPr>
                <w:b w:val="0"/>
                <w:i w:val="0"/>
              </w:rPr>
              <w:t>means the electronic, telegraphic, telephonic, or written instruction to a financial institution to debit or credit an account, or to pay or transfer funds.</w:t>
            </w:r>
          </w:p>
        </w:tc>
      </w:tr>
      <w:tr>
        <w:tc>
          <w:tcPr>
            <w:tcW w:type="dxa" w:w="2608"/>
          </w:tcPr>
          <w:p>
            <w:bookmarkStart w:id="15" w:name="c_cr_def_limit_of_liability"/>
            <w:r>
              <w:rPr>
                <w:b/>
                <w:i w:val="0"/>
              </w:rPr>
              <w:t>Limit of liability</w:t>
            </w:r>
            <w:bookmarkEnd w:id="15"/>
          </w:p>
        </w:tc>
        <w:tc>
          <w:tcPr>
            <w:tcW w:type="dxa" w:w="6803"/>
          </w:tcPr>
          <w:p>
            <w:r>
              <w:rPr>
                <w:b w:val="0"/>
                <w:i w:val="0"/>
              </w:rPr>
              <w:t>means the amount shown in the schedule.</w:t>
            </w:r>
          </w:p>
        </w:tc>
      </w:tr>
      <w:tr>
        <w:tc>
          <w:tcPr>
            <w:tcW w:type="dxa" w:w="2608"/>
          </w:tcPr>
          <w:p>
            <w:bookmarkStart w:id="16" w:name="c_cr_def_loss"/>
            <w:r>
              <w:rPr>
                <w:b/>
                <w:i w:val="0"/>
              </w:rPr>
              <w:t>Loss</w:t>
            </w:r>
            <w:bookmarkEnd w:id="16"/>
          </w:p>
        </w:tc>
        <w:tc>
          <w:tcPr>
            <w:tcW w:type="dxa" w:w="6803"/>
          </w:tcPr>
          <w:p>
            <w:r>
              <w:rPr>
                <w:b w:val="0"/>
                <w:i w:val="0"/>
              </w:rPr>
              <w:t xml:space="preserve">means the direct financial loss that you sustain, directly resulting from a criminal act covered by the Insuring Clause under which you claim. This is the only causation test applied under this policy — where an Insuring Clause or Extension also describes loss as “caused by” a peril, that phrase refers to this same test and does not impose an additional or different threshold. Loss includes the reasonable costs of proving the loss (forensic accounting, investigation costs) incurred with our prior consent. Loss does not include: (a) indirect or consequential loss; (b) potential income or revenue not earned due to the criminal act; (c) costs of enhancing systems or security; (d) salaries or compensation paid to a dishonest employee; or (e) costs of reconstructing data or records, except as covered under </w:t>
            </w:r>
            <w:hyperlink w:anchor="c_cr_cover_computer_crime">
              <w:r>
                <w:rPr>
                  <w:color w:val="2E5C4E"/>
                  <w:u w:val="single"/>
                </w:rPr>
                <w:t xml:space="preserve">the Computer Crime clause</w:t>
              </w:r>
            </w:hyperlink>
            <w:r>
              <w:rPr>
                <w:b w:val="0"/>
                <w:i w:val="0"/>
              </w:rPr>
              <w:t>.</w:t>
            </w:r>
          </w:p>
        </w:tc>
      </w:tr>
      <w:tr>
        <w:tc>
          <w:tcPr>
            <w:tcW w:type="dxa" w:w="2608"/>
          </w:tcPr>
          <w:p>
            <w:bookmarkStart w:id="17" w:name="c_cr_def_manifest_intent"/>
            <w:r>
              <w:rPr>
                <w:b/>
                <w:i w:val="0"/>
              </w:rPr>
              <w:t>Manifest intent</w:t>
            </w:r>
            <w:bookmarkEnd w:id="17"/>
          </w:p>
        </w:tc>
        <w:tc>
          <w:tcPr>
            <w:tcW w:type="dxa" w:w="6803"/>
          </w:tcPr>
          <w:p>
            <w:r>
              <w:rPr>
                <w:b w:val="0"/>
                <w:i w:val="0"/>
              </w:rPr>
              <w:t>means the clear intention to: (a) cause you direct financial loss; and (b) obtain a personal financial benefit for the perpetrator beyond their normal compensation from you.</w:t>
            </w:r>
          </w:p>
        </w:tc>
      </w:tr>
      <w:tr>
        <w:tc>
          <w:tcPr>
            <w:tcW w:type="dxa" w:w="2608"/>
          </w:tcPr>
          <w:p>
            <w:bookmarkStart w:id="18" w:name="c_cr_def_money"/>
            <w:r>
              <w:rPr>
                <w:b/>
                <w:i w:val="0"/>
              </w:rPr>
              <w:t>Money</w:t>
            </w:r>
            <w:bookmarkEnd w:id="18"/>
          </w:p>
        </w:tc>
        <w:tc>
          <w:tcPr>
            <w:tcW w:type="dxa" w:w="6803"/>
          </w:tcPr>
          <w:p>
            <w:r>
              <w:rPr>
                <w:b w:val="0"/>
                <w:i w:val="0"/>
              </w:rPr>
              <w:t>means currency (coins and banknotes), bullion, and precious metals, whether held physically or in a custodial or allocated account.</w:t>
            </w:r>
          </w:p>
        </w:tc>
      </w:tr>
      <w:tr>
        <w:tc>
          <w:tcPr>
            <w:tcW w:type="dxa" w:w="2608"/>
          </w:tcPr>
          <w:p>
            <w:bookmarkStart w:id="19" w:name="c_cr_def_named_insured"/>
            <w:r>
              <w:rPr>
                <w:b/>
                <w:i w:val="0"/>
              </w:rPr>
              <w:t>Named insured</w:t>
            </w:r>
            <w:bookmarkEnd w:id="19"/>
          </w:p>
        </w:tc>
        <w:tc>
          <w:tcPr>
            <w:tcW w:type="dxa" w:w="6803"/>
          </w:tcPr>
          <w:p>
            <w:r>
              <w:rPr>
                <w:b w:val="0"/>
                <w:i w:val="0"/>
              </w:rPr>
              <w:t>means the entity shown in the schedule.</w:t>
            </w:r>
          </w:p>
        </w:tc>
      </w:tr>
      <w:tr>
        <w:tc>
          <w:tcPr>
            <w:tcW w:type="dxa" w:w="2608"/>
          </w:tcPr>
          <w:p>
            <w:bookmarkStart w:id="20" w:name="c_cr_def_policy_period"/>
            <w:r>
              <w:rPr>
                <w:b/>
                <w:i w:val="0"/>
              </w:rPr>
              <w:t>Policy period</w:t>
            </w:r>
            <w:bookmarkEnd w:id="20"/>
          </w:p>
        </w:tc>
        <w:tc>
          <w:tcPr>
            <w:tcW w:type="dxa" w:w="6803"/>
          </w:tcPr>
          <w:p>
            <w:r>
              <w:rPr>
                <w:b w:val="0"/>
                <w:i w:val="0"/>
              </w:rPr>
              <w:t>means the period shown in the schedule.</w:t>
            </w:r>
          </w:p>
        </w:tc>
      </w:tr>
      <w:tr>
        <w:tc>
          <w:tcPr>
            <w:tcW w:type="dxa" w:w="2608"/>
          </w:tcPr>
          <w:p>
            <w:bookmarkStart w:id="21" w:name="c_cr_def_property"/>
            <w:r>
              <w:rPr>
                <w:b/>
                <w:i w:val="0"/>
              </w:rPr>
              <w:t>Property</w:t>
            </w:r>
            <w:bookmarkEnd w:id="21"/>
          </w:p>
        </w:tc>
        <w:tc>
          <w:tcPr>
            <w:tcW w:type="dxa" w:w="6803"/>
          </w:tcPr>
          <w:p>
            <w:r>
              <w:rPr>
                <w:b w:val="0"/>
                <w:i w:val="0"/>
              </w:rPr>
              <w:t xml:space="preserve">means tangible property other than Money and Securities, including equipment, inventory, and other physical assets. Property does not include electronic data (loss involving data is addressed under </w:t>
            </w:r>
            <w:hyperlink w:anchor="c_cr_cover_computer_crime">
              <w:r>
                <w:rPr>
                  <w:color w:val="2E5C4E"/>
                  <w:u w:val="single"/>
                </w:rPr>
                <w:t xml:space="preserve">the Computer Crime clause</w:t>
              </w:r>
            </w:hyperlink>
            <w:r>
              <w:rPr>
                <w:b w:val="0"/>
                <w:i w:val="0"/>
              </w:rPr>
              <w:t>, Computer Crime).</w:t>
            </w:r>
          </w:p>
        </w:tc>
      </w:tr>
      <w:tr>
        <w:tc>
          <w:tcPr>
            <w:tcW w:type="dxa" w:w="2608"/>
          </w:tcPr>
          <w:p>
            <w:bookmarkStart w:id="22" w:name="c_cr_def_responsible_person"/>
            <w:r>
              <w:rPr>
                <w:b/>
                <w:i w:val="0"/>
              </w:rPr>
              <w:t>Responsible person</w:t>
            </w:r>
            <w:bookmarkEnd w:id="22"/>
          </w:p>
        </w:tc>
        <w:tc>
          <w:tcPr>
            <w:tcW w:type="dxa" w:w="6803"/>
          </w:tcPr>
          <w:p>
            <w:r>
              <w:rPr>
                <w:b w:val="0"/>
                <w:i w:val="0"/>
              </w:rPr>
              <w:t>means any director, officer, partner, principal, risk manager, compliance officer, internal auditor, chief financial officer, or head of finance of the named insured; or, where the named insured has no natural person holding any of those roles, its most senior officer or manager responsible for its financial affairs at the relevant time.</w:t>
            </w:r>
          </w:p>
        </w:tc>
      </w:tr>
      <w:tr>
        <w:tc>
          <w:tcPr>
            <w:tcW w:type="dxa" w:w="2608"/>
          </w:tcPr>
          <w:p>
            <w:bookmarkStart w:id="23" w:name="c_cr_def_retroactive_date"/>
            <w:r>
              <w:rPr>
                <w:b/>
                <w:i w:val="0"/>
              </w:rPr>
              <w:t>Retroactive date</w:t>
            </w:r>
            <w:bookmarkEnd w:id="23"/>
          </w:p>
        </w:tc>
        <w:tc>
          <w:tcPr>
            <w:tcW w:type="dxa" w:w="6803"/>
          </w:tcPr>
          <w:p>
            <w:r>
              <w:rPr>
                <w:b w:val="0"/>
                <w:i w:val="0"/>
              </w:rPr>
              <w:t xml:space="preserve">means the date shown in the schedule. We only cover losses arising from criminal acts that first occur on or after this date. For a subsidiary covered under </w:t>
            </w:r>
            <w:hyperlink w:anchor="c_cr_ext_newly_acquired_subsidiaries">
              <w:r>
                <w:rPr>
                  <w:color w:val="2E5C4E"/>
                  <w:u w:val="single"/>
                </w:rPr>
                <w:t xml:space="preserve">the Newly Acquired Subsidiaries extension</w:t>
              </w:r>
            </w:hyperlink>
            <w:r>
              <w:rPr>
                <w:b w:val="0"/>
                <w:i w:val="0"/>
              </w:rPr>
              <w:t>, the retroactive date is the date it became a subsidiary.</w:t>
            </w:r>
          </w:p>
        </w:tc>
      </w:tr>
      <w:tr>
        <w:tc>
          <w:tcPr>
            <w:tcW w:type="dxa" w:w="2608"/>
          </w:tcPr>
          <w:p>
            <w:bookmarkStart w:id="24" w:name="c_cr_def_schedule"/>
            <w:r>
              <w:rPr>
                <w:b/>
                <w:i w:val="0"/>
              </w:rPr>
              <w:t>Schedule</w:t>
            </w:r>
            <w:bookmarkEnd w:id="24"/>
          </w:p>
        </w:tc>
        <w:tc>
          <w:tcPr>
            <w:tcW w:type="dxa" w:w="6803"/>
          </w:tcPr>
          <w:p>
            <w:r>
              <w:rPr>
                <w:b w:val="0"/>
                <w:i w:val="0"/>
              </w:rPr>
              <w:t>means the document titled “Schedule” issued with this policy.</w:t>
            </w:r>
          </w:p>
        </w:tc>
      </w:tr>
      <w:tr>
        <w:tc>
          <w:tcPr>
            <w:tcW w:type="dxa" w:w="2608"/>
          </w:tcPr>
          <w:p>
            <w:bookmarkStart w:id="25" w:name="c_cr_def_securities"/>
            <w:r>
              <w:rPr>
                <w:b/>
                <w:i w:val="0"/>
              </w:rPr>
              <w:t>Securities</w:t>
            </w:r>
            <w:bookmarkEnd w:id="25"/>
          </w:p>
        </w:tc>
        <w:tc>
          <w:tcPr>
            <w:tcW w:type="dxa" w:w="6803"/>
          </w:tcPr>
          <w:p>
            <w:r>
              <w:rPr>
                <w:b w:val="0"/>
                <w:i w:val="0"/>
              </w:rPr>
              <w:t>means all negotiable and non-negotiable instruments, including shares, bonds, debentures, notes, units in trusts or funds, options, warrants, rights, and other ownership or debt instruments, whether held in physical or electronic (dematerialised) form.</w:t>
            </w:r>
          </w:p>
        </w:tc>
      </w:tr>
      <w:tr>
        <w:tc>
          <w:tcPr>
            <w:tcW w:type="dxa" w:w="2608"/>
          </w:tcPr>
          <w:p>
            <w:bookmarkStart w:id="26" w:name="c_cr_def_subsidiary"/>
            <w:r>
              <w:rPr>
                <w:b/>
                <w:i w:val="0"/>
              </w:rPr>
              <w:t>Subsidiary</w:t>
            </w:r>
            <w:bookmarkEnd w:id="26"/>
          </w:p>
        </w:tc>
        <w:tc>
          <w:tcPr>
            <w:tcW w:type="dxa" w:w="6803"/>
          </w:tcPr>
          <w:p>
            <w:r>
              <w:rPr>
                <w:b w:val="0"/>
                <w:i w:val="0"/>
              </w:rPr>
              <w:t xml:space="preserve">means any entity in which the named insured holds more than 50% of the voting rights, or over which the named insured has effective management control, at the start of the policy period, and any entity that becomes a subsidiary during the policy period and is covered under </w:t>
            </w:r>
            <w:hyperlink w:anchor="c_cr_ext_newly_acquired_subsidiaries">
              <w:r>
                <w:rPr>
                  <w:color w:val="2E5C4E"/>
                  <w:u w:val="single"/>
                </w:rPr>
                <w:t xml:space="preserve">the Newly Acquired Subsidiaries extension</w:t>
              </w:r>
            </w:hyperlink>
            <w:r>
              <w:rPr>
                <w:b w:val="0"/>
                <w:i w:val="0"/>
              </w:rPr>
              <w:t>. An entity is a subsidiary only for criminal acts that first occur while it is a subsidiary.</w:t>
            </w:r>
          </w:p>
        </w:tc>
      </w:tr>
      <w:tr>
        <w:tc>
          <w:tcPr>
            <w:tcW w:type="dxa" w:w="2608"/>
          </w:tcPr>
          <w:p>
            <w:bookmarkStart w:id="27" w:name="c_cr_def_third_party"/>
            <w:r>
              <w:rPr>
                <w:b/>
                <w:i w:val="0"/>
              </w:rPr>
              <w:t>Third party</w:t>
            </w:r>
            <w:bookmarkEnd w:id="27"/>
          </w:p>
        </w:tc>
        <w:tc>
          <w:tcPr>
            <w:tcW w:type="dxa" w:w="6803"/>
          </w:tcPr>
          <w:p>
            <w:r>
              <w:rPr>
                <w:b w:val="0"/>
                <w:i w:val="0"/>
              </w:rPr>
              <w:t xml:space="preserve">means any natural person or entity other than: (a) you; (b) an employee; or (c) a third-party service provider acting within the scope of its written contract with you (whose conduct is separately addressed in </w:t>
            </w:r>
            <w:hyperlink w:anchor="c_cr_ext_third_party_service_provider_di">
              <w:r>
                <w:rPr>
                  <w:color w:val="2E5C4E"/>
                  <w:u w:val="single"/>
                </w:rPr>
                <w:t xml:space="preserve">the Third-Party Service Provider Dishonesty extension</w:t>
              </w:r>
            </w:hyperlink>
            <w:r>
              <w:rPr>
                <w:b w:val="0"/>
                <w:i w:val="0"/>
              </w:rPr>
              <w:t xml:space="preserve">). For the avoidance of doubt, a customer, supplier, contractor outside </w:t>
            </w:r>
            <w:hyperlink w:anchor="c_cr_ext_third_party_service_provider_di">
              <w:r>
                <w:rPr>
                  <w:color w:val="2E5C4E"/>
                  <w:u w:val="single"/>
                </w:rPr>
                <w:t xml:space="preserve">the Third-Party Service Provider Dishonesty extension</w:t>
              </w:r>
            </w:hyperlink>
            <w:r>
              <w:rPr>
                <w:b w:val="0"/>
                <w:i w:val="0"/>
              </w:rPr>
              <w:t>, or member of the public may be a third party.</w:t>
            </w:r>
          </w:p>
        </w:tc>
      </w:tr>
      <w:tr>
        <w:tc>
          <w:tcPr>
            <w:tcW w:type="dxa" w:w="2608"/>
          </w:tcPr>
          <w:p>
            <w:bookmarkStart w:id="28" w:name="c_cr_def_third_party_service_provider"/>
            <w:r>
              <w:rPr>
                <w:b/>
                <w:i w:val="0"/>
              </w:rPr>
              <w:t>Third-party service provider</w:t>
            </w:r>
            <w:bookmarkEnd w:id="28"/>
          </w:p>
        </w:tc>
        <w:tc>
          <w:tcPr>
            <w:tcW w:type="dxa" w:w="6803"/>
          </w:tcPr>
          <w:p>
            <w:r>
              <w:rPr>
                <w:b w:val="0"/>
                <w:i w:val="0"/>
              </w:rPr>
              <w:t>means a person or entity engaged by you under a written contract to perform services on your behalf, including payroll processors, fund administrators, custodians, transfer agents, and IT managed service providers.</w:t>
            </w:r>
          </w:p>
        </w:tc>
      </w:tr>
      <w:tr>
        <w:tc>
          <w:tcPr>
            <w:tcW w:type="dxa" w:w="2608"/>
          </w:tcPr>
          <w:p>
            <w:bookmarkStart w:id="29" w:name="c_cr_def_we_us_our"/>
            <w:r>
              <w:rPr>
                <w:b/>
                <w:i w:val="0"/>
              </w:rPr>
              <w:t>We / us / our</w:t>
            </w:r>
            <w:bookmarkEnd w:id="29"/>
          </w:p>
        </w:tc>
        <w:tc>
          <w:tcPr>
            <w:tcW w:type="dxa" w:w="6803"/>
          </w:tcPr>
          <w:p>
            <w:r>
              <w:rPr>
                <w:b w:val="0"/>
                <w:i w:val="0"/>
              </w:rPr>
              <w:t>means the insurer named in the schedule.</w:t>
            </w:r>
          </w:p>
        </w:tc>
      </w:tr>
      <w:tr>
        <w:tc>
          <w:tcPr>
            <w:tcW w:type="dxa" w:w="2608"/>
          </w:tcPr>
          <w:p>
            <w:bookmarkStart w:id="30" w:name="c_cr_def_you_your"/>
            <w:r>
              <w:rPr>
                <w:b/>
                <w:i w:val="0"/>
              </w:rPr>
              <w:t>You / your</w:t>
            </w:r>
            <w:bookmarkEnd w:id="30"/>
          </w:p>
        </w:tc>
        <w:tc>
          <w:tcPr>
            <w:tcW w:type="dxa" w:w="6803"/>
          </w:tcPr>
          <w:p>
            <w:r>
              <w:rPr>
                <w:b w:val="0"/>
                <w:i w:val="0"/>
              </w:rPr>
              <w:t>means the named insured and any subsidiary.</w:t>
            </w:r>
          </w:p>
        </w:tc>
      </w:tr>
    </w:tbl>
    <w:p>
      <w:bookmarkStart w:id="31" w:name="c_cr_section_cover"/>
      <w:r>
        <w:rPr>
          <w:rFonts w:ascii="Georgia" w:hAnsi="Georgia" w:eastAsia="Georgia"/>
          <w:b/>
          <w:i w:val="0"/>
          <w:color w:val="1C1915"/>
          <w:sz w:val="32"/>
        </w:rPr>
        <w:t>What Is Covered</w:t>
      </w:r>
      <w:bookmarkEnd w:id="31"/>
    </w:p>
    <w:p>
      <w:r>
        <w:rPr>
          <w:b w:val="0"/>
          <w:i w:val="0"/>
        </w:rPr>
        <w:t>We cover the insuring clauses shown as included in the schedule. Each insuring clause has its own limit of liability and excess, shown in the schedule. The employee dishonesty and theft of money and securities clauses are always included. The computer crime, funds transfer fraud and social engineering fraud clauses are included only where the schedule shows them. The forgery and alteration clause and the theft of other property clause are included where the schedule shows them and carry no separate premium in the Go template.</w:t>
      </w:r>
    </w:p>
    <w:p>
      <w:bookmarkStart w:id="32" w:name="c_cr_cover_employee_dishonesty"/>
      <w:r>
        <w:rPr>
          <w:rFonts w:ascii="Georgia" w:hAnsi="Georgia" w:eastAsia="Georgia"/>
          <w:b/>
          <w:i w:val="0"/>
          <w:color w:val="2E5C4E"/>
          <w:sz w:val="25"/>
        </w:rPr>
        <w:t>Employee Dishonesty</w:t>
      </w:r>
      <w:bookmarkEnd w:id="32"/>
    </w:p>
    <w:p>
      <w:r>
        <w:rPr>
          <w:b w:val="0"/>
          <w:i w:val="0"/>
        </w:rPr>
        <w:t>We will pay your loss caused by a dishonest or fraudulent act committed by an employee, acting alone or in collusion with others, provided: (a) the act was committed with manifest intent; and (b) the loss is first discovered during the policy period.</w:t>
      </w:r>
    </w:p>
    <w:p>
      <w:r>
        <w:rPr>
          <w:b w:val="0"/>
          <w:i w:val="0"/>
        </w:rPr>
        <w:t>This covers: theft of money, securities, or tangible property; fraudulent alteration of your accounts or records; fraudulent electronic funds transfers; deliberate destruction of property or data to conceal a dishonest act; embezzlement and misappropriation; inventory theft; and payroll fraud (fictitious employees, inflated hours, unauthorised bonuses).</w:t>
      </w:r>
    </w:p>
    <w:p>
      <w:r>
        <w:rPr>
          <w:b/>
          <w:i w:val="0"/>
        </w:rPr>
        <w:t>Discovery after termination:</w:t>
      </w:r>
      <w:r>
        <w:rPr>
          <w:b w:val="0"/>
          <w:i w:val="0"/>
        </w:rPr>
        <w:t xml:space="preserve"> If you discover an employee's dishonesty after their employment ends, the loss is covered provided it is discovered during the policy period and the dishonest act occurred during the employee's employment.</w:t>
      </w:r>
    </w:p>
    <w:p>
      <w:bookmarkStart w:id="33" w:name="c_cr_cover_forgery_and_alteration"/>
      <w:r>
        <w:rPr>
          <w:rFonts w:ascii="Georgia" w:hAnsi="Georgia" w:eastAsia="Georgia"/>
          <w:b/>
          <w:i w:val="0"/>
          <w:color w:val="2E5C4E"/>
          <w:sz w:val="25"/>
        </w:rPr>
        <w:t>Forgery and Alteration</w:t>
      </w:r>
      <w:bookmarkEnd w:id="33"/>
    </w:p>
    <w:p>
      <w:r>
        <w:rPr>
          <w:b w:val="0"/>
          <w:i w:val="0"/>
        </w:rPr>
        <w:t>We will pay your loss caused by: (a) forgery of, or fraudulent alteration to, any financial instrument, cheque, draft, or written instruction, resulting in payment from your account or a payment you are legally required to honour; or (b) your acceptance in good faith of any counterfeit currency or counterfeit financial instrument. The loss must be first discovered during the policy period.</w:t>
      </w:r>
    </w:p>
    <w:p>
      <w:bookmarkStart w:id="34" w:name="c_cr_cover_computer_crime"/>
      <w:r>
        <w:rPr>
          <w:rFonts w:ascii="Georgia" w:hAnsi="Georgia" w:eastAsia="Georgia"/>
          <w:b/>
          <w:i w:val="0"/>
          <w:color w:val="2E5C4E"/>
          <w:sz w:val="25"/>
        </w:rPr>
        <w:t>Computer Crime</w:t>
      </w:r>
      <w:bookmarkEnd w:id="34"/>
    </w:p>
    <w:p>
      <w:r>
        <w:rPr>
          <w:b w:val="0"/>
          <w:i w:val="0"/>
        </w:rPr>
        <w:t>We will pay your loss caused by: (a) the fraudulent entry of data into, or fraudulent modification or deletion of data within, your computer system by a third party; (b) the fraudulent preparation or modification of electronic data or instructions directed to your computer system, resulting in an unauthorised transfer of money, securities, or property from your account; (c) the introduction of malicious code into your computer system by a third party with the intent to cause you financial loss; or (d) the theft of confidential data from your computer system by a third party, where the stolen data is used to cause you direct financial loss.</w:t>
      </w:r>
    </w:p>
    <w:p>
      <w:r>
        <w:rPr>
          <w:b w:val="0"/>
          <w:i w:val="0"/>
        </w:rPr>
        <w:t xml:space="preserve">The costs of restoring data or systems after a cyber attack are not covered here — that is a cyber insurance exposure. This insuring clause covers the direct financial loss caused by computer-enabled theft or fraud. See also </w:t>
      </w:r>
      <w:hyperlink w:anchor="c_cr_pay_other_insurance">
        <w:r>
          <w:rPr>
            <w:color w:val="2E5C4E"/>
            <w:u w:val="single"/>
          </w:rPr>
          <w:t xml:space="preserve">the Other Insurance provision</w:t>
        </w:r>
      </w:hyperlink>
      <w:r>
        <w:rPr>
          <w:b w:val="0"/>
          <w:i w:val="0"/>
        </w:rPr>
        <w:t xml:space="preserve"> for the priority rule that applies where a cyber policy also purports to cover this loss.</w:t>
      </w:r>
    </w:p>
    <w:p>
      <w:bookmarkStart w:id="35" w:name="c_cr_cover_funds_transfer_fraud"/>
      <w:r>
        <w:rPr>
          <w:rFonts w:ascii="Georgia" w:hAnsi="Georgia" w:eastAsia="Georgia"/>
          <w:b/>
          <w:i w:val="0"/>
          <w:color w:val="2E5C4E"/>
          <w:sz w:val="25"/>
        </w:rPr>
        <w:t>Funds Transfer Fraud</w:t>
      </w:r>
      <w:bookmarkEnd w:id="35"/>
    </w:p>
    <w:p>
      <w:r>
        <w:rPr>
          <w:b w:val="0"/>
          <w:i w:val="0"/>
        </w:rPr>
        <w:t>We will pay your loss caused by a fraudulent funds transfer instruction issued by a third party who, without your authority, has gained access to your communications or banking systems and impersonates you or an authorised representative. The fraudulent instruction must result in the transfer of your money or securities from your account to an account not controlled by you. The loss must be first discovered during the policy period.</w:t>
      </w:r>
    </w:p>
    <w:p>
      <w:bookmarkStart w:id="36" w:name="c_cr_cover_social_engineering_fraud"/>
      <w:r>
        <w:rPr>
          <w:rFonts w:ascii="Georgia" w:hAnsi="Georgia" w:eastAsia="Georgia"/>
          <w:b/>
          <w:i w:val="0"/>
          <w:color w:val="2E5C4E"/>
          <w:sz w:val="25"/>
        </w:rPr>
        <w:t>Social Engineering Fraud</w:t>
      </w:r>
      <w:bookmarkEnd w:id="36"/>
    </w:p>
    <w:p>
      <w:r>
        <w:rPr>
          <w:b w:val="0"/>
          <w:i w:val="0"/>
        </w:rPr>
        <w:t>We will pay your loss caused by a funds transfer or delivery of money, securities, or property that you make in good faith as a result of a fraudulent communication that: (a) impersonates a genuine client, supplier, vendor, business partner, or senior officer of yours; (b) uses a spoofed, compromised, or deceptively similar email address, phone number, or communication channel; and (c) induces you to make a payment, transfer funds, or deliver property based on false pretences.</w:t>
      </w:r>
    </w:p>
    <w:p>
      <w:r>
        <w:rPr>
          <w:b w:val="0"/>
          <w:i w:val="0"/>
        </w:rPr>
        <w:t>Examples: Fake invoice fraud, CEO impersonation (business email compromise), vendor bank detail change fraud, and impersonation of a client requesting a payment redirect.</w:t>
      </w:r>
    </w:p>
    <w:p>
      <w:r>
        <w:rPr>
          <w:b/>
          <w:i w:val="0"/>
        </w:rPr>
        <w:t>Verification procedures:</w:t>
      </w:r>
      <w:r>
        <w:rPr>
          <w:b w:val="0"/>
          <w:i w:val="0"/>
        </w:rPr>
        <w:t xml:space="preserve"> Whether you followed a particular verification procedure before acting on the fraudulent communication is not a condition of cover, and we will not reduce or deny your claim solely because a particular verification step was not followed. Evidence about the verification steps you did or did not take is relevant only to establishing whether the payment was in fact induced by the fraudulent communication described in this clause — that is, whether this Insuring Clause is engaged at all. It is not used, on a scale or otherwise, to reduce the amount we pay once a covered loss under this clause is established. Verification affects only the increased sub-limits in </w:t>
      </w:r>
      <w:hyperlink w:anchor="c_cr_end_e01">
        <w:r>
          <w:rPr>
            <w:color w:val="2E5C4E"/>
            <w:u w:val="single"/>
          </w:rPr>
          <w:t xml:space="preserve">the E01 Increased Social Engineering Sub-limit endorsement</w:t>
        </w:r>
      </w:hyperlink>
      <w:r>
        <w:rPr>
          <w:b w:val="0"/>
          <w:i w:val="0"/>
        </w:rPr>
        <w:t xml:space="preserve"> and </w:t>
      </w:r>
      <w:hyperlink w:anchor="c_cr_end_e10">
        <w:r>
          <w:rPr>
            <w:color w:val="2E5C4E"/>
            <w:u w:val="single"/>
          </w:rPr>
          <w:t xml:space="preserve">the E10 Invoice Manipulation Fraud endorsement</w:t>
        </w:r>
      </w:hyperlink>
      <w:r>
        <w:rPr>
          <w:b w:val="0"/>
          <w:i w:val="0"/>
        </w:rPr>
        <w:t>.</w:t>
      </w:r>
    </w:p>
    <w:p>
      <w:bookmarkStart w:id="37" w:name="c_cr_cover_theft_of_money_and_securities"/>
      <w:r>
        <w:rPr>
          <w:rFonts w:ascii="Georgia" w:hAnsi="Georgia" w:eastAsia="Georgia"/>
          <w:b/>
          <w:i w:val="0"/>
          <w:color w:val="2E5C4E"/>
          <w:sz w:val="25"/>
        </w:rPr>
        <w:t>Theft of Money and Securities</w:t>
      </w:r>
      <w:bookmarkEnd w:id="37"/>
    </w:p>
    <w:p>
      <w:r>
        <w:rPr>
          <w:b w:val="0"/>
          <w:i w:val="0"/>
        </w:rPr>
        <w:t xml:space="preserve">We will pay your loss of money or securities caused by: (a) theft from your premises, including from a locked safe, vault, or cash register; (b) theft while in transit by you, your employees, or a professional carrier; or (c) mysterious disappearance from your premises (money or securities that cannot be accounted for and where a reasonable investigation suggests theft). The loss must be first discovered during the policy period. See </w:t>
      </w:r>
      <w:hyperlink w:anchor="c_cr_pay_valuation_money_and_securities">
        <w:r>
          <w:rPr>
            <w:color w:val="2E5C4E"/>
            <w:u w:val="single"/>
          </w:rPr>
          <w:t xml:space="preserve">the Valuation — Money and Securities provision</w:t>
        </w:r>
      </w:hyperlink>
      <w:r>
        <w:rPr>
          <w:b w:val="0"/>
          <w:i w:val="0"/>
        </w:rPr>
        <w:t xml:space="preserve"> for the valuation basis that applies to this Insuring Clause.</w:t>
      </w:r>
    </w:p>
    <w:p>
      <w:bookmarkStart w:id="38" w:name="c_cr_cover_theft_of_other_property"/>
      <w:r>
        <w:rPr>
          <w:rFonts w:ascii="Georgia" w:hAnsi="Georgia" w:eastAsia="Georgia"/>
          <w:b/>
          <w:i w:val="0"/>
          <w:color w:val="2E5C4E"/>
          <w:sz w:val="25"/>
        </w:rPr>
        <w:t>Theft of Other Property</w:t>
      </w:r>
      <w:bookmarkEnd w:id="38"/>
    </w:p>
    <w:p>
      <w:r>
        <w:rPr>
          <w:b w:val="0"/>
          <w:i w:val="0"/>
        </w:rPr>
        <w:t>We will pay your loss of property caused by theft by a third party from: (a) your premises; or (b) while in transit by you, your employees, or a professional carrier. The loss is measured at the lesser of: (i) the replacement cost of equivalent property; or (ii) the actual cash value at the time of loss. The loss must be first discovered during the policy period.</w:t>
      </w:r>
    </w:p>
    <w:p>
      <w:bookmarkStart w:id="39" w:name="c_cr_section_extensions"/>
      <w:r>
        <w:rPr>
          <w:rFonts w:ascii="Georgia" w:hAnsi="Georgia" w:eastAsia="Georgia"/>
          <w:b/>
          <w:i w:val="0"/>
          <w:color w:val="1C1915"/>
          <w:sz w:val="32"/>
        </w:rPr>
        <w:t>Extensions of Cover</w:t>
      </w:r>
      <w:bookmarkEnd w:id="39"/>
    </w:p>
    <w:p>
      <w:r>
        <w:rPr>
          <w:b w:val="0"/>
          <w:i w:val="0"/>
        </w:rPr>
        <w:t>Each extension applies only to the extent its own wording and the schedule state, and is part of, not in addition to, the limit of liability of the insuring clause it extends unless the extension says otherwise.</w:t>
      </w:r>
    </w:p>
    <w:p>
      <w:bookmarkStart w:id="40" w:name="c_cr_ext_forensic_investigation_costs"/>
      <w:r>
        <w:rPr>
          <w:rFonts w:ascii="Georgia" w:hAnsi="Georgia" w:eastAsia="Georgia"/>
          <w:b/>
          <w:i w:val="0"/>
          <w:color w:val="2E5C4E"/>
          <w:sz w:val="25"/>
        </w:rPr>
        <w:t>Forensic Investigation Costs</w:t>
      </w:r>
      <w:bookmarkEnd w:id="40"/>
    </w:p>
    <w:p>
      <w:r>
        <w:rPr>
          <w:b w:val="0"/>
          <w:i w:val="0"/>
        </w:rPr>
        <w:t>We will pay the reasonable costs of engaging a forensic accountant or fraud investigator to determine the existence and extent of a loss covered by this policy, with our prior consent.</w:t>
      </w:r>
    </w:p>
    <w:p>
      <w:bookmarkStart w:id="41" w:name="c_cr_ext_legal_costs_to_establish_the_lo"/>
      <w:r>
        <w:rPr>
          <w:rFonts w:ascii="Georgia" w:hAnsi="Georgia" w:eastAsia="Georgia"/>
          <w:b/>
          <w:i w:val="0"/>
          <w:color w:val="2E5C4E"/>
          <w:sz w:val="25"/>
        </w:rPr>
        <w:t>Legal Costs to Establish the Loss</w:t>
      </w:r>
      <w:bookmarkEnd w:id="41"/>
    </w:p>
    <w:p>
      <w:r>
        <w:rPr>
          <w:b w:val="0"/>
          <w:i w:val="0"/>
        </w:rPr>
        <w:t>We will pay your reasonable legal costs incurred in establishing that a loss covered by this policy has occurred and quantifying the amount.</w:t>
      </w:r>
    </w:p>
    <w:p>
      <w:bookmarkStart w:id="42" w:name="c_cr_ext_reconstitution_of_records"/>
      <w:r>
        <w:rPr>
          <w:rFonts w:ascii="Georgia" w:hAnsi="Georgia" w:eastAsia="Georgia"/>
          <w:b/>
          <w:i w:val="0"/>
          <w:color w:val="2E5C4E"/>
          <w:sz w:val="25"/>
        </w:rPr>
        <w:t>Reconstitution of Records</w:t>
      </w:r>
      <w:bookmarkEnd w:id="42"/>
    </w:p>
    <w:p>
      <w:r>
        <w:rPr>
          <w:b w:val="0"/>
          <w:i w:val="0"/>
        </w:rPr>
        <w:t>If a criminal act covered by this policy results in the destruction, alteration, or corruption of your financial records, we will pay the reasonable costs of reconstituting those records to the extent necessary to determine the nature and extent of the loss.</w:t>
      </w:r>
    </w:p>
    <w:p>
      <w:bookmarkStart w:id="43" w:name="c_cr_ext_credit_monitoring_for_affected_"/>
      <w:r>
        <w:rPr>
          <w:rFonts w:ascii="Georgia" w:hAnsi="Georgia" w:eastAsia="Georgia"/>
          <w:b/>
          <w:i w:val="0"/>
          <w:color w:val="2E5C4E"/>
          <w:sz w:val="25"/>
        </w:rPr>
        <w:t>Credit Monitoring for Affected Persons</w:t>
      </w:r>
      <w:bookmarkEnd w:id="43"/>
    </w:p>
    <w:p>
      <w:r>
        <w:rPr>
          <w:b w:val="0"/>
          <w:i w:val="0"/>
        </w:rPr>
        <w:t xml:space="preserve">If a criminal act covered under </w:t>
      </w:r>
      <w:hyperlink w:anchor="c_cr_cover_employee_dishonesty">
        <w:r>
          <w:rPr>
            <w:color w:val="2E5C4E"/>
            <w:u w:val="single"/>
          </w:rPr>
          <w:t xml:space="preserve">the Employee Dishonesty clause</w:t>
        </w:r>
      </w:hyperlink>
      <w:r>
        <w:rPr>
          <w:b w:val="0"/>
          <w:i w:val="0"/>
        </w:rPr>
        <w:t xml:space="preserve"> or </w:t>
      </w:r>
      <w:hyperlink w:anchor="c_cr_cover_computer_crime">
        <w:r>
          <w:rPr>
            <w:color w:val="2E5C4E"/>
            <w:u w:val="single"/>
          </w:rPr>
          <w:t xml:space="preserve">the Computer Crime clause</w:t>
        </w:r>
      </w:hyperlink>
      <w:r>
        <w:rPr>
          <w:b w:val="0"/>
          <w:i w:val="0"/>
        </w:rPr>
        <w:t xml:space="preserve"> involves the theft of personal information of your customers, employees, or other persons, and you provide credit monitoring or identity theft protection services to those persons, we will contribute to the reasonable costs.</w:t>
      </w:r>
    </w:p>
    <w:p>
      <w:bookmarkStart w:id="44" w:name="c_cr_ext_third_party_service_provider_di"/>
      <w:r>
        <w:rPr>
          <w:rFonts w:ascii="Georgia" w:hAnsi="Georgia" w:eastAsia="Georgia"/>
          <w:b/>
          <w:i w:val="0"/>
          <w:color w:val="2E5C4E"/>
          <w:sz w:val="25"/>
        </w:rPr>
        <w:t>Third-Party Service Provider Dishonesty</w:t>
      </w:r>
      <w:bookmarkEnd w:id="44"/>
    </w:p>
    <w:p>
      <w:r>
        <w:rPr>
          <w:b w:val="0"/>
          <w:i w:val="0"/>
        </w:rPr>
        <w:t>We will cover loss caused by a dishonest or fraudulent act committed by an employee of a third-party service provider while performing services for you under a written contract — provided the act is committed with manifest intent and directed at you. This extension does not apply to losses caused by general negligence, incompetence, or breach of contract by the third-party service provider.</w:t>
      </w:r>
    </w:p>
    <w:p>
      <w:bookmarkStart w:id="45" w:name="c_cr_ext_clients_property"/>
      <w:r>
        <w:rPr>
          <w:rFonts w:ascii="Georgia" w:hAnsi="Georgia" w:eastAsia="Georgia"/>
          <w:b/>
          <w:i w:val="0"/>
          <w:color w:val="2E5C4E"/>
          <w:sz w:val="25"/>
        </w:rPr>
        <w:t>Client's Property</w:t>
      </w:r>
      <w:bookmarkEnd w:id="45"/>
    </w:p>
    <w:p>
      <w:r>
        <w:rPr>
          <w:b w:val="0"/>
          <w:i w:val="0"/>
        </w:rPr>
        <w:t>We will cover loss of money, securities, or property belonging to your clients that is in your care, custody, or control, caused by a criminal act covered by this policy — to the extent you are legally liable to the client for the loss.</w:t>
      </w:r>
    </w:p>
    <w:p>
      <w:r>
        <w:rPr>
          <w:b w:val="0"/>
          <w:i w:val="0"/>
        </w:rPr>
        <w:t>*This extension is liability-triggered: it responds only where, and to the extent that, you are legally liable to the client — not simply because the property was in your care, custody, or control. A broader Care, Custody and Control extension that responds independently of proven legal liability is not included in this policy and, if required, must be arranged by endorsement.*</w:t>
      </w:r>
    </w:p>
    <w:p>
      <w:bookmarkStart w:id="46" w:name="c_cr_ext_newly_acquired_subsidiaries"/>
      <w:r>
        <w:rPr>
          <w:rFonts w:ascii="Georgia" w:hAnsi="Georgia" w:eastAsia="Georgia"/>
          <w:b/>
          <w:i w:val="0"/>
          <w:color w:val="2E5C4E"/>
          <w:sz w:val="25"/>
        </w:rPr>
        <w:t>Newly Acquired Subsidiaries</w:t>
      </w:r>
      <w:bookmarkEnd w:id="46"/>
    </w:p>
    <w:p>
      <w:r>
        <w:rPr>
          <w:b w:val="0"/>
          <w:i w:val="0"/>
        </w:rPr>
        <w:t>We automatically cover an entity that the named insured acquires or forms during the policy period and that becomes a subsidiary, from the date it becomes a subsidiary, for 90 days, if:</w:t>
      </w:r>
    </w:p>
    <w:p>
      <w:pPr>
        <w:pStyle w:val="ListBullet"/>
      </w:pPr>
      <w:r>
        <w:rPr>
          <w:b w:val="0"/>
          <w:i w:val="0"/>
        </w:rPr>
        <w:t>its total assets do not exceed 25% of the named insured's consolidated total assets at that date; and</w:t>
      </w:r>
    </w:p>
    <w:p>
      <w:pPr>
        <w:pStyle w:val="ListBullet"/>
      </w:pPr>
      <w:r>
        <w:rPr>
          <w:b w:val="0"/>
          <w:i w:val="0"/>
        </w:rPr>
        <w:t>the named insured tells us about it in writing within the 90 days.</w:t>
      </w:r>
    </w:p>
    <w:p>
      <w:r>
        <w:rPr>
          <w:b w:val="0"/>
          <w:i w:val="0"/>
        </w:rPr>
        <w:t>We cover only a loss from a criminal act that first occurs on or after the date the entity became a subsidiary. For that entity, the retroactive date is the date it became a subsidiary. We do not cover a criminal act that occurred before that date, even if you discover the loss during the policy period.</w:t>
      </w:r>
    </w:p>
    <w:p>
      <w:r>
        <w:rPr>
          <w:b w:val="0"/>
          <w:i w:val="0"/>
        </w:rPr>
        <w:t>After the 90 days, the entity is covered only if we agree in writing, and we may charge an additional premium and set terms. If we do not agree, cover for the entity ends at the end of the 90 days. A loss from a criminal act that occurred during the 90 days remains covered, if you discover it during the policy period.</w:t>
      </w:r>
    </w:p>
    <w:p>
      <w:r>
        <w:rPr>
          <w:b w:val="0"/>
          <w:i w:val="0"/>
        </w:rPr>
        <w:t>An entity above the asset limit is covered only if we agree in writing before the 90 days end.</w:t>
      </w:r>
    </w:p>
    <w:p>
      <w:bookmarkStart w:id="47" w:name="c_cr_ext_telephone_and_communications_fr"/>
      <w:r>
        <w:rPr>
          <w:rFonts w:ascii="Georgia" w:hAnsi="Georgia" w:eastAsia="Georgia"/>
          <w:b/>
          <w:i w:val="0"/>
          <w:color w:val="2E5C4E"/>
          <w:sz w:val="25"/>
        </w:rPr>
        <w:t>Telephone and Communications Fraud</w:t>
      </w:r>
      <w:bookmarkEnd w:id="47"/>
    </w:p>
    <w:p>
      <w:r>
        <w:rPr>
          <w:b w:val="0"/>
          <w:i w:val="0"/>
        </w:rPr>
        <w:t>We will cover your loss of telephone charges or communication service charges caused by the unauthorised use of your telephone system, PBX, voicemail, or communication network by a third party.</w:t>
      </w:r>
    </w:p>
    <w:p>
      <w:bookmarkStart w:id="48" w:name="c_cr_ext_reward"/>
      <w:r>
        <w:rPr>
          <w:rFonts w:ascii="Georgia" w:hAnsi="Georgia" w:eastAsia="Georgia"/>
          <w:b/>
          <w:i w:val="0"/>
          <w:color w:val="2E5C4E"/>
          <w:sz w:val="25"/>
        </w:rPr>
        <w:t>Reward</w:t>
      </w:r>
      <w:bookmarkEnd w:id="48"/>
    </w:p>
    <w:p>
      <w:r>
        <w:rPr>
          <w:b w:val="0"/>
          <w:i w:val="0"/>
        </w:rPr>
        <w:t>We will pay a reward offered with our prior consent for information leading to the arrest and conviction of any person responsible for a loss covered by this policy.</w:t>
      </w:r>
    </w:p>
    <w:p>
      <w:bookmarkStart w:id="49" w:name="c_cr_section_exclusions"/>
      <w:r>
        <w:rPr>
          <w:rFonts w:ascii="Georgia" w:hAnsi="Georgia" w:eastAsia="Georgia"/>
          <w:b/>
          <w:i w:val="0"/>
          <w:color w:val="1C1915"/>
          <w:sz w:val="32"/>
        </w:rPr>
        <w:t>What Is Not Covered</w:t>
      </w:r>
      <w:bookmarkEnd w:id="49"/>
    </w:p>
    <w:p>
      <w:r>
        <w:rPr>
          <w:b w:val="0"/>
          <w:i w:val="0"/>
        </w:rPr>
        <w:t>We do not cover loss arising from, or any cost relating to, the matters in this section.</w:t>
      </w:r>
    </w:p>
    <w:p>
      <w:bookmarkStart w:id="50" w:name="c_cr_excl_indirect_and_consequential_los"/>
      <w:r>
        <w:rPr>
          <w:rFonts w:ascii="Georgia" w:hAnsi="Georgia" w:eastAsia="Georgia"/>
          <w:b/>
          <w:i w:val="0"/>
          <w:color w:val="2E5C4E"/>
          <w:sz w:val="25"/>
        </w:rPr>
        <w:t>Indirect and Consequential Loss</w:t>
      </w:r>
      <w:bookmarkEnd w:id="50"/>
    </w:p>
    <w:p>
      <w:r>
        <w:rPr>
          <w:b w:val="0"/>
          <w:i w:val="0"/>
        </w:rPr>
        <w:t>Any loss other than direct financial loss — including loss of income, profit, business opportunity, interest, goodwill, or market value.</w:t>
      </w:r>
    </w:p>
    <w:p>
      <w:bookmarkStart w:id="51" w:name="c_cr_excl_trading_and_investment_losses"/>
      <w:r>
        <w:rPr>
          <w:rFonts w:ascii="Georgia" w:hAnsi="Georgia" w:eastAsia="Georgia"/>
          <w:b/>
          <w:i w:val="0"/>
          <w:color w:val="2E5C4E"/>
          <w:sz w:val="25"/>
        </w:rPr>
        <w:t>Trading and Investment Losses</w:t>
      </w:r>
      <w:bookmarkEnd w:id="51"/>
    </w:p>
    <w:p>
      <w:r>
        <w:rPr>
          <w:b w:val="0"/>
          <w:i w:val="0"/>
        </w:rPr>
        <w:t xml:space="preserve">Loss arising from trading in shares, securities, commodities, currencies, derivatives, or other financial instruments — whether authorised or unauthorised — except to the extent the trading was conducted by an employee with manifest intent and the loss is covered under </w:t>
      </w:r>
      <w:hyperlink w:anchor="c_cr_cover_employee_dishonesty">
        <w:r>
          <w:rPr>
            <w:color w:val="2E5C4E"/>
            <w:u w:val="single"/>
          </w:rPr>
          <w:t xml:space="preserve">the Employee Dishonesty clause</w:t>
        </w:r>
      </w:hyperlink>
      <w:r>
        <w:rPr>
          <w:b w:val="0"/>
          <w:i w:val="0"/>
        </w:rPr>
        <w:t>.</w:t>
      </w:r>
    </w:p>
    <w:p>
      <w:bookmarkStart w:id="52" w:name="c_cr_excl_inventory_shortages_unexplaine"/>
      <w:r>
        <w:rPr>
          <w:rFonts w:ascii="Georgia" w:hAnsi="Georgia" w:eastAsia="Georgia"/>
          <w:b/>
          <w:i w:val="0"/>
          <w:color w:val="2E5C4E"/>
          <w:sz w:val="25"/>
        </w:rPr>
        <w:t>Inventory Shortages — Unexplained</w:t>
      </w:r>
      <w:bookmarkEnd w:id="52"/>
    </w:p>
    <w:p>
      <w:r>
        <w:rPr>
          <w:b w:val="0"/>
          <w:i w:val="0"/>
        </w:rPr>
        <w:t xml:space="preserve">Loss consisting of unexplained shortages in inventory, stock, or accounts that cannot be attributed to a specific criminal act. General stock shrinkage or bookkeeping errors are not covered. However, inventory shortages that are demonstrated by forensic investigation to result from employee theft are covered under </w:t>
      </w:r>
      <w:hyperlink w:anchor="c_cr_cover_employee_dishonesty">
        <w:r>
          <w:rPr>
            <w:color w:val="2E5C4E"/>
            <w:u w:val="single"/>
          </w:rPr>
          <w:t xml:space="preserve">the Employee Dishonesty clause</w:t>
        </w:r>
      </w:hyperlink>
      <w:r>
        <w:rPr>
          <w:b w:val="0"/>
          <w:i w:val="0"/>
        </w:rPr>
        <w:t>.</w:t>
      </w:r>
    </w:p>
    <w:p>
      <w:bookmarkStart w:id="53" w:name="c_cr_excl_prior_discovery"/>
      <w:r>
        <w:rPr>
          <w:rFonts w:ascii="Georgia" w:hAnsi="Georgia" w:eastAsia="Georgia"/>
          <w:b/>
          <w:i w:val="0"/>
          <w:color w:val="2E5C4E"/>
          <w:sz w:val="25"/>
        </w:rPr>
        <w:t>Prior Discovery</w:t>
      </w:r>
      <w:bookmarkEnd w:id="53"/>
    </w:p>
    <w:p>
      <w:r>
        <w:rPr>
          <w:b w:val="0"/>
          <w:i w:val="0"/>
        </w:rPr>
        <w:t>Any loss that was discovered, or ought reasonably to have been discovered, before the start of the policy period, or that was notified or should have been notified under any prior insurance policy.</w:t>
      </w:r>
    </w:p>
    <w:p>
      <w:bookmarkStart w:id="54" w:name="c_cr_excl_losses_before_the_retroactive_"/>
      <w:r>
        <w:rPr>
          <w:rFonts w:ascii="Georgia" w:hAnsi="Georgia" w:eastAsia="Georgia"/>
          <w:b/>
          <w:i w:val="0"/>
          <w:color w:val="2E5C4E"/>
          <w:sz w:val="25"/>
        </w:rPr>
        <w:t>Losses Before the Retroactive Date</w:t>
      </w:r>
      <w:bookmarkEnd w:id="54"/>
    </w:p>
    <w:p>
      <w:r>
        <w:rPr>
          <w:b w:val="0"/>
          <w:i w:val="0"/>
        </w:rPr>
        <w:t>Any loss arising from a criminal act that first occurred before the retroactive date.</w:t>
      </w:r>
    </w:p>
    <w:p>
      <w:bookmarkStart w:id="55" w:name="c_cr_excl_directors_and_officers_dishone"/>
      <w:r>
        <w:rPr>
          <w:rFonts w:ascii="Georgia" w:hAnsi="Georgia" w:eastAsia="Georgia"/>
          <w:b/>
          <w:i w:val="0"/>
          <w:color w:val="2E5C4E"/>
          <w:sz w:val="25"/>
        </w:rPr>
        <w:t>Directors' and Officers' Dishonesty</w:t>
      </w:r>
      <w:bookmarkEnd w:id="55"/>
    </w:p>
    <w:p>
      <w:r>
        <w:rPr>
          <w:b w:val="0"/>
          <w:i w:val="0"/>
        </w:rPr>
        <w:t>A dishonest act committed by a director, officer, or partner of yours who is also a beneficial owner of more than 15% of the named insured's issued shares or equity — unless the act is committed in collusion with an employee and the employee's involvement is independently established.</w:t>
      </w:r>
    </w:p>
    <w:p>
      <w:bookmarkStart w:id="56" w:name="c_cr_excl_government_and_regulatory_acti"/>
      <w:r>
        <w:rPr>
          <w:rFonts w:ascii="Georgia" w:hAnsi="Georgia" w:eastAsia="Georgia"/>
          <w:b/>
          <w:i w:val="0"/>
          <w:color w:val="2E5C4E"/>
          <w:sz w:val="25"/>
        </w:rPr>
        <w:t>Government and Regulatory Action</w:t>
      </w:r>
      <w:bookmarkEnd w:id="56"/>
    </w:p>
    <w:p>
      <w:r>
        <w:rPr>
          <w:b w:val="0"/>
          <w:i w:val="0"/>
        </w:rPr>
        <w:t xml:space="preserve">Loss arising from a fine, penalty, tax, levy, or confiscation order imposed by any government or regulatory body — except forensic investigation and legal costs covered under </w:t>
      </w:r>
      <w:hyperlink w:anchor="c_cr_section_extensions">
        <w:r>
          <w:rPr>
            <w:color w:val="2E5C4E"/>
            <w:u w:val="single"/>
          </w:rPr>
          <w:t xml:space="preserve">the Extensions of Cover section</w:t>
        </w:r>
      </w:hyperlink>
      <w:r>
        <w:rPr>
          <w:b w:val="0"/>
          <w:i w:val="0"/>
        </w:rPr>
        <w:t>.</w:t>
      </w:r>
    </w:p>
    <w:p>
      <w:bookmarkStart w:id="57" w:name="c_cr_excl_war_terrorism_and_nuclear_risk"/>
      <w:r>
        <w:rPr>
          <w:rFonts w:ascii="Georgia" w:hAnsi="Georgia" w:eastAsia="Georgia"/>
          <w:b/>
          <w:i w:val="0"/>
          <w:color w:val="2E5C4E"/>
          <w:sz w:val="25"/>
        </w:rPr>
        <w:t>War, Terrorism, and Nuclear Risks</w:t>
      </w:r>
      <w:bookmarkEnd w:id="57"/>
    </w:p>
    <w:p>
      <w:r>
        <w:rPr>
          <w:b w:val="0"/>
          <w:i w:val="0"/>
        </w:rPr>
        <w:t>Loss arising directly or indirectly from:</w:t>
      </w:r>
    </w:p>
    <w:p>
      <w:pPr>
        <w:pStyle w:val="ListBullet"/>
      </w:pPr>
      <w:r>
        <w:rPr>
          <w:b w:val="0"/>
          <w:i w:val="0"/>
        </w:rPr>
        <w:t>war, invasion, act of foreign enemy, hostilities or warlike operations (whether war is declared or not), civil war, rebellion, revolution, insurrection, or military or usurped power;</w:t>
      </w:r>
    </w:p>
    <w:p>
      <w:pPr>
        <w:pStyle w:val="ListBullet"/>
      </w:pPr>
      <w:r>
        <w:rPr>
          <w:b w:val="0"/>
          <w:i w:val="0"/>
        </w:rPr>
        <w:t>an act of terrorism, meaning an act, or the threat of an act, that involves the use of force or violence, or harm to life, property or infrastructure, by any person or group, done or threatened for political, religious, ideological or similar purposes, including to influence a government or to put the public or any section of it in fear; or</w:t>
      </w:r>
    </w:p>
    <w:p>
      <w:pPr>
        <w:pStyle w:val="ListBullet"/>
      </w:pPr>
      <w:r>
        <w:rPr>
          <w:b w:val="0"/>
          <w:i w:val="0"/>
        </w:rPr>
        <w:t>ionising radiation or contamination by radioactivity from any nuclear fuel or nuclear waste, or the radioactive, toxic, explosive or other hazardous properties of any nuclear assembly or component.</w:t>
      </w:r>
    </w:p>
    <w:p>
      <w:r>
        <w:rPr>
          <w:b w:val="0"/>
          <w:i w:val="0"/>
        </w:rPr>
        <w:t xml:space="preserve">*Sanctions are addressed separately, not as a peril under this exclusion. See </w:t>
      </w:r>
      <w:hyperlink w:anchor="c_cr_cond_sanctions_limitation">
        <w:r>
          <w:rPr>
            <w:color w:val="2E5C4E"/>
            <w:u w:val="single"/>
          </w:rPr>
          <w:t xml:space="preserve">the Sanctions Limitation condition</w:t>
        </w:r>
      </w:hyperlink>
      <w:r>
        <w:rPr>
          <w:b w:val="0"/>
          <w:i w:val="0"/>
        </w:rPr>
        <w:t>.*</w:t>
      </w:r>
    </w:p>
    <w:p>
      <w:bookmarkStart w:id="58" w:name="c_cr_excl_contractual_penalties"/>
      <w:r>
        <w:rPr>
          <w:rFonts w:ascii="Georgia" w:hAnsi="Georgia" w:eastAsia="Georgia"/>
          <w:b/>
          <w:i w:val="0"/>
          <w:color w:val="2E5C4E"/>
          <w:sz w:val="25"/>
        </w:rPr>
        <w:t>Contractual Penalties</w:t>
      </w:r>
      <w:bookmarkEnd w:id="58"/>
    </w:p>
    <w:p>
      <w:r>
        <w:rPr>
          <w:b w:val="0"/>
          <w:i w:val="0"/>
        </w:rPr>
        <w:t>Loss consisting of contractual penalties, liquidated damages, late delivery charges, or similar amounts that you owe under a contract — as distinct from the direct financial loss caused by a criminal act.</w:t>
      </w:r>
    </w:p>
    <w:p>
      <w:bookmarkStart w:id="59" w:name="c_cr_excl_fees_and_commissions"/>
      <w:r>
        <w:rPr>
          <w:rFonts w:ascii="Georgia" w:hAnsi="Georgia" w:eastAsia="Georgia"/>
          <w:b/>
          <w:i w:val="0"/>
          <w:color w:val="2E5C4E"/>
          <w:sz w:val="25"/>
        </w:rPr>
        <w:t>Fees and Commissions</w:t>
      </w:r>
      <w:bookmarkEnd w:id="59"/>
    </w:p>
    <w:p>
      <w:r>
        <w:rPr>
          <w:b w:val="0"/>
          <w:i w:val="0"/>
        </w:rPr>
        <w:t>Loss of fees, commissions, or revenue that you would have earned but for the criminal act. We cover what was taken, not what was lost.</w:t>
      </w:r>
    </w:p>
    <w:p>
      <w:bookmarkStart w:id="60" w:name="c_cr_excl_legal_liability_to_third_parti"/>
      <w:r>
        <w:rPr>
          <w:rFonts w:ascii="Georgia" w:hAnsi="Georgia" w:eastAsia="Georgia"/>
          <w:b/>
          <w:i w:val="0"/>
          <w:color w:val="2E5C4E"/>
          <w:sz w:val="25"/>
        </w:rPr>
        <w:t>Legal Liability to Third Parties</w:t>
      </w:r>
      <w:bookmarkEnd w:id="60"/>
    </w:p>
    <w:p>
      <w:r>
        <w:rPr>
          <w:b w:val="0"/>
          <w:i w:val="0"/>
        </w:rPr>
        <w:t xml:space="preserve">Your legal liability to third parties for damages, compensation, or defence costs arising from a criminal act — except as specifically covered under </w:t>
      </w:r>
      <w:hyperlink w:anchor="c_cr_ext_clients_property">
        <w:r>
          <w:rPr>
            <w:color w:val="2E5C4E"/>
            <w:u w:val="single"/>
          </w:rPr>
          <w:t xml:space="preserve">the Client's Property extension</w:t>
        </w:r>
      </w:hyperlink>
      <w:r>
        <w:rPr>
          <w:b w:val="0"/>
          <w:i w:val="0"/>
        </w:rPr>
        <w:t>.</w:t>
      </w:r>
    </w:p>
    <w:p>
      <w:bookmarkStart w:id="61" w:name="c_cr_section_payment"/>
      <w:r>
        <w:rPr>
          <w:rFonts w:ascii="Georgia" w:hAnsi="Georgia" w:eastAsia="Georgia"/>
          <w:b/>
          <w:i w:val="0"/>
          <w:color w:val="1C1915"/>
          <w:sz w:val="32"/>
        </w:rPr>
        <w:t>How Much We Will Pay</w:t>
      </w:r>
      <w:bookmarkEnd w:id="61"/>
    </w:p>
    <w:p>
      <w:r>
        <w:rPr>
          <w:b w:val="0"/>
          <w:i w:val="0"/>
        </w:rPr>
        <w:t>This section sets out the limits, the excess and how we calculate what we pay.</w:t>
      </w:r>
    </w:p>
    <w:p>
      <w:bookmarkStart w:id="62" w:name="c_cr_pay_limits_per_loss_and_aggregate"/>
      <w:r>
        <w:rPr>
          <w:rFonts w:ascii="Georgia" w:hAnsi="Georgia" w:eastAsia="Georgia"/>
          <w:b/>
          <w:i w:val="0"/>
          <w:color w:val="2E5C4E"/>
          <w:sz w:val="25"/>
        </w:rPr>
        <w:t>Limits Per Loss and Aggregate</w:t>
      </w:r>
      <w:bookmarkEnd w:id="62"/>
    </w:p>
    <w:p>
      <w:r>
        <w:rPr>
          <w:b w:val="0"/>
          <w:i w:val="0"/>
        </w:rPr>
        <w:t xml:space="preserve">Each Insuring Clause has its own per-loss limit and aggregate limit as shown in the schedule (Item 4). Where the schedule also shows an overall aggregate limit, that overall aggregate is a single shared cap across all Insuring Clauses: it is eroded by, and erodes concurrently with, every payment we make under any Insuring Clause. Our total liability under this policy for the policy period will not exceed the lower of (a) the sum of the applicable per-clause aggregates for the losses claimed, and (b) the overall aggregate. Sub-limited Extensions in </w:t>
      </w:r>
      <w:hyperlink w:anchor="c_cr_section_extensions">
        <w:r>
          <w:rPr>
            <w:color w:val="2E5C4E"/>
            <w:u w:val="single"/>
          </w:rPr>
          <w:t xml:space="preserve">the Extensions of Cover section</w:t>
        </w:r>
      </w:hyperlink>
      <w:r>
        <w:rPr>
          <w:b w:val="0"/>
          <w:i w:val="0"/>
        </w:rPr>
        <w:t xml:space="preserve"> are payable within, and do not increase, the per-clause aggregate of the Insuring Clause to which the Extension relates, unless the schedule states that an Extension carries its own separate additional limit.</w:t>
      </w:r>
    </w:p>
    <w:p>
      <w:bookmarkStart w:id="63" w:name="c_cr_pay_single_loss"/>
      <w:r>
        <w:rPr>
          <w:rFonts w:ascii="Georgia" w:hAnsi="Georgia" w:eastAsia="Georgia"/>
          <w:b/>
          <w:i w:val="0"/>
          <w:color w:val="2E5C4E"/>
          <w:sz w:val="25"/>
        </w:rPr>
        <w:t>Single Loss</w:t>
      </w:r>
      <w:bookmarkEnd w:id="63"/>
    </w:p>
    <w:p>
      <w:r>
        <w:rPr>
          <w:b/>
          <w:i w:val="0"/>
        </w:rPr>
        <w:t>Single loss</w:t>
      </w:r>
      <w:r>
        <w:rPr>
          <w:b w:val="0"/>
          <w:i w:val="0"/>
        </w:rPr>
        <w:t xml:space="preserve"> means all individual losses arising from the same criminal act, or from a series of the same, similar, or related criminal acts, by the same person or group of persons acting together (whether acting alone or in collusion, and whether or not every person involved is identified), and is treated as one loss for the purposes of the limit and excess under the Insuring Clause(s) it falls within.</w:t>
      </w:r>
    </w:p>
    <w:p>
      <w:r>
        <w:rPr>
          <w:b w:val="0"/>
          <w:i w:val="0"/>
        </w:rPr>
        <w:t xml:space="preserve">Where a single loss would otherwise be discovered in, or would otherwise span, two or more consecutive policy periods issued by us to you, it is treated as occurring in, and is subject to the limit, excess, and terms of, the policy period in which it is first discovered under </w:t>
      </w:r>
      <w:hyperlink w:anchor="c_cr_cond_discovery_trigger">
        <w:r>
          <w:rPr>
            <w:color w:val="2E5C4E"/>
            <w:u w:val="single"/>
          </w:rPr>
          <w:t xml:space="preserve">the Discovery Trigger condition</w:t>
        </w:r>
      </w:hyperlink>
      <w:r>
        <w:rPr>
          <w:b w:val="0"/>
          <w:i w:val="0"/>
        </w:rPr>
        <w:t xml:space="preserve"> — even if the criminal acts making up the single loss continue, or further amounts are discovered, in a later policy period. This clause is subject to </w:t>
      </w:r>
      <w:hyperlink w:anchor="c_cr_cond_prior_insurance_and_superseded">
        <w:r>
          <w:rPr>
            <w:color w:val="2E5C4E"/>
            <w:u w:val="single"/>
          </w:rPr>
          <w:t xml:space="preserve">the Prior Insurance and Superseded Policies condition</w:t>
        </w:r>
      </w:hyperlink>
      <w:r>
        <w:rPr>
          <w:b w:val="0"/>
          <w:i w:val="0"/>
        </w:rPr>
        <w:t xml:space="preserve"> where the loss began under a genuinely separate, expired prior policy.</w:t>
      </w:r>
    </w:p>
    <w:p>
      <w:bookmarkStart w:id="64" w:name="c_cr_pay_excess"/>
      <w:r>
        <w:rPr>
          <w:rFonts w:ascii="Georgia" w:hAnsi="Georgia" w:eastAsia="Georgia"/>
          <w:b/>
          <w:i w:val="0"/>
          <w:color w:val="2E5C4E"/>
          <w:sz w:val="25"/>
        </w:rPr>
        <w:t>Excess</w:t>
      </w:r>
      <w:bookmarkEnd w:id="64"/>
    </w:p>
    <w:p>
      <w:r>
        <w:rPr>
          <w:b w:val="0"/>
          <w:i w:val="0"/>
        </w:rPr>
        <w:t xml:space="preserve">You must pay the excess shown in the schedule (Item 5) for each loss. The excess may differ by Insuring Clause. Where </w:t>
      </w:r>
      <w:hyperlink w:anchor="c_cr_pay_multiple_insuring_clauses">
        <w:r>
          <w:rPr>
            <w:color w:val="2E5C4E"/>
            <w:u w:val="single"/>
          </w:rPr>
          <w:t xml:space="preserve">the Multiple Insuring Clauses provision</w:t>
        </w:r>
      </w:hyperlink>
      <w:r>
        <w:rPr>
          <w:b w:val="0"/>
          <w:i w:val="0"/>
        </w:rPr>
        <w:t xml:space="preserve"> applies, only the excess applicable to the Insuring Clause under which we pay applies to that loss.</w:t>
      </w:r>
    </w:p>
    <w:p>
      <w:bookmarkStart w:id="65" w:name="c_cr_pay_valuation_money_and_securities"/>
      <w:r>
        <w:rPr>
          <w:rFonts w:ascii="Georgia" w:hAnsi="Georgia" w:eastAsia="Georgia"/>
          <w:b/>
          <w:i w:val="0"/>
          <w:color w:val="2E5C4E"/>
          <w:sz w:val="25"/>
        </w:rPr>
        <w:t>Valuation — Money and Securities</w:t>
      </w:r>
      <w:bookmarkEnd w:id="65"/>
    </w:p>
    <w:p>
      <w:r>
        <w:rPr>
          <w:b w:val="0"/>
          <w:i w:val="0"/>
        </w:rPr>
        <w:t>Where this policy pays for the loss of money or securities: (a) securities are valued at their market value as at the date of Discovery, or, at our election, we may instead pay the reasonable cost of a replacement in kind, or arrange a bond of indemnity — whichever we determine most appropriate for the security in question; (b) foreign-currency money is converted to Australian dollars at the exchange rate published by the Reserve Bank of Australia (or, if no rate is published for that currency, a comparable published rate we reasonably nominate) applying on the date of Discovery; and (c) where a security or currency has no readily ascertainable market value on the date of Discovery, we will determine its value using the most recent published value before that date, adjusted as reasonably necessary to reflect known intervening events.</w:t>
      </w:r>
    </w:p>
    <w:p>
      <w:bookmarkStart w:id="66" w:name="c_cr_pay_multiple_insuring_clauses"/>
      <w:r>
        <w:rPr>
          <w:rFonts w:ascii="Georgia" w:hAnsi="Georgia" w:eastAsia="Georgia"/>
          <w:b/>
          <w:i w:val="0"/>
          <w:color w:val="2E5C4E"/>
          <w:sz w:val="25"/>
        </w:rPr>
        <w:t>Multiple Insuring Clauses</w:t>
      </w:r>
      <w:bookmarkEnd w:id="66"/>
    </w:p>
    <w:p>
      <w:r>
        <w:rPr>
          <w:b w:val="0"/>
          <w:i w:val="0"/>
        </w:rPr>
        <w:t>If a single loss falls within more than one Insuring Clause, cover applies under the Insuring Clause that carries the highest applicable per-loss limit for that loss. Only one excess applies — the excess applicable to the Insuring Clause under which we pay. Amounts are not aggregated, and the loss is not paid more than once, across Insuring Clauses for the same loss.</w:t>
      </w:r>
    </w:p>
    <w:p>
      <w:bookmarkStart w:id="67" w:name="c_cr_pay_recoveries"/>
      <w:r>
        <w:rPr>
          <w:rFonts w:ascii="Georgia" w:hAnsi="Georgia" w:eastAsia="Georgia"/>
          <w:b/>
          <w:i w:val="0"/>
          <w:color w:val="2E5C4E"/>
          <w:sz w:val="25"/>
        </w:rPr>
        <w:t>Recoveries</w:t>
      </w:r>
      <w:bookmarkEnd w:id="67"/>
    </w:p>
    <w:p>
      <w:r>
        <w:rPr>
          <w:b w:val="0"/>
          <w:i w:val="0"/>
        </w:rPr>
        <w:t>If we pay a loss and you later recover any amount from the perpetrator or any third party: (a) the recovery is first applied to reduce your uninsured loss (amounts you bore, including the excess and any amount above the limit); (b) the remainder is applied to reimburse us for our payment.</w:t>
      </w:r>
    </w:p>
    <w:p>
      <w:bookmarkStart w:id="68" w:name="c_cr_pay_other_insurance"/>
      <w:r>
        <w:rPr>
          <w:rFonts w:ascii="Georgia" w:hAnsi="Georgia" w:eastAsia="Georgia"/>
          <w:b/>
          <w:i w:val="0"/>
          <w:color w:val="2E5C4E"/>
          <w:sz w:val="25"/>
        </w:rPr>
        <w:t>Other Insurance</w:t>
      </w:r>
      <w:bookmarkEnd w:id="68"/>
    </w:p>
    <w:p>
      <w:r>
        <w:rPr>
          <w:b w:val="0"/>
          <w:i w:val="0"/>
        </w:rPr>
        <w:t>If a loss covered by this policy is also covered by another insurance policy, we will not refuse or reduce our payment because of that other insurance. We may seek contribution from the other insurer as the law allows. This does not apply where the schedule or an endorsement states that this policy is excess of a specified underlying policy, in which case this policy pays only after the limit of that specified policy is exhausted. The crime priority rule below is the one other exception.</w:t>
      </w:r>
    </w:p>
    <w:p>
      <w:r>
        <w:rPr>
          <w:b/>
          <w:i w:val="0"/>
        </w:rPr>
        <w:t>Crime priority rule.</w:t>
      </w:r>
      <w:r>
        <w:rPr>
          <w:b w:val="0"/>
          <w:i w:val="0"/>
        </w:rPr>
        <w:t xml:space="preserve"> Crime insurance is primary for loss of money, securities or property through social engineering fraud or funds transfer fraud, including computer-enabled theft of them (see </w:t>
      </w:r>
      <w:hyperlink w:anchor="c_cr_cover_social_engineering_fraud">
        <w:r>
          <w:rPr>
            <w:color w:val="2E5C4E"/>
            <w:u w:val="single"/>
          </w:rPr>
          <w:t xml:space="preserve">the Social Engineering Fraud clause</w:t>
        </w:r>
      </w:hyperlink>
      <w:r>
        <w:rPr>
          <w:b w:val="0"/>
          <w:i w:val="0"/>
        </w:rPr>
        <w:t xml:space="preserve">, </w:t>
      </w:r>
      <w:hyperlink w:anchor="c_cr_cover_funds_transfer_fraud">
        <w:r>
          <w:rPr>
            <w:color w:val="2E5C4E"/>
            <w:u w:val="single"/>
          </w:rPr>
          <w:t xml:space="preserve">the Funds Transfer Fraud clause</w:t>
        </w:r>
      </w:hyperlink>
      <w:r>
        <w:rPr>
          <w:b w:val="0"/>
          <w:i w:val="0"/>
        </w:rPr>
        <w:t xml:space="preserve"> and </w:t>
      </w:r>
      <w:hyperlink w:anchor="c_cr_cover_computer_crime">
        <w:r>
          <w:rPr>
            <w:color w:val="2E5C4E"/>
            <w:u w:val="single"/>
          </w:rPr>
          <w:t xml:space="preserve">the Computer Crime clause</w:t>
        </w:r>
      </w:hyperlink>
      <w:r>
        <w:rPr>
          <w:b w:val="0"/>
          <w:i w:val="0"/>
        </w:rPr>
        <w:t>). Where such a loss is also covered, or purportedly covered, under a cyber policy you hold, this policy pays first, whatever the cyber policy says about being excess to or contributing with this policy. The cyber policy then pays only the part of the loss above what this policy pays, up to the limit and sub-limit of the cyber policy. This applies whether or not we wrote the cyber policy. If the cyber policy also states that it is excess, we and the cyber insurer share the loss in proportion to our respective limits. This rule does not apply to a cyber policy that is written to attach in excess of this policy, such as a dedicated excess or difference-in-conditions layer.</w:t>
      </w:r>
    </w:p>
    <w:p>
      <w:r>
        <w:rPr>
          <w:b w:val="0"/>
          <w:i w:val="0"/>
        </w:rPr>
        <w:t>[WP REVIEW: check the crime priority rule against s.45 of the Insurance Contracts Act 1984 (Cth), and confirm that the same rule appears in the Cyber wording.]</w:t>
      </w:r>
    </w:p>
    <w:p>
      <w:bookmarkStart w:id="69" w:name="c_cr_section_obligations"/>
      <w:r>
        <w:rPr>
          <w:rFonts w:ascii="Georgia" w:hAnsi="Georgia" w:eastAsia="Georgia"/>
          <w:b/>
          <w:i w:val="0"/>
          <w:color w:val="1C1915"/>
          <w:sz w:val="32"/>
        </w:rPr>
        <w:t>Your Obligations</w:t>
      </w:r>
      <w:bookmarkEnd w:id="69"/>
    </w:p>
    <w:p>
      <w:r>
        <w:rPr>
          <w:b w:val="0"/>
          <w:i w:val="0"/>
        </w:rPr>
        <w:t>You must comply with the obligations in this section. They are subject to the Insurance Contracts Act 1984 (Cth) as the general condition on that Act states.</w:t>
      </w:r>
    </w:p>
    <w:p>
      <w:bookmarkStart w:id="70" w:name="c_cr_obl_notify_us_promptly"/>
      <w:r>
        <w:rPr>
          <w:rFonts w:ascii="Georgia" w:hAnsi="Georgia" w:eastAsia="Georgia"/>
          <w:b/>
          <w:i w:val="0"/>
          <w:color w:val="2E5C4E"/>
          <w:sz w:val="25"/>
        </w:rPr>
        <w:t>Notify Us Promptly</w:t>
      </w:r>
      <w:bookmarkEnd w:id="70"/>
    </w:p>
    <w:p>
      <w:r>
        <w:rPr>
          <w:b w:val="0"/>
          <w:i w:val="0"/>
        </w:rPr>
        <w:t>Tell us in writing as soon as reasonably practicable after discovery of a loss. Provide: (a) the nature and circumstances of the criminal act; (b) when and how it was discovered; (c) the identity of the perpetrator (if known); (d) an estimate of the loss; and (e) details of any other insurance that might cover the loss.</w:t>
      </w:r>
    </w:p>
    <w:p>
      <w:bookmarkStart w:id="71" w:name="c_cr_obl_assist_our_investigation"/>
      <w:r>
        <w:rPr>
          <w:rFonts w:ascii="Georgia" w:hAnsi="Georgia" w:eastAsia="Georgia"/>
          <w:b/>
          <w:i w:val="0"/>
          <w:color w:val="2E5C4E"/>
          <w:sz w:val="25"/>
        </w:rPr>
        <w:t>Assist Our Investigation</w:t>
      </w:r>
      <w:bookmarkEnd w:id="71"/>
    </w:p>
    <w:p>
      <w:r>
        <w:rPr>
          <w:b w:val="0"/>
          <w:i w:val="0"/>
        </w:rPr>
        <w:t>Give us all information, documents, and access we reasonably need. Allow us to interview employees and inspect records and systems.</w:t>
      </w:r>
    </w:p>
    <w:p>
      <w:bookmarkStart w:id="72" w:name="c_cr_obl_report_to_authorities"/>
      <w:r>
        <w:rPr>
          <w:rFonts w:ascii="Georgia" w:hAnsi="Georgia" w:eastAsia="Georgia"/>
          <w:b/>
          <w:i w:val="0"/>
          <w:color w:val="2E5C4E"/>
          <w:sz w:val="25"/>
        </w:rPr>
        <w:t>Report to Authorities</w:t>
      </w:r>
      <w:bookmarkEnd w:id="72"/>
    </w:p>
    <w:p>
      <w:r>
        <w:rPr>
          <w:b w:val="0"/>
          <w:i w:val="0"/>
        </w:rPr>
        <w:t>Report the criminal act to the relevant law enforcement authorities as soon as reasonably practicable. You must cooperate with any police or regulatory investigation. We will not require you to pursue a criminal prosecution, but you must not obstruct one.</w:t>
      </w:r>
    </w:p>
    <w:p>
      <w:bookmarkStart w:id="73" w:name="c_cr_obl_mitigate"/>
      <w:r>
        <w:rPr>
          <w:rFonts w:ascii="Georgia" w:hAnsi="Georgia" w:eastAsia="Georgia"/>
          <w:b/>
          <w:i w:val="0"/>
          <w:color w:val="2E5C4E"/>
          <w:sz w:val="25"/>
        </w:rPr>
        <w:t>Mitigate</w:t>
      </w:r>
      <w:bookmarkEnd w:id="73"/>
    </w:p>
    <w:p>
      <w:r>
        <w:rPr>
          <w:b w:val="0"/>
          <w:i w:val="0"/>
        </w:rPr>
        <w:t>Take all reasonable steps to prevent further loss after discovery — including securing compromised systems, freezing accounts, and suspending the suspect's access.</w:t>
      </w:r>
    </w:p>
    <w:p>
      <w:bookmarkStart w:id="74" w:name="c_cr_obl_preserve_evidence"/>
      <w:r>
        <w:rPr>
          <w:rFonts w:ascii="Georgia" w:hAnsi="Georgia" w:eastAsia="Georgia"/>
          <w:b/>
          <w:i w:val="0"/>
          <w:color w:val="2E5C4E"/>
          <w:sz w:val="25"/>
        </w:rPr>
        <w:t>Preserve Evidence</w:t>
      </w:r>
      <w:bookmarkEnd w:id="74"/>
    </w:p>
    <w:p>
      <w:r>
        <w:rPr>
          <w:b w:val="0"/>
          <w:i w:val="0"/>
        </w:rPr>
        <w:t>Preserve all evidence relating to the criminal act. Do not destroy, alter, or dispose of relevant documents, records, or data without our consent.</w:t>
      </w:r>
    </w:p>
    <w:p>
      <w:bookmarkStart w:id="75" w:name="c_cr_obl_subrogation_and_recovery"/>
      <w:r>
        <w:rPr>
          <w:rFonts w:ascii="Georgia" w:hAnsi="Georgia" w:eastAsia="Georgia"/>
          <w:b/>
          <w:i w:val="0"/>
          <w:color w:val="2E5C4E"/>
          <w:sz w:val="25"/>
        </w:rPr>
        <w:t>Subrogation and Recovery</w:t>
      </w:r>
      <w:bookmarkEnd w:id="75"/>
    </w:p>
    <w:p>
      <w:r>
        <w:rPr>
          <w:b w:val="0"/>
          <w:i w:val="0"/>
        </w:rPr>
        <w:t>Cooperate with our efforts to recover from the perpetrator or any third party. We may take action in your name to recover amounts we have paid. Do not settle with or release the perpetrator without our written consent.</w:t>
      </w:r>
    </w:p>
    <w:p>
      <w:bookmarkStart w:id="76" w:name="c_cr_obl_proof_of_loss"/>
      <w:r>
        <w:rPr>
          <w:rFonts w:ascii="Georgia" w:hAnsi="Georgia" w:eastAsia="Georgia"/>
          <w:b/>
          <w:i w:val="0"/>
          <w:color w:val="2E5C4E"/>
          <w:sz w:val="25"/>
        </w:rPr>
        <w:t>Proof of Loss</w:t>
      </w:r>
      <w:bookmarkEnd w:id="76"/>
    </w:p>
    <w:p>
      <w:r>
        <w:rPr>
          <w:b w:val="0"/>
          <w:i w:val="0"/>
        </w:rPr>
        <w:t>Provide us with a detailed proof of loss within 120 days of discovery (or such longer period as we agree), supported by relevant financial records, forensic reports, and other evidence of the loss.</w:t>
      </w:r>
    </w:p>
    <w:p>
      <w:bookmarkStart w:id="77" w:name="c_cr_obl_maintain_controls"/>
      <w:r>
        <w:rPr>
          <w:rFonts w:ascii="Georgia" w:hAnsi="Georgia" w:eastAsia="Georgia"/>
          <w:b/>
          <w:i w:val="0"/>
          <w:color w:val="2E5C4E"/>
          <w:sz w:val="25"/>
        </w:rPr>
        <w:t>Maintain Controls</w:t>
      </w:r>
      <w:bookmarkEnd w:id="77"/>
    </w:p>
    <w:p>
      <w:r>
        <w:rPr>
          <w:b w:val="0"/>
          <w:i w:val="0"/>
        </w:rPr>
        <w:t>Maintain reasonable financial controls and internal procedures throughout the policy period, including segregation of duties, reconciliation procedures and access controls, and dual authorisation for significant payments.</w:t>
      </w:r>
    </w:p>
    <w:p>
      <w:r>
        <w:rPr>
          <w:b w:val="0"/>
          <w:i w:val="0"/>
        </w:rPr>
        <w:t xml:space="preserve">Dual authorisation and other verification steps are not a condition of cover under </w:t>
      </w:r>
      <w:hyperlink w:anchor="c_cr_cover_social_engineering_fraud">
        <w:r>
          <w:rPr>
            <w:color w:val="2E5C4E"/>
            <w:u w:val="single"/>
          </w:rPr>
          <w:t xml:space="preserve">the Social Engineering Fraud clause</w:t>
        </w:r>
      </w:hyperlink>
      <w:r>
        <w:rPr>
          <w:b w:val="0"/>
          <w:i w:val="0"/>
        </w:rPr>
        <w:t xml:space="preserve"> or </w:t>
      </w:r>
      <w:hyperlink w:anchor="c_cr_cover_funds_transfer_fraud">
        <w:r>
          <w:rPr>
            <w:color w:val="2E5C4E"/>
            <w:u w:val="single"/>
          </w:rPr>
          <w:t xml:space="preserve">the Funds Transfer Fraud clause</w:t>
        </w:r>
      </w:hyperlink>
      <w:r>
        <w:rPr>
          <w:b w:val="0"/>
          <w:i w:val="0"/>
        </w:rPr>
        <w:t xml:space="preserve">. A failure to keep them in place affects a payment only as </w:t>
      </w:r>
      <w:hyperlink w:anchor="c_cr_cover_social_engineering_fraud">
        <w:r>
          <w:rPr>
            <w:color w:val="2E5C4E"/>
            <w:u w:val="single"/>
          </w:rPr>
          <w:t xml:space="preserve">the Social Engineering Fraud clause</w:t>
        </w:r>
      </w:hyperlink>
      <w:r>
        <w:rPr>
          <w:b w:val="0"/>
          <w:i w:val="0"/>
        </w:rPr>
        <w:t xml:space="preserve"> and the endorsements for increased sub-limits say.</w:t>
      </w:r>
    </w:p>
    <w:p>
      <w:r>
        <w:rPr>
          <w:b w:val="0"/>
          <w:i w:val="0"/>
        </w:rPr>
        <w:t xml:space="preserve">*The obligations in </w:t>
      </w:r>
      <w:hyperlink w:anchor="c_cr_section_obligations">
        <w:r>
          <w:rPr>
            <w:color w:val="2E5C4E"/>
            <w:u w:val="single"/>
          </w:rPr>
          <w:t xml:space="preserve">the Your Obligations section</w:t>
        </w:r>
      </w:hyperlink>
      <w:r>
        <w:rPr>
          <w:b w:val="0"/>
          <w:i w:val="0"/>
        </w:rPr>
        <w:t xml:space="preserve"> are subject to </w:t>
      </w:r>
      <w:hyperlink w:anchor="c_cr_cond_insurance_contracts_act_1984_c">
        <w:r>
          <w:rPr>
            <w:color w:val="2E5C4E"/>
            <w:u w:val="single"/>
          </w:rPr>
          <w:t xml:space="preserve">the Insurance Contracts Act 1984 (Cth) condition</w:t>
        </w:r>
      </w:hyperlink>
      <w:r>
        <w:rPr>
          <w:b w:val="0"/>
          <w:i w:val="0"/>
        </w:rPr>
        <w:t>: we will not refuse to pay a loss by reason only of a post-contractual act or omission except to the extent section 54 of the Act permits.*</w:t>
      </w:r>
    </w:p>
    <w:p>
      <w:bookmarkStart w:id="78" w:name="c_cr_section_conditions"/>
      <w:r>
        <w:rPr>
          <w:rFonts w:ascii="Georgia" w:hAnsi="Georgia" w:eastAsia="Georgia"/>
          <w:b/>
          <w:i w:val="0"/>
          <w:color w:val="1C1915"/>
          <w:sz w:val="32"/>
        </w:rPr>
        <w:t>General Conditions</w:t>
      </w:r>
      <w:bookmarkEnd w:id="78"/>
    </w:p>
    <w:p>
      <w:r>
        <w:rPr>
          <w:b w:val="0"/>
          <w:i w:val="0"/>
        </w:rPr>
        <w:t>These conditions apply to the whole policy.</w:t>
      </w:r>
    </w:p>
    <w:p>
      <w:bookmarkStart w:id="79" w:name="c_cr_cond_discovery_trigger"/>
      <w:r>
        <w:rPr>
          <w:rFonts w:ascii="Georgia" w:hAnsi="Georgia" w:eastAsia="Georgia"/>
          <w:b/>
          <w:i w:val="0"/>
          <w:color w:val="2E5C4E"/>
          <w:sz w:val="25"/>
        </w:rPr>
        <w:t>Discovery Trigger</w:t>
      </w:r>
      <w:bookmarkEnd w:id="79"/>
    </w:p>
    <w:p>
      <w:r>
        <w:rPr>
          <w:b w:val="0"/>
          <w:i w:val="0"/>
        </w:rPr>
        <w:t>This policy operates on a discovery basis. A loss is covered if it is first discovered during the policy period, regardless of when the criminal act occurred (subject to the retroactive date).</w:t>
      </w:r>
    </w:p>
    <w:p>
      <w:bookmarkStart w:id="80" w:name="c_cr_cond_prior_insurance_and_superseded"/>
      <w:r>
        <w:rPr>
          <w:rFonts w:ascii="Georgia" w:hAnsi="Georgia" w:eastAsia="Georgia"/>
          <w:b/>
          <w:i w:val="0"/>
          <w:color w:val="2E5C4E"/>
          <w:sz w:val="25"/>
        </w:rPr>
        <w:t>Prior Insurance and Superseded Policies</w:t>
      </w:r>
      <w:bookmarkEnd w:id="80"/>
    </w:p>
    <w:p>
      <w:r>
        <w:rPr>
          <w:b w:val="0"/>
          <w:i w:val="0"/>
        </w:rPr>
        <w:t>If this policy replaces a prior crime or fidelity policy, we will cover a loss that is first discovered during this policy period — even if the criminal act occurred during the period of the prior policy — provided: (a) the prior policy has expired and no claim has been made under it for the same loss; (b) the loss would have been covered under the prior policy at the time the criminal act occurred; and (c) the loss is not excluded under this policy.</w:t>
      </w:r>
    </w:p>
    <w:p>
      <w:bookmarkStart w:id="81" w:name="c_cr_cond_discovery_period"/>
      <w:r>
        <w:rPr>
          <w:rFonts w:ascii="Georgia" w:hAnsi="Georgia" w:eastAsia="Georgia"/>
          <w:b/>
          <w:i w:val="0"/>
          <w:color w:val="2E5C4E"/>
          <w:sz w:val="25"/>
        </w:rPr>
        <w:t>Discovery Period</w:t>
      </w:r>
      <w:bookmarkEnd w:id="81"/>
    </w:p>
    <w:p>
      <w:r>
        <w:rPr>
          <w:b w:val="0"/>
          <w:i w:val="0"/>
        </w:rPr>
        <w:t>If this policy is not renewed, or is cancelled by you or by us, for any reason other than replacement by an equivalent crime policy, you have an automatic discovery period of 90 days (or such longer period as shown in the schedule) from the date of non-renewal or cancellation to notify losses arising from criminal acts that occurred before that date and that would otherwise have been covered. Extended discovery periods for a longer duration are available for additional premium, as shown in the schedule. This discovery period does not reinstate or increase the limit of liability, and losses notified during it remain subject to the limit, excess, and terms that applied immediately before non-renewal or cancellation.</w:t>
      </w:r>
    </w:p>
    <w:p>
      <w:bookmarkStart w:id="82" w:name="c_cr_cond_cancellation"/>
      <w:r>
        <w:rPr>
          <w:rFonts w:ascii="Georgia" w:hAnsi="Georgia" w:eastAsia="Georgia"/>
          <w:b/>
          <w:i w:val="0"/>
          <w:color w:val="2E5C4E"/>
          <w:sz w:val="25"/>
        </w:rPr>
        <w:t>Cancellation</w:t>
      </w:r>
      <w:bookmarkEnd w:id="82"/>
    </w:p>
    <w:p>
      <w:r>
        <w:rPr>
          <w:b/>
          <w:i w:val="0"/>
        </w:rPr>
        <w:t>You</w:t>
      </w:r>
      <w:r>
        <w:rPr>
          <w:b w:val="0"/>
          <w:i w:val="0"/>
        </w:rPr>
        <w:t xml:space="preserve"> may cancel this policy at any time by telling us. We refund the premium for the unexpired period of insurance on a pro-rata basis, less any non-refundable government charges.</w:t>
      </w:r>
    </w:p>
    <w:p>
      <w:r>
        <w:rPr>
          <w:b/>
          <w:i w:val="0"/>
        </w:rPr>
        <w:t>We</w:t>
      </w:r>
      <w:r>
        <w:rPr>
          <w:b w:val="0"/>
          <w:i w:val="0"/>
        </w:rPr>
        <w:t xml:space="preserve"> may cancel this policy only as the Insurance Contracts Act 1984 (Cth) allows, by giving you written notice as that Act requires. We refund the premium for the unexpired period on a pro-rata basis.</w:t>
      </w:r>
    </w:p>
    <w:p>
      <w:bookmarkStart w:id="83" w:name="c_cr_cond_duty_of_disclosure"/>
      <w:r>
        <w:rPr>
          <w:rFonts w:ascii="Georgia" w:hAnsi="Georgia" w:eastAsia="Georgia"/>
          <w:b/>
          <w:i w:val="0"/>
          <w:color w:val="2E5C4E"/>
          <w:sz w:val="25"/>
        </w:rPr>
        <w:t>Duty of Disclosure</w:t>
      </w:r>
      <w:bookmarkEnd w:id="83"/>
    </w:p>
    <w:p>
      <w:r>
        <w:rPr>
          <w:b w:val="0"/>
          <w:i w:val="0"/>
        </w:rPr>
        <w:t xml:space="preserve">This is a commercial (non-consumer) contract of insurance. Before entering into, varying, or renewing this policy, you have a duty under sections 21 and 21A of the Insurance Contracts Act 1984 (Cth) to disclose to us every matter that you know, or that a reasonable person in the circumstances could be expected to know, is relevant to our decision to accept the risk and on what terms. For the named insured and each subsidiary, what it knows is what a member of its control group knows (see </w:t>
      </w:r>
      <w:hyperlink w:anchor="c_cr_def_control_group">
        <w:r>
          <w:rPr>
            <w:color w:val="2E5C4E"/>
            <w:u w:val="single"/>
          </w:rPr>
          <w:t xml:space="preserve">the definition of Control group</w:t>
        </w:r>
      </w:hyperlink>
      <w:r>
        <w:rPr>
          <w:b w:val="0"/>
          <w:i w:val="0"/>
        </w:rPr>
        <w:t>).</w:t>
      </w:r>
    </w:p>
    <w:p>
      <w:r>
        <w:rPr>
          <w:b w:val="0"/>
          <w:i w:val="0"/>
        </w:rPr>
        <w:t>Each insured is the named insured or a subsidiary. Disclosure is assessed separately for each insured. The non-disclosure or misrepresentation of one insured does not affect the cover of another insured that did not know of it and was not party to it. A person who is not a member of the control group, including an employee whose dishonesty causes a loss, does not by that person's knowledge or conduct cause the non-disclosure or misrepresentation of an insured.</w:t>
      </w:r>
    </w:p>
    <w:p>
      <w:r>
        <w:rPr>
          <w:b w:val="0"/>
          <w:i w:val="0"/>
        </w:rPr>
        <w:t>If you fail to comply with this duty, we may be entitled under s 28 of the Act to reduce our liability for a claim proportionately or, in the case of fraudulent non-disclosure or misrepresentation by the insured seeking cover, to avoid the policy from inception in relation to that insured. We will not exercise the s 28(3) proportionate-reduction remedy against an insured that did not know of, and was not party to, the relevant non-disclosure or misrepresentation.</w:t>
      </w:r>
    </w:p>
    <w:p>
      <w:bookmarkStart w:id="84" w:name="c_cr_cond_insurance_contracts_act_1984_c"/>
      <w:r>
        <w:rPr>
          <w:rFonts w:ascii="Georgia" w:hAnsi="Georgia" w:eastAsia="Georgia"/>
          <w:b/>
          <w:i w:val="0"/>
          <w:color w:val="2E5C4E"/>
          <w:sz w:val="25"/>
        </w:rPr>
        <w:t>Insurance Contracts Act 1984 (Cth)</w:t>
      </w:r>
      <w:bookmarkEnd w:id="84"/>
    </w:p>
    <w:p>
      <w:r>
        <w:rPr>
          <w:b w:val="0"/>
          <w:i w:val="0"/>
        </w:rPr>
        <w:t>Nothing in this policy excludes, restricts or modifies the operation of the Insurance Contracts Act 1984 (Cth). Where this policy is inconsistent with the Act, the Act prevails.</w:t>
      </w:r>
    </w:p>
    <w:p>
      <w:r>
        <w:rPr>
          <w:b w:val="0"/>
          <w:i w:val="0"/>
        </w:rPr>
        <w:t>If this policy would otherwise let us refuse to pay a claim, in whole or in part, because of something you did or did not do after this policy was entered into, section 54 of the Act applies. We may not refuse to pay the claim only because of that act or omission. Our liability is reduced by the amount that fairly represents the extent to which our interests were prejudiced. Where the act or omission could reasonably be regarded as capable of causing or contributing to the loss, we may refuse to pay only the part of the claim that the act or omission caused or contributed to. We may not refuse any part that you prove the act or omission did not cause. This applies to every condition, exclusion, limit and obligation in this policy, not only to the claims conditions.</w:t>
      </w:r>
    </w:p>
    <w:p>
      <w:r>
        <w:rPr>
          <w:b w:val="0"/>
          <w:i w:val="0"/>
        </w:rPr>
        <w:t xml:space="preserve">*This policy operates on a discovery basis, not a claims-made basis. The circumstance-notification mechanism in s 40(3) of the Act (designed for claims-made covers) has no direct work to do here. The Discovery trigger in </w:t>
      </w:r>
      <w:hyperlink w:anchor="c_cr_cond_discovery_trigger">
        <w:r>
          <w:rPr>
            <w:color w:val="2E5C4E"/>
            <w:u w:val="single"/>
          </w:rPr>
          <w:t xml:space="preserve">the Discovery Trigger condition</w:t>
        </w:r>
      </w:hyperlink>
      <w:r>
        <w:rPr>
          <w:b w:val="0"/>
          <w:i w:val="0"/>
        </w:rPr>
        <w:t xml:space="preserve"> and the prompt-notification obligation in </w:t>
      </w:r>
      <w:hyperlink w:anchor="c_cr_obl_notify_us_promptly">
        <w:r>
          <w:rPr>
            <w:color w:val="2E5C4E"/>
            <w:u w:val="single"/>
          </w:rPr>
          <w:t xml:space="preserve">the Notify Us Promptly obligation</w:t>
        </w:r>
      </w:hyperlink>
      <w:r>
        <w:rPr>
          <w:b w:val="0"/>
          <w:i w:val="0"/>
        </w:rPr>
        <w:t xml:space="preserve"> serve the equivalent function for this policy.*</w:t>
      </w:r>
    </w:p>
    <w:p>
      <w:bookmarkStart w:id="85" w:name="c_cr_cond_governing_law"/>
      <w:r>
        <w:rPr>
          <w:rFonts w:ascii="Georgia" w:hAnsi="Georgia" w:eastAsia="Georgia"/>
          <w:b/>
          <w:i w:val="0"/>
          <w:color w:val="2E5C4E"/>
          <w:sz w:val="25"/>
        </w:rPr>
        <w:t>Governing Law</w:t>
      </w:r>
      <w:bookmarkEnd w:id="85"/>
    </w:p>
    <w:p>
      <w:r>
        <w:rPr>
          <w:b w:val="0"/>
          <w:i w:val="0"/>
        </w:rPr>
        <w:t>This policy is governed by the laws of the state or territory of Australia shown in the schedule as at the policy's inception (Item 9). The parties submit to the non-exclusive jurisdiction of the courts of that state or territory and the courts that hear appeals from them.</w:t>
      </w:r>
    </w:p>
    <w:p>
      <w:bookmarkStart w:id="86" w:name="c_cr_cond_gst"/>
      <w:r>
        <w:rPr>
          <w:rFonts w:ascii="Georgia" w:hAnsi="Georgia" w:eastAsia="Georgia"/>
          <w:b/>
          <w:i w:val="0"/>
          <w:color w:val="2E5C4E"/>
          <w:sz w:val="25"/>
        </w:rPr>
        <w:t>GST</w:t>
      </w:r>
      <w:bookmarkEnd w:id="86"/>
    </w:p>
    <w:p>
      <w:r>
        <w:rPr>
          <w:b w:val="0"/>
          <w:i w:val="0"/>
        </w:rPr>
        <w:t xml:space="preserve">Amounts payable under this policy are calculated without regard to any GST that you are entitled to recover as an input tax credit. If a payment under this policy is consideration for a taxable supply, we will pay the GST on it in addition. Under </w:t>
      </w:r>
      <w:hyperlink w:anchor="c_cr_ext_clients_property">
        <w:r>
          <w:rPr>
            <w:color w:val="2E5C4E"/>
            <w:u w:val="single"/>
          </w:rPr>
          <w:t xml:space="preserve">the Client's Property extension</w:t>
        </w:r>
      </w:hyperlink>
      <w:r>
        <w:rPr>
          <w:b w:val="0"/>
          <w:i w:val="0"/>
        </w:rPr>
        <w:t>, if you pay a client an amount that we indemnify and you incur GST on it that you cannot recover as an input tax credit, we also pay that GST.</w:t>
      </w:r>
    </w:p>
    <w:p>
      <w:r>
        <w:rPr>
          <w:b w:val="0"/>
          <w:i w:val="0"/>
        </w:rPr>
        <w:t>[WP REVIEW: the earlier text cited s 48 of A New Tax System (Goods and Services Tax) Act 1999 (Cth). Confirm that Division 78 governs the GST treatment of insurance settlements, and confirm the position on irrecoverable GST for Client's Property.]</w:t>
      </w:r>
    </w:p>
    <w:p>
      <w:bookmarkStart w:id="87" w:name="c_cr_cond_sanctions_limitation"/>
      <w:r>
        <w:rPr>
          <w:rFonts w:ascii="Georgia" w:hAnsi="Georgia" w:eastAsia="Georgia"/>
          <w:b/>
          <w:i w:val="0"/>
          <w:color w:val="2E5C4E"/>
          <w:sz w:val="25"/>
        </w:rPr>
        <w:t>Sanctions Limitation</w:t>
      </w:r>
      <w:bookmarkEnd w:id="87"/>
    </w:p>
    <w:p>
      <w:r>
        <w:rPr>
          <w:b w:val="0"/>
          <w:i w:val="0"/>
        </w:rPr>
        <w:t>We do not provide cover, pay any claim or provide any benefit under this policy to the extent that doing so would expose us to any sanction, prohibition or restriction under:</w:t>
      </w:r>
    </w:p>
    <w:p>
      <w:pPr>
        <w:pStyle w:val="ListBullet"/>
      </w:pPr>
      <w:r>
        <w:rPr>
          <w:b w:val="0"/>
          <w:i w:val="0"/>
        </w:rPr>
        <w:t>the Autonomous Sanctions Act 2011 (Cth), the Charter of the United Nations Act 1945 (Cth), or regulations made under either Act; or</w:t>
      </w:r>
    </w:p>
    <w:p>
      <w:pPr>
        <w:pStyle w:val="ListBullet"/>
      </w:pPr>
      <w:r>
        <w:rPr>
          <w:b w:val="0"/>
          <w:i w:val="0"/>
        </w:rPr>
        <w:t>the trade or economic sanctions laws of the United Kingdom, the United States of America or the European Union, to the extent they apply to us.</w:t>
      </w:r>
    </w:p>
    <w:p>
      <w:r>
        <w:rPr>
          <w:b w:val="0"/>
          <w:i w:val="0"/>
        </w:rPr>
        <w:t>[WP REVIEW: confirm that naming the UK, US and EU regimes is appropriate for Australian capacity; this is a deliberate library-wide scope choice.]</w:t>
      </w:r>
    </w:p>
    <w:p>
      <w:bookmarkStart w:id="88" w:name="c_cr_cond_disputes"/>
      <w:r>
        <w:rPr>
          <w:rFonts w:ascii="Georgia" w:hAnsi="Georgia" w:eastAsia="Georgia"/>
          <w:b/>
          <w:i w:val="0"/>
          <w:color w:val="2E5C4E"/>
          <w:sz w:val="25"/>
        </w:rPr>
        <w:t>Disputes</w:t>
      </w:r>
      <w:bookmarkEnd w:id="88"/>
    </w:p>
    <w:p>
      <w:r>
        <w:rPr>
          <w:b/>
          <w:i w:val="0"/>
        </w:rPr>
        <w:t>Internal dispute resolution:</w:t>
      </w:r>
      <w:r>
        <w:rPr>
          <w:b w:val="0"/>
          <w:i w:val="0"/>
        </w:rPr>
        <w:t xml:space="preserve"> Contact us first using the details shown in your schedule. We will acknowledge your complaint and aim to resolve it through our internal dispute resolution process within the timeframes required by ASIC Regulatory Guide 271.</w:t>
      </w:r>
    </w:p>
    <w:p>
      <w:r>
        <w:rPr>
          <w:b/>
          <w:i w:val="0"/>
        </w:rPr>
        <w:t>AFCA:</w:t>
      </w:r>
      <w:r>
        <w:rPr>
          <w:b w:val="0"/>
          <w:i w:val="0"/>
        </w:rPr>
        <w:t xml:space="preserve"> If you are not satisfied with the outcome, or we have not resolved your complaint within that timeframe, you may refer it, free of charge, to the Australian Financial Complaints Authority: www.afca.org.au | info@afca.org.au | 1800 931 678.</w:t>
      </w:r>
    </w:p>
    <w:p>
      <w:bookmarkStart w:id="89" w:name="c_cr_endorsement_library"/>
      <w:r>
        <w:rPr>
          <w:rFonts w:ascii="Georgia" w:hAnsi="Georgia" w:eastAsia="Georgia"/>
          <w:b/>
          <w:i w:val="0"/>
          <w:color w:val="1C1915"/>
          <w:sz w:val="32"/>
        </w:rPr>
        <w:t>Endorsement Library</w:t>
      </w:r>
      <w:bookmarkEnd w:id="89"/>
    </w:p>
    <w:p>
      <w:r>
        <w:rPr>
          <w:b w:val="0"/>
          <w:i w:val="0"/>
        </w:rPr>
        <w:t>An endorsement applies only if its code is shown in the schedule. Each endorsement changes this policy only as it states, and is read together with the variables (sub-limits, excesses, periods and named parties) shown for it in the schedule. Where an endorsement and the rest of this policy conflict, the endorsement applies to the extent of the conflict. If a variable an endorsement needs is not shown in the schedule, the endorsement does not apply until we show the variable in the schedule. These endorsements are for use with version 2.0.x of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Increased Social Engineering Sub-limit</w:t>
            </w:r>
          </w:p>
        </w:tc>
        <w:tc>
          <w:tcPr>
            <w:tcW w:type="dxa" w:w="3249"/>
          </w:tcPr>
          <w:p>
            <w:r/>
            <w:r>
              <w:rPr>
                <w:b w:val="0"/>
                <w:i w:val="0"/>
              </w:rPr>
              <w:t>Increases the social engineering sub-limit</w:t>
            </w:r>
          </w:p>
        </w:tc>
      </w:tr>
      <w:tr>
        <w:tc>
          <w:tcPr>
            <w:tcW w:type="dxa" w:w="3249"/>
          </w:tcPr>
          <w:p>
            <w:r/>
            <w:r>
              <w:rPr>
                <w:b w:val="0"/>
                <w:i w:val="0"/>
              </w:rPr>
              <w:t>E02</w:t>
            </w:r>
          </w:p>
        </w:tc>
        <w:tc>
          <w:tcPr>
            <w:tcW w:type="dxa" w:w="3249"/>
          </w:tcPr>
          <w:p>
            <w:r/>
            <w:r>
              <w:rPr>
                <w:b w:val="0"/>
                <w:i w:val="0"/>
              </w:rPr>
              <w:t>Third-Party Service Provider: Increased Sub-limit and Broadened Scope</w:t>
            </w:r>
          </w:p>
        </w:tc>
        <w:tc>
          <w:tcPr>
            <w:tcW w:type="dxa" w:w="3249"/>
          </w:tcPr>
          <w:p>
            <w:r/>
            <w:r>
              <w:rPr>
                <w:b w:val="0"/>
                <w:i w:val="0"/>
              </w:rPr>
              <w:t>Increases the sub-limit and names the service providers covered</w:t>
            </w:r>
          </w:p>
        </w:tc>
      </w:tr>
      <w:tr>
        <w:tc>
          <w:tcPr>
            <w:tcW w:type="dxa" w:w="3249"/>
          </w:tcPr>
          <w:p>
            <w:r/>
            <w:r>
              <w:rPr>
                <w:b w:val="0"/>
                <w:i w:val="0"/>
              </w:rPr>
              <w:t>E03</w:t>
            </w:r>
          </w:p>
        </w:tc>
        <w:tc>
          <w:tcPr>
            <w:tcW w:type="dxa" w:w="3249"/>
          </w:tcPr>
          <w:p>
            <w:r/>
            <w:r>
              <w:rPr>
                <w:b w:val="0"/>
                <w:i w:val="0"/>
              </w:rPr>
              <w:t>Client Property: Increased Sub-limit</w:t>
            </w:r>
          </w:p>
        </w:tc>
        <w:tc>
          <w:tcPr>
            <w:tcW w:type="dxa" w:w="3249"/>
          </w:tcPr>
          <w:p>
            <w:r/>
            <w:r>
              <w:rPr>
                <w:b w:val="0"/>
                <w:i w:val="0"/>
              </w:rPr>
              <w:t>Increases the client property sub-limit</w:t>
            </w:r>
          </w:p>
        </w:tc>
      </w:tr>
      <w:tr>
        <w:tc>
          <w:tcPr>
            <w:tcW w:type="dxa" w:w="3249"/>
          </w:tcPr>
          <w:p>
            <w:r/>
            <w:r>
              <w:rPr>
                <w:b w:val="0"/>
                <w:i w:val="0"/>
              </w:rPr>
              <w:t>E04</w:t>
            </w:r>
          </w:p>
        </w:tc>
        <w:tc>
          <w:tcPr>
            <w:tcW w:type="dxa" w:w="3249"/>
          </w:tcPr>
          <w:p>
            <w:r/>
            <w:r>
              <w:rPr>
                <w:b w:val="0"/>
                <w:i w:val="0"/>
              </w:rPr>
              <w:t>Vendor Dishonesty</w:t>
            </w:r>
          </w:p>
        </w:tc>
        <w:tc>
          <w:tcPr>
            <w:tcW w:type="dxa" w:w="3249"/>
          </w:tcPr>
          <w:p>
            <w:r/>
            <w:r>
              <w:rPr>
                <w:b w:val="0"/>
                <w:i w:val="0"/>
              </w:rPr>
              <w:t>Covers dishonest acts of suppliers working at your premises</w:t>
            </w:r>
          </w:p>
        </w:tc>
      </w:tr>
      <w:tr>
        <w:tc>
          <w:tcPr>
            <w:tcW w:type="dxa" w:w="3249"/>
          </w:tcPr>
          <w:p>
            <w:r/>
            <w:r>
              <w:rPr>
                <w:b w:val="0"/>
                <w:i w:val="0"/>
              </w:rPr>
              <w:t>E05</w:t>
            </w:r>
          </w:p>
        </w:tc>
        <w:tc>
          <w:tcPr>
            <w:tcW w:type="dxa" w:w="3249"/>
          </w:tcPr>
          <w:p>
            <w:r/>
            <w:r>
              <w:rPr>
                <w:b w:val="0"/>
                <w:i w:val="0"/>
              </w:rPr>
              <w:t>Impersonation of Client at Premises</w:t>
            </w:r>
          </w:p>
        </w:tc>
        <w:tc>
          <w:tcPr>
            <w:tcW w:type="dxa" w:w="3249"/>
          </w:tcPr>
          <w:p>
            <w:r/>
            <w:r>
              <w:rPr>
                <w:b w:val="0"/>
                <w:i w:val="0"/>
              </w:rPr>
              <w:t>Covers delivery of money or property to an impostor at your premises</w:t>
            </w:r>
          </w:p>
        </w:tc>
      </w:tr>
      <w:tr>
        <w:tc>
          <w:tcPr>
            <w:tcW w:type="dxa" w:w="3249"/>
          </w:tcPr>
          <w:p>
            <w:r/>
            <w:r>
              <w:rPr>
                <w:b w:val="0"/>
                <w:i w:val="0"/>
              </w:rPr>
              <w:t>E06</w:t>
            </w:r>
          </w:p>
        </w:tc>
        <w:tc>
          <w:tcPr>
            <w:tcW w:type="dxa" w:w="3249"/>
          </w:tcPr>
          <w:p>
            <w:r/>
            <w:r>
              <w:rPr>
                <w:b w:val="0"/>
                <w:i w:val="0"/>
              </w:rPr>
              <w:t>Cryptocurrency and Digital Asset Theft</w:t>
            </w:r>
          </w:p>
        </w:tc>
        <w:tc>
          <w:tcPr>
            <w:tcW w:type="dxa" w:w="3249"/>
          </w:tcPr>
          <w:p>
            <w:r/>
            <w:r>
              <w:rPr>
                <w:b w:val="0"/>
                <w:i w:val="0"/>
              </w:rPr>
              <w:t>Includes named digital assets as money and securities</w:t>
            </w:r>
          </w:p>
        </w:tc>
      </w:tr>
      <w:tr>
        <w:tc>
          <w:tcPr>
            <w:tcW w:type="dxa" w:w="3249"/>
          </w:tcPr>
          <w:p>
            <w:r/>
            <w:r>
              <w:rPr>
                <w:b w:val="0"/>
                <w:i w:val="0"/>
              </w:rPr>
              <w:t>E07</w:t>
            </w:r>
          </w:p>
        </w:tc>
        <w:tc>
          <w:tcPr>
            <w:tcW w:type="dxa" w:w="3249"/>
          </w:tcPr>
          <w:p>
            <w:r/>
            <w:r>
              <w:rPr>
                <w:b w:val="0"/>
                <w:i w:val="0"/>
              </w:rPr>
              <w:t>Wage and Payroll Fraud: Expanded</w:t>
            </w:r>
          </w:p>
        </w:tc>
        <w:tc>
          <w:tcPr>
            <w:tcW w:type="dxa" w:w="3249"/>
          </w:tcPr>
          <w:p>
            <w:r/>
            <w:r>
              <w:rPr>
                <w:b w:val="0"/>
                <w:i w:val="0"/>
              </w:rPr>
              <w:t>Expands cover for fictitious employees and timesheet manipulation</w:t>
            </w:r>
          </w:p>
        </w:tc>
      </w:tr>
      <w:tr>
        <w:tc>
          <w:tcPr>
            <w:tcW w:type="dxa" w:w="3249"/>
          </w:tcPr>
          <w:p>
            <w:r/>
            <w:r>
              <w:rPr>
                <w:b w:val="0"/>
                <w:i w:val="0"/>
              </w:rPr>
              <w:t>E08</w:t>
            </w:r>
          </w:p>
        </w:tc>
        <w:tc>
          <w:tcPr>
            <w:tcW w:type="dxa" w:w="3249"/>
          </w:tcPr>
          <w:p>
            <w:r/>
            <w:r>
              <w:rPr>
                <w:b w:val="0"/>
                <w:i w:val="0"/>
              </w:rPr>
              <w:t>Excess Layer</w:t>
            </w:r>
          </w:p>
        </w:tc>
        <w:tc>
          <w:tcPr>
            <w:tcW w:type="dxa" w:w="3249"/>
          </w:tcPr>
          <w:p>
            <w:r/>
            <w:r>
              <w:rPr>
                <w:b w:val="0"/>
                <w:i w:val="0"/>
              </w:rPr>
              <w:t>Writes this policy in excess of the underlying insurance named</w:t>
            </w:r>
          </w:p>
        </w:tc>
      </w:tr>
      <w:tr>
        <w:tc>
          <w:tcPr>
            <w:tcW w:type="dxa" w:w="3249"/>
          </w:tcPr>
          <w:p>
            <w:r/>
            <w:r>
              <w:rPr>
                <w:b w:val="0"/>
                <w:i w:val="0"/>
              </w:rPr>
              <w:t>E09</w:t>
            </w:r>
          </w:p>
        </w:tc>
        <w:tc>
          <w:tcPr>
            <w:tcW w:type="dxa" w:w="3249"/>
          </w:tcPr>
          <w:p>
            <w:r/>
            <w:r>
              <w:rPr>
                <w:b w:val="0"/>
                <w:i w:val="0"/>
              </w:rPr>
              <w:t>Financial Institution: Fiduciary Funds</w:t>
            </w:r>
          </w:p>
        </w:tc>
        <w:tc>
          <w:tcPr>
            <w:tcW w:type="dxa" w:w="3249"/>
          </w:tcPr>
          <w:p>
            <w:r/>
            <w:r>
              <w:rPr>
                <w:b w:val="0"/>
                <w:i w:val="0"/>
              </w:rPr>
              <w:t>Covers client money held in trust</w:t>
            </w:r>
          </w:p>
        </w:tc>
      </w:tr>
      <w:tr>
        <w:tc>
          <w:tcPr>
            <w:tcW w:type="dxa" w:w="3249"/>
          </w:tcPr>
          <w:p>
            <w:r/>
            <w:r>
              <w:rPr>
                <w:b w:val="0"/>
                <w:i w:val="0"/>
              </w:rPr>
              <w:t>E10</w:t>
            </w:r>
          </w:p>
        </w:tc>
        <w:tc>
          <w:tcPr>
            <w:tcW w:type="dxa" w:w="3249"/>
          </w:tcPr>
          <w:p>
            <w:r/>
            <w:r>
              <w:rPr>
                <w:b w:val="0"/>
                <w:i w:val="0"/>
              </w:rPr>
              <w:t>Invoice Manipulation Fraud</w:t>
            </w:r>
          </w:p>
        </w:tc>
        <w:tc>
          <w:tcPr>
            <w:tcW w:type="dxa" w:w="3249"/>
          </w:tcPr>
          <w:p>
            <w:r/>
            <w:r>
              <w:rPr>
                <w:b w:val="0"/>
                <w:i w:val="0"/>
              </w:rPr>
              <w:t>Covers payment of altered or false supplier invoices</w:t>
            </w:r>
          </w:p>
        </w:tc>
      </w:tr>
    </w:tbl>
    <w:p>
      <w:bookmarkStart w:id="90" w:name="c_cr_end_e01"/>
      <w:r>
        <w:rPr>
          <w:rFonts w:ascii="Georgia" w:hAnsi="Georgia" w:eastAsia="Georgia"/>
          <w:b/>
          <w:i w:val="0"/>
          <w:color w:val="2E5C4E"/>
          <w:sz w:val="25"/>
        </w:rPr>
        <w:t>E01 Increased Social Engineering Sub-limit</w:t>
      </w:r>
      <w:bookmarkEnd w:id="90"/>
    </w:p>
    <w:p>
      <w:r>
        <w:rPr>
          <w:b w:val="0"/>
          <w:i w:val="0"/>
        </w:rPr>
        <w:t xml:space="preserve">The social engineering sub-limit in </w:t>
      </w:r>
      <w:hyperlink w:anchor="c_cr_cover_social_engineering_fraud">
        <w:r>
          <w:rPr>
            <w:color w:val="2E5C4E"/>
            <w:u w:val="single"/>
          </w:rPr>
          <w:t xml:space="preserve">the Social Engineering Fraud clause</w:t>
        </w:r>
      </w:hyperlink>
      <w:r>
        <w:rPr>
          <w:b w:val="0"/>
          <w:i w:val="0"/>
        </w:rPr>
        <w:t xml:space="preserve"> is increased to the amount shown in the schedule for this endorsement. The increased sub-limit is part of, and not in addition to, the limit of liability of that clause and of any overall aggregate.</w:t>
      </w:r>
    </w:p>
    <w:p>
      <w:r>
        <w:rPr>
          <w:b w:val="0"/>
          <w:i w:val="0"/>
        </w:rPr>
        <w:t>All losses arising from one impersonation, or from a series of related impersonations by the same person or group, are one loss. The social engineering excess shown in the schedule for this endorsement applies to each loss.</w:t>
      </w:r>
    </w:p>
    <w:p>
      <w:r>
        <w:rPr>
          <w:b w:val="0"/>
          <w:i w:val="0"/>
        </w:rPr>
        <w:t>The increased sub-limit applies to a payment only if, before you acted on the instruction, you followed the verification procedure shown in the schedule for this endorsement. Where you did not, cover for that payment is not removed: it applies at the sub-limit that would apply without this endorsement. Verification therefore limits only the increase. It is not a condition of cover.</w:t>
      </w:r>
    </w:p>
    <w:p>
      <w:r>
        <w:rPr>
          <w:b w:val="0"/>
          <w:i w:val="0"/>
        </w:rPr>
        <w:t>Schedule variables: social engineering sub-limit; social engineering excess; verification procedure.</w:t>
      </w:r>
    </w:p>
    <w:p>
      <w:bookmarkStart w:id="91" w:name="c_cr_end_e02"/>
      <w:r>
        <w:rPr>
          <w:rFonts w:ascii="Georgia" w:hAnsi="Georgia" w:eastAsia="Georgia"/>
          <w:b/>
          <w:i w:val="0"/>
          <w:color w:val="2E5C4E"/>
          <w:sz w:val="25"/>
        </w:rPr>
        <w:t>E02 Third-Party Service Provider: Increased Sub-limit and Broadened Scope</w:t>
      </w:r>
      <w:bookmarkEnd w:id="91"/>
    </w:p>
    <w:p>
      <w:r>
        <w:rPr>
          <w:b w:val="0"/>
          <w:i w:val="0"/>
        </w:rPr>
        <w:t xml:space="preserve">The sub-limit in </w:t>
      </w:r>
      <w:hyperlink w:anchor="c_cr_ext_third_party_service_provider_di">
        <w:r>
          <w:rPr>
            <w:color w:val="2E5C4E"/>
            <w:u w:val="single"/>
          </w:rPr>
          <w:t xml:space="preserve">the Third-Party Service Provider Dishonesty extension</w:t>
        </w:r>
      </w:hyperlink>
      <w:r>
        <w:rPr>
          <w:b w:val="0"/>
          <w:i w:val="0"/>
        </w:rPr>
        <w:t xml:space="preserve"> is increased to the amount shown in the schedule for this endorsement, and the extension applies to each service provider named in the schedule for this endorsement, whether or not it is a third-party service provider under a written contract that meets the definition. The increased sub-limit is part of, and not in addition to, the limit of liability of the clause it extends.</w:t>
      </w:r>
    </w:p>
    <w:p>
      <w:r>
        <w:rPr>
          <w:b w:val="0"/>
          <w:i w:val="0"/>
        </w:rPr>
        <w:t>We do not cover loss caused by a service provider that is a subsidiary of the named insured, or loss that the service provider's own insurance or the written contract requires the service provider to bear.</w:t>
      </w:r>
    </w:p>
    <w:p>
      <w:r>
        <w:rPr>
          <w:b w:val="0"/>
          <w:i w:val="0"/>
        </w:rPr>
        <w:t>Schedule variables: sub-limit; named service providers; excess.</w:t>
      </w:r>
    </w:p>
    <w:p>
      <w:bookmarkStart w:id="92" w:name="c_cr_end_e03"/>
      <w:r>
        <w:rPr>
          <w:rFonts w:ascii="Georgia" w:hAnsi="Georgia" w:eastAsia="Georgia"/>
          <w:b/>
          <w:i w:val="0"/>
          <w:color w:val="2E5C4E"/>
          <w:sz w:val="25"/>
        </w:rPr>
        <w:t>E03 Client Property: Increased Sub-limit</w:t>
      </w:r>
      <w:bookmarkEnd w:id="92"/>
    </w:p>
    <w:p>
      <w:r>
        <w:rPr>
          <w:b w:val="0"/>
          <w:i w:val="0"/>
        </w:rPr>
        <w:t xml:space="preserve">The sub-limit in </w:t>
      </w:r>
      <w:hyperlink w:anchor="c_cr_ext_clients_property">
        <w:r>
          <w:rPr>
            <w:color w:val="2E5C4E"/>
            <w:u w:val="single"/>
          </w:rPr>
          <w:t xml:space="preserve">the Client's Property extension</w:t>
        </w:r>
      </w:hyperlink>
      <w:r>
        <w:rPr>
          <w:b w:val="0"/>
          <w:i w:val="0"/>
        </w:rPr>
        <w:t xml:space="preserve"> is increased to the amount shown in the schedule for this endorsement. The increased sub-limit is part of, and not in addition to, the limit of liability of the clause it extends.</w:t>
      </w:r>
    </w:p>
    <w:p>
      <w:r>
        <w:rPr>
          <w:b w:val="0"/>
          <w:i w:val="0"/>
        </w:rPr>
        <w:t>The extension continues to apply only to property of a client that is in your care, custody or control, and only where you are legally liable for the loss.</w:t>
      </w:r>
    </w:p>
    <w:p>
      <w:r>
        <w:rPr>
          <w:b w:val="0"/>
          <w:i w:val="0"/>
        </w:rPr>
        <w:t>Schedule variables: sub-limit; excess.</w:t>
      </w:r>
    </w:p>
    <w:p>
      <w:bookmarkStart w:id="93" w:name="c_cr_end_e04"/>
      <w:r>
        <w:rPr>
          <w:rFonts w:ascii="Georgia" w:hAnsi="Georgia" w:eastAsia="Georgia"/>
          <w:b/>
          <w:i w:val="0"/>
          <w:color w:val="2E5C4E"/>
          <w:sz w:val="25"/>
        </w:rPr>
        <w:t>E04 Vendor Dishonesty</w:t>
      </w:r>
      <w:bookmarkEnd w:id="93"/>
    </w:p>
    <w:p>
      <w:hyperlink w:anchor="c_cr_cover_employee_dishonesty">
        <w:r>
          <w:rPr>
            <w:color w:val="2E5C4E"/>
            <w:u w:val="single"/>
          </w:rPr>
          <w:t xml:space="preserve">The Employee Dishonesty clause</w:t>
        </w:r>
      </w:hyperlink>
      <w:r>
        <w:rPr>
          <w:b w:val="0"/>
          <w:i w:val="0"/>
        </w:rPr>
        <w:t xml:space="preserve"> is extended to cover your loss caused by a dishonest act of a person who supplies goods or services to you and who is not an employee or a third-party service provider, where that person acts with manifest intent while working at your premises under your direct supervision.</w:t>
      </w:r>
    </w:p>
    <w:p>
      <w:r>
        <w:rPr>
          <w:b w:val="0"/>
          <w:i w:val="0"/>
        </w:rPr>
        <w:t>This endorsement does not cover loss caused by a person who is a director, partner or principal of the named insured, or an independent auditor.</w:t>
      </w:r>
    </w:p>
    <w:p>
      <w:r>
        <w:rPr>
          <w:b w:val="0"/>
          <w:i w:val="0"/>
        </w:rPr>
        <w:t>The sub-limit and excess shown in the schedule for this endorsement apply. The sub-limit is part of, and not in addition to, the limit of liability of the clause it extends.</w:t>
      </w:r>
    </w:p>
    <w:p>
      <w:r>
        <w:rPr>
          <w:b w:val="0"/>
          <w:i w:val="0"/>
        </w:rPr>
        <w:t>Schedule variables: sub-limit; excess.</w:t>
      </w:r>
    </w:p>
    <w:p>
      <w:bookmarkStart w:id="94" w:name="c_cr_end_e05"/>
      <w:r>
        <w:rPr>
          <w:rFonts w:ascii="Georgia" w:hAnsi="Georgia" w:eastAsia="Georgia"/>
          <w:b/>
          <w:i w:val="0"/>
          <w:color w:val="2E5C4E"/>
          <w:sz w:val="25"/>
        </w:rPr>
        <w:t>E05 Impersonation of Client at Premises</w:t>
      </w:r>
      <w:bookmarkEnd w:id="94"/>
    </w:p>
    <w:p>
      <w:hyperlink w:anchor="c_cr_cover_social_engineering_fraud">
        <w:r>
          <w:rPr>
            <w:color w:val="2E5C4E"/>
            <w:u w:val="single"/>
          </w:rPr>
          <w:t xml:space="preserve">The Social Engineering Fraud clause</w:t>
        </w:r>
      </w:hyperlink>
      <w:r>
        <w:rPr>
          <w:b w:val="0"/>
          <w:i w:val="0"/>
        </w:rPr>
        <w:t xml:space="preserve"> is extended to cover your direct financial loss of money, securities or property delivered or released by an employee at your premises, in good faith, to a person who impersonated a client or customer of yours in person, without the knowledge or consent of the client or customer.</w:t>
      </w:r>
    </w:p>
    <w:p>
      <w:r>
        <w:rPr>
          <w:b w:val="0"/>
          <w:i w:val="0"/>
        </w:rPr>
        <w:t>The sub-limit and excess shown in the schedule for this endorsement apply. The sub-limit is part of, and not in addition to, the limit of liability of the social engineering clause.</w:t>
      </w:r>
    </w:p>
    <w:p>
      <w:r>
        <w:rPr>
          <w:b w:val="0"/>
          <w:i w:val="0"/>
        </w:rPr>
        <w:t>This endorsement does not cover loss involving a transfer of funds, which is covered, if at all, under the funds transfer fraud and social engineering clauses.</w:t>
      </w:r>
    </w:p>
    <w:p>
      <w:r>
        <w:rPr>
          <w:b w:val="0"/>
          <w:i w:val="0"/>
        </w:rPr>
        <w:t>Schedule variables: sub-limit; excess.</w:t>
      </w:r>
    </w:p>
    <w:p>
      <w:bookmarkStart w:id="95" w:name="c_cr_end_e06"/>
      <w:r>
        <w:rPr>
          <w:rFonts w:ascii="Georgia" w:hAnsi="Georgia" w:eastAsia="Georgia"/>
          <w:b/>
          <w:i w:val="0"/>
          <w:color w:val="2E5C4E"/>
          <w:sz w:val="25"/>
        </w:rPr>
        <w:t>E06 Cryptocurrency and Digital Asset Theft</w:t>
      </w:r>
      <w:bookmarkEnd w:id="95"/>
    </w:p>
    <w:p>
      <w:hyperlink w:anchor="c_cr_cover_theft_of_money_and_securities">
        <w:r>
          <w:rPr>
            <w:color w:val="2E5C4E"/>
            <w:u w:val="single"/>
          </w:rPr>
          <w:t xml:space="preserve">The Theft of Money and Securities clause</w:t>
        </w:r>
      </w:hyperlink>
      <w:r>
        <w:rPr>
          <w:b w:val="0"/>
          <w:i w:val="0"/>
        </w:rPr>
        <w:t xml:space="preserve"> is extended, and the definitions of </w:t>
      </w:r>
      <w:hyperlink w:anchor="c_cr_def_money">
        <w:r>
          <w:rPr>
            <w:color w:val="2E5C4E"/>
            <w:u w:val="single"/>
          </w:rPr>
          <w:t xml:space="preserve">Money</w:t>
        </w:r>
      </w:hyperlink>
      <w:r>
        <w:rPr>
          <w:b w:val="0"/>
          <w:i w:val="0"/>
        </w:rPr>
        <w:t xml:space="preserve"> and </w:t>
      </w:r>
      <w:hyperlink w:anchor="c_cr_def_securities">
        <w:r>
          <w:rPr>
            <w:color w:val="2E5C4E"/>
            <w:u w:val="single"/>
          </w:rPr>
          <w:t xml:space="preserve">Securities</w:t>
        </w:r>
      </w:hyperlink>
      <w:r>
        <w:rPr>
          <w:b w:val="0"/>
          <w:i w:val="0"/>
        </w:rPr>
        <w:t xml:space="preserve"> are read as including, the cryptocurrency and digital assets named in the schedule for this endorsement, held by you or by a custodian on your behalf.</w:t>
      </w:r>
    </w:p>
    <w:p>
      <w:r>
        <w:rPr>
          <w:b w:val="0"/>
          <w:i w:val="0"/>
        </w:rPr>
        <w:t>We cover loss of those assets only where you have taken the security steps for private keys and access credentials shown in the schedule for this endorsement. We value the loss at the market value of the asset at the close of business on the day you discover the loss, in Australian dollars.</w:t>
      </w:r>
    </w:p>
    <w:p>
      <w:r>
        <w:rPr>
          <w:b w:val="0"/>
          <w:i w:val="0"/>
        </w:rPr>
        <w:t>The sub-limit and excess shown in the schedule for this endorsement apply. The sub-limit is part of, and not in addition to, the limit of liability of the clause it extends.</w:t>
      </w:r>
    </w:p>
    <w:p>
      <w:r>
        <w:rPr>
          <w:b w:val="0"/>
          <w:i w:val="0"/>
        </w:rPr>
        <w:t>Schedule variables: named assets; security steps; sub-limit; excess.</w:t>
      </w:r>
    </w:p>
    <w:p>
      <w:bookmarkStart w:id="96" w:name="c_cr_end_e07"/>
      <w:r>
        <w:rPr>
          <w:rFonts w:ascii="Georgia" w:hAnsi="Georgia" w:eastAsia="Georgia"/>
          <w:b/>
          <w:i w:val="0"/>
          <w:color w:val="2E5C4E"/>
          <w:sz w:val="25"/>
        </w:rPr>
        <w:t>E07 Wage and Payroll Fraud: Expanded</w:t>
      </w:r>
      <w:bookmarkEnd w:id="96"/>
    </w:p>
    <w:p>
      <w:r>
        <w:rPr>
          <w:b w:val="0"/>
          <w:i w:val="0"/>
        </w:rPr>
        <w:t xml:space="preserve">The payroll fraud cover in </w:t>
      </w:r>
      <w:hyperlink w:anchor="c_cr_cover_employee_dishonesty">
        <w:r>
          <w:rPr>
            <w:color w:val="2E5C4E"/>
            <w:u w:val="single"/>
          </w:rPr>
          <w:t xml:space="preserve">the Employee Dishonesty clause</w:t>
        </w:r>
      </w:hyperlink>
      <w:r>
        <w:rPr>
          <w:b w:val="0"/>
          <w:i w:val="0"/>
        </w:rPr>
        <w:t xml:space="preserve"> is expanded to cover loss caused by an employee who creates a fictitious employee, manipulates timesheets, inflates hours or rates, or authorises payments of wages or allowances that are not owed, whether or not the employee gains personally from each payment.</w:t>
      </w:r>
    </w:p>
    <w:p>
      <w:r>
        <w:rPr>
          <w:b w:val="0"/>
          <w:i w:val="0"/>
        </w:rPr>
        <w:t>We do not cover wages or entitlements that you are legally required to pay to a genuine employee.</w:t>
      </w:r>
    </w:p>
    <w:p>
      <w:r>
        <w:rPr>
          <w:b w:val="0"/>
          <w:i w:val="0"/>
        </w:rPr>
        <w:t>The sub-limit and excess shown in the schedule for this endorsement apply. The sub-limit is part of, and not in addition to, the limit of liability of the clause it extends.</w:t>
      </w:r>
    </w:p>
    <w:p>
      <w:r>
        <w:rPr>
          <w:b w:val="0"/>
          <w:i w:val="0"/>
        </w:rPr>
        <w:t>Schedule variables: sub-limit; excess.</w:t>
      </w:r>
    </w:p>
    <w:p>
      <w:bookmarkStart w:id="97" w:name="c_cr_end_e08"/>
      <w:r>
        <w:rPr>
          <w:rFonts w:ascii="Georgia" w:hAnsi="Georgia" w:eastAsia="Georgia"/>
          <w:b/>
          <w:i w:val="0"/>
          <w:color w:val="2E5C4E"/>
          <w:sz w:val="25"/>
        </w:rPr>
        <w:t>E08 Excess Layer</w:t>
      </w:r>
      <w:bookmarkEnd w:id="97"/>
    </w:p>
    <w:p>
      <w:r>
        <w:rPr>
          <w:b w:val="0"/>
          <w:i w:val="0"/>
        </w:rPr>
        <w:t>This policy is written in excess of the underlying insurance named in the schedule for this endorsement, up to the limit of liability shown in the schedule. We pay only after the underlying limits have been exhausted by payment of loss that this policy would cover.</w:t>
      </w:r>
    </w:p>
    <w:p>
      <w:r>
        <w:rPr>
          <w:b w:val="0"/>
          <w:i w:val="0"/>
        </w:rPr>
        <w:t>This policy follows the terms of the underlying insurance except where this policy states otherwise. Where the underlying insurance does not cover a loss that this policy covers, this policy does not drop down.</w:t>
      </w:r>
    </w:p>
    <w:p>
      <w:r>
        <w:rPr>
          <w:b w:val="0"/>
          <w:i w:val="0"/>
        </w:rPr>
        <w:t>You must keep the underlying insurance in force. If it is not, this policy applies as if the underlying insurance remained in force with its limits intact.</w:t>
      </w:r>
    </w:p>
    <w:p>
      <w:r>
        <w:rPr>
          <w:b w:val="0"/>
          <w:i w:val="0"/>
        </w:rPr>
        <w:t>Schedule variables: underlying insurance; underlying limit; limit of liability.</w:t>
      </w:r>
    </w:p>
    <w:p>
      <w:bookmarkStart w:id="98" w:name="c_cr_end_e09"/>
      <w:r>
        <w:rPr>
          <w:rFonts w:ascii="Georgia" w:hAnsi="Georgia" w:eastAsia="Georgia"/>
          <w:b/>
          <w:i w:val="0"/>
          <w:color w:val="2E5C4E"/>
          <w:sz w:val="25"/>
        </w:rPr>
        <w:t>E09 Financial Institution: Fiduciary Funds</w:t>
      </w:r>
      <w:bookmarkEnd w:id="98"/>
    </w:p>
    <w:p>
      <w:hyperlink w:anchor="c_cr_ext_clients_property">
        <w:r>
          <w:rPr>
            <w:color w:val="2E5C4E"/>
            <w:u w:val="single"/>
          </w:rPr>
          <w:t xml:space="preserve">The Client's Property extension</w:t>
        </w:r>
      </w:hyperlink>
      <w:r>
        <w:rPr>
          <w:b w:val="0"/>
          <w:i w:val="0"/>
        </w:rPr>
        <w:t xml:space="preserve"> is extended to cover money and securities that you hold in trust for clients in the course of your business as a fiduciary, where the loss is caused by an act covered under </w:t>
      </w:r>
      <w:hyperlink w:anchor="c_cr_cover_employee_dishonesty">
        <w:r>
          <w:rPr>
            <w:color w:val="2E5C4E"/>
            <w:u w:val="single"/>
          </w:rPr>
          <w:t xml:space="preserve">the Employee Dishonesty clause</w:t>
        </w:r>
      </w:hyperlink>
      <w:r>
        <w:rPr>
          <w:b w:val="0"/>
          <w:i w:val="0"/>
        </w:rPr>
        <w:t xml:space="preserve"> or </w:t>
      </w:r>
      <w:hyperlink w:anchor="c_cr_cover_funds_transfer_fraud">
        <w:r>
          <w:rPr>
            <w:color w:val="2E5C4E"/>
            <w:u w:val="single"/>
          </w:rPr>
          <w:t xml:space="preserve">the Funds Transfer Fraud clause</w:t>
        </w:r>
      </w:hyperlink>
      <w:r>
        <w:rPr>
          <w:b w:val="0"/>
          <w:i w:val="0"/>
        </w:rPr>
        <w:t xml:space="preserve"> and you are legally liable for it.</w:t>
      </w:r>
    </w:p>
    <w:p>
      <w:r>
        <w:rPr>
          <w:b w:val="0"/>
          <w:i w:val="0"/>
        </w:rPr>
        <w:t>This endorsement does not cover loss from investment decisions, shortfalls in a trust account that cannot be traced to a specific criminal act, or loss that a regulatory compensation scheme or the trust's own insurance covers.</w:t>
      </w:r>
    </w:p>
    <w:p>
      <w:r>
        <w:rPr>
          <w:b w:val="0"/>
          <w:i w:val="0"/>
        </w:rPr>
        <w:t>The sub-limit and excess shown in the schedule for this endorsement apply. The sub-limit is part of, and not in addition to, the limit of liability of the clauses it extends.</w:t>
      </w:r>
    </w:p>
    <w:p>
      <w:r>
        <w:rPr>
          <w:b w:val="0"/>
          <w:i w:val="0"/>
        </w:rPr>
        <w:t>Schedule variables: sub-limit; excess; named trust accounts.</w:t>
      </w:r>
    </w:p>
    <w:p>
      <w:bookmarkStart w:id="99" w:name="c_cr_end_e10"/>
      <w:r>
        <w:rPr>
          <w:rFonts w:ascii="Georgia" w:hAnsi="Georgia" w:eastAsia="Georgia"/>
          <w:b/>
          <w:i w:val="0"/>
          <w:color w:val="2E5C4E"/>
          <w:sz w:val="25"/>
        </w:rPr>
        <w:t>E10 Invoice Manipulation Fraud</w:t>
      </w:r>
      <w:bookmarkEnd w:id="99"/>
    </w:p>
    <w:p>
      <w:hyperlink w:anchor="c_cr_cover_social_engineering_fraud">
        <w:r>
          <w:rPr>
            <w:color w:val="2E5C4E"/>
            <w:u w:val="single"/>
          </w:rPr>
          <w:t xml:space="preserve">The Social Engineering Fraud clause</w:t>
        </w:r>
      </w:hyperlink>
      <w:r>
        <w:rPr>
          <w:b w:val="0"/>
          <w:i w:val="0"/>
        </w:rPr>
        <w:t xml:space="preserve"> is extended to cover your direct financial loss from paying a supplier invoice, in good faith, where a third party fraudulently altered the invoice or the payment details on it, or created a false invoice that purported to come from a supplier with whom you have an established business relationship.</w:t>
      </w:r>
    </w:p>
    <w:p>
      <w:r>
        <w:rPr>
          <w:b w:val="0"/>
          <w:i w:val="0"/>
        </w:rPr>
        <w:t>The sub-limit shown for this endorsement applies to a payment only if, before you paid, you followed the verification procedure shown in the schedule. Where you did not, cover for that payment is not removed: it applies at the social engineering sub-limit that would apply without this endorsement. Verification therefore limits only the increase. It is not a condition of cover.</w:t>
      </w:r>
    </w:p>
    <w:p>
      <w:r>
        <w:rPr>
          <w:b w:val="0"/>
          <w:i w:val="0"/>
        </w:rPr>
        <w:t xml:space="preserve">The excess shown in the schedule for this endorsement applies. The sub-limit is part of, and not in addition to, the limit of liability of </w:t>
      </w:r>
      <w:hyperlink w:anchor="c_cr_cover_social_engineering_fraud">
        <w:r>
          <w:rPr>
            <w:color w:val="2E5C4E"/>
            <w:u w:val="single"/>
          </w:rPr>
          <w:t xml:space="preserve">the Social Engineering Fraud clause</w:t>
        </w:r>
      </w:hyperlink>
      <w:r>
        <w:rPr>
          <w:b w:val="0"/>
          <w:i w:val="0"/>
        </w:rPr>
        <w:t>.</w:t>
      </w:r>
    </w:p>
    <w:p>
      <w:r>
        <w:rPr>
          <w:b w:val="0"/>
          <w:i w:val="0"/>
        </w:rPr>
        <w:t>Schedule variables: sub-limit; excess; verification procedure.</w:t>
      </w:r>
    </w:p>
    <w:p>
      <w:bookmarkStart w:id="100" w:name="c_cr_licence_notice"/>
      <w:r>
        <w:rPr>
          <w:rFonts w:ascii="Georgia" w:hAnsi="Georgia" w:eastAsia="Georgia"/>
          <w:b/>
          <w:i w:val="0"/>
          <w:color w:val="1C1915"/>
          <w:sz w:val="32"/>
        </w:rPr>
        <w:t>Licence and Trademark Notice</w:t>
      </w:r>
      <w:bookmarkEnd w:id="100"/>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Remediation following the Claude pre-review of 2 November 2026.</w:t>
      </w:r>
    </w:p>
    <w:p>
      <w:pPr>
        <w:pStyle w:val="ListBullet"/>
      </w:pPr>
      <w:r>
        <w:rPr>
          <w:b w:val="0"/>
          <w:i w:val="0"/>
        </w:rPr>
        <w:t>Social Engineering Fraud, E01 Increased Social Engineering Sub-limit and E10 Invoice Manipulation Fraud: verification is now treated one way. It is not a condition of cover and does not reduce a covered payment. In E01 and E10 it limits only the increased sub-limit: where the verification procedure was not followed, cover applies at the sub-limit that would apply without the endorsement.</w:t>
      </w:r>
    </w:p>
    <w:p>
      <w:pPr>
        <w:pStyle w:val="ListBullet"/>
      </w:pPr>
      <w:r>
        <w:rPr>
          <w:b w:val="0"/>
          <w:i w:val="0"/>
        </w:rPr>
        <w:t>Maintain Controls: states that dual authorisation and other verification steps are not a condition of cover for social engineering or funds transfer fraud.</w:t>
      </w:r>
    </w:p>
    <w:p>
      <w:pPr>
        <w:pStyle w:val="ListBullet"/>
      </w:pPr>
      <w:r>
        <w:rPr>
          <w:b w:val="0"/>
          <w:i w:val="0"/>
        </w:rPr>
        <w:t>Newly Acquired Subsidiaries: now has a size limit (total assets not above 25% of the named insured's consolidated total assets), a duty to notify within 90 days, cover only for criminal acts on or after the date the entity became a subsidiary, and a stated outcome after 90 days. Default set for underwriter confirmation.</w:t>
      </w:r>
    </w:p>
    <w:p>
      <w:pPr>
        <w:pStyle w:val="ListBullet"/>
      </w:pPr>
      <w:r>
        <w:rPr>
          <w:b w:val="0"/>
          <w:i w:val="0"/>
        </w:rPr>
        <w:t>Subsidiary and Retroactive Date: an entity is a subsidiary only from the date it became one, and for a newly acquired subsidiary the retroactive date is that date.</w:t>
      </w:r>
    </w:p>
    <w:p>
      <w:pPr>
        <w:pStyle w:val="ListBullet"/>
      </w:pPr>
      <w:r>
        <w:rPr>
          <w:b w:val="0"/>
          <w:i w:val="0"/>
        </w:rPr>
        <w:t>Duty of Disclosure: the insureds are now stated to be the named insured and each subsidiary. Disclosure is assessed separately for each insured, and company knowledge is the knowledge of the control group.</w:t>
      </w:r>
    </w:p>
    <w:p>
      <w:pPr>
        <w:pStyle w:val="ListBullet"/>
      </w:pPr>
      <w:r>
        <w:rPr>
          <w:b w:val="0"/>
          <w:i w:val="0"/>
        </w:rPr>
        <w:t>Control group: a new definition.</w:t>
      </w:r>
    </w:p>
    <w:p>
      <w:pPr>
        <w:pStyle w:val="ListBullet"/>
      </w:pPr>
      <w:r>
        <w:rPr>
          <w:b w:val="0"/>
          <w:i w:val="0"/>
        </w:rPr>
        <w:t>War, Terrorism, and Nuclear Risks: war, terrorism and nuclear risks are now defined.</w:t>
      </w:r>
    </w:p>
    <w:p>
      <w:pPr>
        <w:pStyle w:val="ListBullet"/>
      </w:pPr>
      <w:r>
        <w:rPr>
          <w:b w:val="0"/>
          <w:i w:val="0"/>
        </w:rPr>
        <w:t>GST: the reference to section 48 of the GST Act is removed. The gross-up for GST on third-party claims is limited to Client's Property.</w:t>
      </w:r>
    </w:p>
    <w:p>
      <w:pPr>
        <w:pStyle w:val="ListBullet"/>
      </w:pPr>
      <w:r>
        <w:rPr>
          <w:b w:val="0"/>
          <w:i w:val="0"/>
        </w:rPr>
        <w:t>Other Insurance: replaced with the library's standard text and one crime priority rule. Crime insurance is primary for loss of money, securities or property through social engineering fraud or funds transfer fraud, including computer-enabled theft of them, and a cyber policy pays only the excess over it.</w:t>
      </w:r>
    </w:p>
    <w:p>
      <w:pPr>
        <w:pStyle w:val="ListBullet"/>
      </w:pPr>
      <w:r>
        <w:rPr>
          <w:b w:val="0"/>
          <w:i w:val="0"/>
        </w:rPr>
        <w:t>Sanctions Limitation, Cancellation and Insurance Contracts Act 1984 (Cth): replaced with the library's standard text. The Insurance Contracts Act clause is now headed Insurance Contracts Act 1984 (Cth).</w:t>
      </w:r>
    </w:p>
    <w:p>
      <w:pPr>
        <w:pStyle w:val="ListBullet"/>
      </w:pPr>
      <w:r>
        <w:rPr>
          <w:b w:val="0"/>
          <w:i w:val="0"/>
        </w:rPr>
        <w:t>Endorsements E01 to E10 and Maintain Controls: repeated words in cross-references are corrected.</w:t>
      </w:r>
    </w:p>
    <w:p>
      <w:r>
        <w:rPr>
          <w:b w:val="0"/>
          <w:i/>
          <w:sz w:val="18"/>
        </w:rPr>
        <w:t>Cuttleflow Systems — Open Source Insurance Wording</w:t>
      </w:r>
    </w:p>
    <w:p>
      <w:r>
        <w:rPr>
          <w:rFonts w:ascii="Consolas" w:hAnsi="Consolas" w:eastAsia="Consolas"/>
          <w:b w:val="0"/>
          <w:i w:val="0"/>
          <w:sz w:val="16"/>
        </w:rPr>
        <w:t>2026/CRI/0001 · v2.1.0-DRAFT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2026/CRI/0001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COMPREHENSIVE CRIME INSURANCE · V2.1.0-DRAFT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Crime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