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r>
        <w:rPr>
          <w:rFonts w:ascii="Consolas" w:hAnsi="Consolas" w:eastAsia="Consolas"/>
          <w:b w:val="0"/>
          <w:i w:val="0"/>
          <w:sz w:val="24"/>
        </w:rPr>
        <w:t xml:space="preserve">cuttleflow </w:t>
      </w:r>
      <w:r>
        <w:rPr>
          <w:rFonts w:ascii="Consolas" w:hAnsi="Consolas" w:eastAsia="Consolas"/>
          <w:b/>
          <w:i w:val="0"/>
          <w:sz w:val="24"/>
        </w:rPr>
        <w:t>SYSTEMS</w:t>
      </w:r>
    </w:p>
    <w:p>
      <w:r>
        <w:rPr>
          <w:rFonts w:ascii="Consolas" w:hAnsi="Consolas" w:eastAsia="Consolas"/>
          <w:b w:val="0"/>
          <w:i w:val="0"/>
          <w:color w:val="C24E2C"/>
          <w:sz w:val="18"/>
        </w:rPr>
        <w:t>SIDE A DIRECTORS' &amp; OFFICERS' LIABILITY INSURANCE</w:t>
      </w:r>
    </w:p>
    <w:p>
      <w:r>
        <w:rPr>
          <w:rFonts w:ascii="Georgia" w:hAnsi="Georgia" w:eastAsia="Georgia"/>
          <w:b/>
          <w:i w:val="0"/>
          <w:sz w:val="60"/>
        </w:rPr>
        <w:t>Policy Wording</w:t>
      </w:r>
    </w:p>
    <w:p>
      <w:r>
        <w:rPr>
          <w:rFonts w:ascii="Georgia" w:hAnsi="Georgia" w:eastAsia="Georgia"/>
          <w:b w:val="0"/>
          <w:i/>
          <w:color w:val="2E5C4E"/>
          <w:sz w:val="26"/>
        </w:rPr>
        <w:t>Cuttleflow Systems — Open Source Insurance Wording</w:t>
      </w:r>
    </w:p>
    <w:p>
      <w:r>
        <w:rPr>
          <w:rFonts w:ascii="Consolas" w:hAnsi="Consolas" w:eastAsia="Consolas"/>
          <w:b w:val="0"/>
          <w:i w:val="0"/>
          <w:color w:val="2E5C4E"/>
          <w:sz w:val="18"/>
        </w:rPr>
        <w:t>Version 2.1.0-DRAFT · November 2026 · CC BY 4.0 (wording text only)</w:t>
      </w:r>
    </w:p>
    <w:p>
      <w:r>
        <w:rPr>
          <w:rFonts w:ascii="Consolas" w:hAnsi="Consolas" w:eastAsia="Consolas"/>
          <w:b w:val="0"/>
          <w:i w:val="0"/>
          <w:sz w:val="18"/>
        </w:rPr>
        <w:t>Document ref 2026/SADO/0001 · CUTTLEFLOW PTY LTD T/A CUTTLEFLOW SYSTEMS</w:t>
      </w:r>
    </w:p>
    <w:p>
      <w:r>
        <w:rPr>
          <w:b/>
          <w:i w:val="0"/>
          <w:color w:val="C24E2C"/>
        </w:rPr>
        <w:t>DRAFT — SUBJECT TO LEGAL REVIEW — NOT FOR USE</w:t>
      </w:r>
    </w:p>
    <w:p/>
    <w:p/>
    <w:p/>
    <w:p/>
    <w:p/>
    <w:p/>
    <w:p/>
    <w:p/>
    <w:p>
      <w:r>
        <w:rPr>
          <w:rFonts w:ascii="Consolas" w:hAnsi="Consolas" w:eastAsia="Consolas"/>
          <w:b w:val="0"/>
          <w:i w:val="0"/>
          <w:sz w:val="16"/>
        </w:rPr>
        <w:t>33°53′S · 151°16′E · Sydney</w:t>
      </w:r>
      <w:r>
        <w:br w:type="page"/>
      </w:r>
    </w:p>
    <w:p>
      <w:bookmarkStart w:id="0" w:name="c_sa_about"/>
      <w:r>
        <w:rPr>
          <w:rFonts w:ascii="Georgia" w:hAnsi="Georgia" w:eastAsia="Georgia"/>
          <w:b/>
          <w:i w:val="0"/>
          <w:color w:val="1C1915"/>
          <w:sz w:val="32"/>
        </w:rPr>
        <w:t>About This Policy</w:t>
      </w:r>
      <w:bookmarkEnd w:id="0"/>
    </w:p>
    <w:p>
      <w:r>
        <w:rPr>
          <w:b w:val="0"/>
          <w:i w:val="0"/>
        </w:rPr>
        <w:t>This policy protects individual directors and officers against loss that their company cannot or will not indemnify. It sits above the company's directors' and officers' liability or management liability insurance (the underlying D&amp;O insurance) and pays only after that insurance has been exhausted by payment.</w:t>
      </w:r>
    </w:p>
    <w:p>
      <w:r>
        <w:rPr>
          <w:b w:val="0"/>
          <w:i w:val="0"/>
        </w:rPr>
        <w:t>It is called “Side A” cover because it protects only the individuals, not the company. Its limit is reserved for directors and officers. The company cannot claim under it, and claims against the company that use up the underlying D&amp;O insurance do not reduce it.</w:t>
      </w:r>
    </w:p>
    <w:p>
      <w:r>
        <w:rPr>
          <w:b w:val="0"/>
          <w:i w:val="0"/>
        </w:rPr>
        <w:t xml:space="preserve">For cover of loss the company does not indemnify, this policy follows the terms of the underlying D&amp;O insurance, except where this policy says otherwise. It does not drop down to fill gaps in the underlying D&amp;O insurance unless the schedule shows that </w:t>
      </w:r>
      <w:hyperlink w:anchor="c_sa_end_e04">
        <w:r>
          <w:rPr>
            <w:color w:val="2E5C4E"/>
            <w:u w:val="single"/>
          </w:rPr>
          <w:t xml:space="preserve">the E04 Difference in Conditions endorsement</w:t>
        </w:r>
      </w:hyperlink>
      <w:r>
        <w:rPr>
          <w:b w:val="0"/>
          <w:i w:val="0"/>
        </w:rPr>
        <w:t xml:space="preserve"> applies.</w:t>
      </w:r>
    </w:p>
    <w:p>
      <w:r>
        <w:rPr>
          <w:b w:val="0"/>
          <w:i w:val="0"/>
        </w:rPr>
        <w:t xml:space="preserve">This policy, together with your schedule and any endorsements, forms your contract of insurance with us. Words shown in bold have special meanings, set out under </w:t>
      </w:r>
      <w:hyperlink w:anchor="c_sa_section_definitions">
        <w:r>
          <w:rPr>
            <w:color w:val="2E5C4E"/>
            <w:u w:val="single"/>
          </w:rPr>
          <w:t xml:space="preserve">the Definitions section</w:t>
        </w:r>
      </w:hyperlink>
      <w:r>
        <w:rPr>
          <w:b w:val="0"/>
          <w:i w:val="0"/>
        </w:rPr>
        <w:t>.</w:t>
      </w:r>
    </w:p>
    <w:p>
      <w:r>
        <w:rPr>
          <w:b w:val="0"/>
          <w:i w:val="0"/>
        </w:rPr>
        <w:t xml:space="preserve">Before this policy was entered into, you were given written notice, as required by section 40(1) of the Insurance Contracts Act 1984 (Cth), of the effect of section 40(3) (see </w:t>
      </w:r>
      <w:hyperlink w:anchor="c_sa_obl_notify_circumstances">
        <w:r>
          <w:rPr>
            <w:color w:val="2E5C4E"/>
            <w:u w:val="single"/>
          </w:rPr>
          <w:t xml:space="preserve">the Notify Us of Circumstances obligation</w:t>
        </w:r>
      </w:hyperlink>
      <w:r>
        <w:rPr>
          <w:b w:val="0"/>
          <w:i w:val="0"/>
        </w:rPr>
        <w:t>).</w:t>
      </w:r>
    </w:p>
    <w:p>
      <w:bookmarkStart w:id="1" w:name="c_sa_who_this_policy_is_for"/>
      <w:r>
        <w:rPr>
          <w:rFonts w:ascii="Georgia" w:hAnsi="Georgia" w:eastAsia="Georgia"/>
          <w:b/>
          <w:i w:val="0"/>
          <w:color w:val="1C1915"/>
          <w:sz w:val="32"/>
        </w:rPr>
        <w:t>Who This Policy Is For</w:t>
      </w:r>
      <w:bookmarkEnd w:id="1"/>
    </w:p>
    <w:p>
      <w:r>
        <w:rPr>
          <w:b w:val="0"/>
          <w:i w:val="0"/>
        </w:rPr>
        <w:t>This policy is for directors and officers who want additional limit reserved for themselves, in particular where the underlying D&amp;O insurance also covers the company (for example, a management liability package), so that claims against the company can use up the limit available to individuals.</w:t>
      </w:r>
    </w:p>
    <w:p>
      <w:r>
        <w:rPr>
          <w:b w:val="0"/>
          <w:i w:val="0"/>
        </w:rPr>
        <w:t>This wording is written for businesses and professionals. Some buyers, such as small businesses, may be retail clients under the Corporations Act 2001 (Cth). Where a buyer is a retail client, the issuer must give a Product Disclosure Statement and make a Target Market Determination available. This wording is not itself a Product Disclosure Statement.</w:t>
      </w:r>
    </w:p>
    <w:p>
      <w:bookmarkStart w:id="2" w:name="c_sa_version_history"/>
      <w:r>
        <w:rPr>
          <w:rFonts w:ascii="Georgia" w:hAnsi="Georgia" w:eastAsia="Georgia"/>
          <w:b/>
          <w:i w:val="0"/>
          <w:color w:val="1C1915"/>
          <w:sz w:val="32"/>
        </w:rPr>
        <w:t>Version and Document History</w:t>
      </w:r>
      <w:bookmarkEnd w:id="2"/>
    </w:p>
    <w:p>
      <w:r>
        <w:rPr>
          <w:b w:val="0"/>
          <w:i w:val="0"/>
        </w:rPr>
        <w:t>This document is version-controlled. The version and date shown on the cover page and in the footer of each page govern this text. The version stated in your schedule as current at inception applies for the life of your policy period, unless your schedule or an endorsement states otherwise.</w:t>
      </w:r>
    </w:p>
    <w:p>
      <w:r>
        <w:rPr>
          <w:b w:val="0"/>
          <w:i w:val="0"/>
        </w:rPr>
        <w:t>The changes made in each version are listed in the Changes From note issued with it.</w:t>
      </w:r>
    </w:p>
    <w:p>
      <w:bookmarkStart w:id="3" w:name="c_sa_schedule"/>
      <w:r>
        <w:rPr>
          <w:rFonts w:ascii="Georgia" w:hAnsi="Georgia" w:eastAsia="Georgia"/>
          <w:b/>
          <w:i w:val="0"/>
          <w:color w:val="1C1915"/>
          <w:sz w:val="32"/>
        </w:rPr>
        <w:t>Schedule</w:t>
      </w:r>
      <w:bookmarkEnd w:id="3"/>
    </w:p>
    <w:p>
      <w:r>
        <w:rPr>
          <w:b w:val="0"/>
          <w:i w:val="0"/>
        </w:rPr>
        <w:t>(Completed separately for each policy — contains your specific details)</w:t>
      </w:r>
    </w:p>
    <w:tbl>
      <w:tblPr>
        <w:tblStyle w:val="TableGrid"/>
        <w:tblW w:type="auto" w:w="0"/>
        <w:tblLook w:firstColumn="1" w:firstRow="1" w:lastColumn="0" w:lastRow="0" w:noHBand="0" w:noVBand="1" w:val="04A0"/>
      </w:tblPr>
      <w:tblGrid>
        <w:gridCol w:w="4873"/>
        <w:gridCol w:w="4873"/>
      </w:tblGrid>
      <w:tr>
        <w:tc>
          <w:tcPr>
            <w:tcW w:type="dxa" w:w="4873"/>
          </w:tcPr>
          <w:p>
            <w:r/>
            <w:r>
              <w:rPr>
                <w:b w:val="0"/>
                <w:i w:val="0"/>
              </w:rPr>
              <w:t>Item</w:t>
            </w:r>
          </w:p>
        </w:tc>
        <w:tc>
          <w:tcPr>
            <w:tcW w:type="dxa" w:w="4873"/>
          </w:tcPr>
          <w:p>
            <w:r/>
            <w:r>
              <w:rPr>
                <w:b w:val="0"/>
                <w:i w:val="0"/>
              </w:rPr>
              <w:t>Detail</w:t>
            </w:r>
          </w:p>
        </w:tc>
      </w:tr>
      <w:tr>
        <w:tc>
          <w:tcPr>
            <w:tcW w:type="dxa" w:w="4873"/>
          </w:tcPr>
          <w:p>
            <w:r/>
            <w:r>
              <w:rPr>
                <w:b w:val="0"/>
                <w:i w:val="0"/>
              </w:rPr>
              <w:t>1</w:t>
            </w:r>
          </w:p>
        </w:tc>
        <w:tc>
          <w:tcPr>
            <w:tcW w:type="dxa" w:w="4873"/>
          </w:tcPr>
          <w:p>
            <w:r/>
            <w:r>
              <w:rPr>
                <w:b w:val="0"/>
                <w:i w:val="0"/>
              </w:rPr>
              <w:t>The company and its directors and officers</w:t>
            </w:r>
          </w:p>
        </w:tc>
      </w:tr>
      <w:tr>
        <w:tc>
          <w:tcPr>
            <w:tcW w:type="dxa" w:w="4873"/>
          </w:tcPr>
          <w:p>
            <w:r/>
            <w:r>
              <w:rPr>
                <w:b w:val="0"/>
                <w:i w:val="0"/>
              </w:rPr>
              <w:t>2</w:t>
            </w:r>
          </w:p>
        </w:tc>
        <w:tc>
          <w:tcPr>
            <w:tcW w:type="dxa" w:w="4873"/>
          </w:tcPr>
          <w:p>
            <w:r/>
            <w:r>
              <w:rPr>
                <w:b w:val="0"/>
                <w:i w:val="0"/>
              </w:rPr>
              <w:t>The insurer</w:t>
            </w:r>
          </w:p>
        </w:tc>
      </w:tr>
      <w:tr>
        <w:tc>
          <w:tcPr>
            <w:tcW w:type="dxa" w:w="4873"/>
          </w:tcPr>
          <w:p>
            <w:r/>
            <w:r>
              <w:rPr>
                <w:b w:val="0"/>
                <w:i w:val="0"/>
              </w:rPr>
              <w:t>3</w:t>
            </w:r>
          </w:p>
        </w:tc>
        <w:tc>
          <w:tcPr>
            <w:tcW w:type="dxa" w:w="4873"/>
          </w:tcPr>
          <w:p>
            <w:r/>
            <w:r>
              <w:rPr>
                <w:b w:val="0"/>
                <w:i w:val="0"/>
              </w:rPr>
              <w:t>The policy period</w:t>
            </w:r>
          </w:p>
        </w:tc>
      </w:tr>
      <w:tr>
        <w:tc>
          <w:tcPr>
            <w:tcW w:type="dxa" w:w="4873"/>
          </w:tcPr>
          <w:p>
            <w:r/>
            <w:r>
              <w:rPr>
                <w:b w:val="0"/>
                <w:i w:val="0"/>
              </w:rPr>
              <w:t>4</w:t>
            </w:r>
          </w:p>
        </w:tc>
        <w:tc>
          <w:tcPr>
            <w:tcW w:type="dxa" w:w="4873"/>
          </w:tcPr>
          <w:p>
            <w:r/>
            <w:r>
              <w:rPr>
                <w:b w:val="0"/>
                <w:i w:val="0"/>
              </w:rPr>
              <w:t>The retroactive date</w:t>
            </w:r>
          </w:p>
        </w:tc>
      </w:tr>
      <w:tr>
        <w:tc>
          <w:tcPr>
            <w:tcW w:type="dxa" w:w="4873"/>
          </w:tcPr>
          <w:p>
            <w:r/>
            <w:r>
              <w:rPr>
                <w:b w:val="0"/>
                <w:i w:val="0"/>
              </w:rPr>
              <w:t>5</w:t>
            </w:r>
          </w:p>
        </w:tc>
        <w:tc>
          <w:tcPr>
            <w:tcW w:type="dxa" w:w="4873"/>
          </w:tcPr>
          <w:p>
            <w:r/>
            <w:r>
              <w:rPr>
                <w:b w:val="0"/>
                <w:i w:val="0"/>
              </w:rPr>
              <w:t>The underlying D&amp;O insurance: each policy, its insurer, its limit of liability, and its policy period</w:t>
            </w:r>
          </w:p>
        </w:tc>
      </w:tr>
      <w:tr>
        <w:tc>
          <w:tcPr>
            <w:tcW w:type="dxa" w:w="4873"/>
          </w:tcPr>
          <w:p>
            <w:r/>
            <w:r>
              <w:rPr>
                <w:b w:val="0"/>
                <w:i w:val="0"/>
              </w:rPr>
              <w:t>6</w:t>
            </w:r>
          </w:p>
        </w:tc>
        <w:tc>
          <w:tcPr>
            <w:tcW w:type="dxa" w:w="4873"/>
          </w:tcPr>
          <w:p>
            <w:r/>
            <w:r>
              <w:rPr>
                <w:b w:val="0"/>
                <w:i w:val="0"/>
              </w:rPr>
              <w:t>The followed policy: the policy in the underlying D&amp;O insurance whose terms this policy follows</w:t>
            </w:r>
          </w:p>
        </w:tc>
      </w:tr>
      <w:tr>
        <w:tc>
          <w:tcPr>
            <w:tcW w:type="dxa" w:w="4873"/>
          </w:tcPr>
          <w:p>
            <w:r/>
            <w:r>
              <w:rPr>
                <w:b w:val="0"/>
                <w:i w:val="0"/>
              </w:rPr>
              <w:t>7</w:t>
            </w:r>
          </w:p>
        </w:tc>
        <w:tc>
          <w:tcPr>
            <w:tcW w:type="dxa" w:w="4873"/>
          </w:tcPr>
          <w:p>
            <w:r/>
            <w:r>
              <w:rPr>
                <w:b w:val="0"/>
                <w:i w:val="0"/>
              </w:rPr>
              <w:t>The attachment point (the total of the limits of the underlying D&amp;O insurance)</w:t>
            </w:r>
          </w:p>
        </w:tc>
      </w:tr>
      <w:tr>
        <w:tc>
          <w:tcPr>
            <w:tcW w:type="dxa" w:w="4873"/>
          </w:tcPr>
          <w:p>
            <w:r/>
            <w:r>
              <w:rPr>
                <w:b w:val="0"/>
                <w:i w:val="0"/>
              </w:rPr>
              <w:t>8</w:t>
            </w:r>
          </w:p>
        </w:tc>
        <w:tc>
          <w:tcPr>
            <w:tcW w:type="dxa" w:w="4873"/>
          </w:tcPr>
          <w:p>
            <w:r/>
            <w:r>
              <w:rPr>
                <w:b w:val="0"/>
                <w:i w:val="0"/>
              </w:rPr>
              <w:t>The limit of liability of this policy</w:t>
            </w:r>
          </w:p>
        </w:tc>
      </w:tr>
      <w:tr>
        <w:tc>
          <w:tcPr>
            <w:tcW w:type="dxa" w:w="4873"/>
          </w:tcPr>
          <w:p>
            <w:r/>
            <w:r>
              <w:rPr>
                <w:b w:val="0"/>
                <w:i w:val="0"/>
              </w:rPr>
              <w:t>9</w:t>
            </w:r>
          </w:p>
        </w:tc>
        <w:tc>
          <w:tcPr>
            <w:tcW w:type="dxa" w:w="4873"/>
          </w:tcPr>
          <w:p>
            <w:r/>
            <w:r>
              <w:rPr>
                <w:b w:val="0"/>
                <w:i w:val="0"/>
              </w:rPr>
              <w:t>Whether Endorsement E04 (Difference in Conditions) applies and, if it does, the DIC retention</w:t>
            </w:r>
          </w:p>
        </w:tc>
      </w:tr>
      <w:tr>
        <w:tc>
          <w:tcPr>
            <w:tcW w:type="dxa" w:w="4873"/>
          </w:tcPr>
          <w:p>
            <w:r/>
            <w:r>
              <w:rPr>
                <w:b w:val="0"/>
                <w:i w:val="0"/>
              </w:rPr>
              <w:t>10</w:t>
            </w:r>
          </w:p>
        </w:tc>
        <w:tc>
          <w:tcPr>
            <w:tcW w:type="dxa" w:w="4873"/>
          </w:tcPr>
          <w:p>
            <w:r/>
            <w:r>
              <w:rPr>
                <w:b w:val="0"/>
                <w:i w:val="0"/>
              </w:rPr>
              <w:t>Governing law: the State or Territory of Australia</w:t>
            </w:r>
          </w:p>
        </w:tc>
      </w:tr>
      <w:tr>
        <w:tc>
          <w:tcPr>
            <w:tcW w:type="dxa" w:w="4873"/>
          </w:tcPr>
          <w:p>
            <w:r/>
            <w:r>
              <w:rPr>
                <w:b w:val="0"/>
                <w:i w:val="0"/>
              </w:rPr>
              <w:t>11</w:t>
            </w:r>
          </w:p>
        </w:tc>
        <w:tc>
          <w:tcPr>
            <w:tcW w:type="dxa" w:w="4873"/>
          </w:tcPr>
          <w:p>
            <w:r/>
            <w:r>
              <w:rPr>
                <w:b w:val="0"/>
                <w:i w:val="0"/>
              </w:rPr>
              <w:t>The premium, and any government charges</w:t>
            </w:r>
          </w:p>
        </w:tc>
      </w:tr>
      <w:tr>
        <w:tc>
          <w:tcPr>
            <w:tcW w:type="dxa" w:w="4873"/>
          </w:tcPr>
          <w:p>
            <w:r/>
            <w:r>
              <w:rPr>
                <w:b w:val="0"/>
                <w:i w:val="0"/>
              </w:rPr>
              <w:t>12</w:t>
            </w:r>
          </w:p>
        </w:tc>
        <w:tc>
          <w:tcPr>
            <w:tcW w:type="dxa" w:w="4873"/>
          </w:tcPr>
          <w:p>
            <w:r/>
            <w:r>
              <w:rPr>
                <w:b w:val="0"/>
                <w:i w:val="0"/>
              </w:rPr>
              <w:t xml:space="preserve">Any portion of the premium payable other than by the company (see </w:t>
            </w:r>
            <w:hyperlink w:anchor="c_sa_cond_corporations_act_199a_199b">
              <w:r>
                <w:rPr>
                  <w:color w:val="2E5C4E"/>
                  <w:u w:val="single"/>
                </w:rPr>
                <w:t xml:space="preserve">the Corporations Act 2001 (Cth), sections 199A and 199B condition</w:t>
              </w:r>
            </w:hyperlink>
            <w:r>
              <w:rPr>
                <w:b w:val="0"/>
                <w:i w:val="0"/>
              </w:rPr>
              <w:t>)</w:t>
            </w:r>
          </w:p>
        </w:tc>
      </w:tr>
      <w:tr>
        <w:tc>
          <w:tcPr>
            <w:tcW w:type="dxa" w:w="4873"/>
          </w:tcPr>
          <w:p>
            <w:r/>
            <w:r>
              <w:rPr>
                <w:b w:val="0"/>
                <w:i w:val="0"/>
              </w:rPr>
              <w:t>13</w:t>
            </w:r>
          </w:p>
        </w:tc>
        <w:tc>
          <w:tcPr>
            <w:tcW w:type="dxa" w:w="4873"/>
          </w:tcPr>
          <w:p>
            <w:r/>
            <w:r>
              <w:rPr>
                <w:b w:val="0"/>
                <w:i w:val="0"/>
              </w:rPr>
              <w:t>Any endorsements</w:t>
            </w:r>
          </w:p>
        </w:tc>
      </w:tr>
    </w:tbl>
    <w:p>
      <w:bookmarkStart w:id="4" w:name="c_sa_section_definitions"/>
      <w:r>
        <w:rPr>
          <w:rFonts w:ascii="Georgia" w:hAnsi="Georgia" w:eastAsia="Georgia"/>
          <w:b/>
          <w:i w:val="0"/>
          <w:color w:val="1C1915"/>
          <w:sz w:val="32"/>
        </w:rPr>
        <w:t>Definitions</w:t>
      </w:r>
      <w:bookmarkEnd w:id="4"/>
    </w:p>
    <w:tbl>
      <w:tblPr>
        <w:tblStyle w:val="TableGrid"/>
        <w:tblW w:type="auto" w:w="0"/>
        <w:tblLayout w:type="fixed"/>
        <w:tblLook w:firstColumn="1" w:firstRow="1" w:lastColumn="0" w:lastRow="0" w:noHBand="0" w:noVBand="1" w:val="04A0"/>
      </w:tblPr>
      <w:tblGrid>
        <w:gridCol w:w="4873"/>
        <w:gridCol w:w="4873"/>
      </w:tblGrid>
      <w:tr>
        <w:tc>
          <w:tcPr>
            <w:tcW w:type="dxa" w:w="2608"/>
          </w:tcPr>
          <w:p>
            <w:bookmarkStart w:id="5" w:name="c_sa_def_attachment_point"/>
            <w:r>
              <w:rPr>
                <w:b/>
                <w:i w:val="0"/>
              </w:rPr>
              <w:t>Attachment point</w:t>
            </w:r>
            <w:bookmarkEnd w:id="5"/>
          </w:p>
        </w:tc>
        <w:tc>
          <w:tcPr>
            <w:tcW w:type="dxa" w:w="6803"/>
          </w:tcPr>
          <w:p>
            <w:r>
              <w:rPr>
                <w:b w:val="0"/>
                <w:i w:val="0"/>
              </w:rPr>
              <w:t>The total of the limits of liability of the underlying D&amp;O insurance, as shown in the schedule. It is fixed at the start of the policy period.</w:t>
            </w:r>
          </w:p>
        </w:tc>
      </w:tr>
      <w:tr>
        <w:tc>
          <w:tcPr>
            <w:tcW w:type="dxa" w:w="2608"/>
          </w:tcPr>
          <w:p>
            <w:bookmarkStart w:id="6" w:name="c_sa_def_claim"/>
            <w:r>
              <w:rPr>
                <w:b/>
                <w:i w:val="0"/>
              </w:rPr>
              <w:t>Claim</w:t>
            </w:r>
            <w:bookmarkEnd w:id="6"/>
          </w:p>
        </w:tc>
        <w:tc>
          <w:tcPr>
            <w:tcW w:type="dxa" w:w="6803"/>
          </w:tcPr>
          <w:p>
            <w:r>
              <w:rPr>
                <w:b w:val="0"/>
                <w:i w:val="0"/>
              </w:rPr>
              <w:t>(a) any written demand for compensation made against an insured person;</w:t>
            </w:r>
          </w:p>
          <w:p>
            <w:r>
              <w:rPr>
                <w:b w:val="0"/>
                <w:i w:val="0"/>
              </w:rPr>
              <w:t>(b) any writ, summons, cross-claim, or legal proceeding issued against an insured person;</w:t>
            </w:r>
          </w:p>
          <w:p>
            <w:r>
              <w:rPr>
                <w:b w:val="0"/>
                <w:i w:val="0"/>
              </w:rPr>
              <w:t>(c) any formal investigation, examination, or inquiry by a regulator into the conduct of an insured person, where the investigation could result in personal liability or a penalty against that individual;</w:t>
            </w:r>
          </w:p>
          <w:p>
            <w:r>
              <w:rPr>
                <w:b w:val="0"/>
                <w:i w:val="0"/>
              </w:rPr>
              <w:t>(d) any extradition proceeding or warrant for arrest against an insured person in connection with a wrongful act; and</w:t>
            </w:r>
          </w:p>
          <w:p>
            <w:r>
              <w:rPr>
                <w:b w:val="0"/>
                <w:i w:val="0"/>
              </w:rPr>
              <w:t>(e) any proceeding commenced by a liquidator, administrator, or receiver against an insured person.</w:t>
            </w:r>
          </w:p>
          <w:p>
            <w:r>
              <w:rPr>
                <w:b w:val="0"/>
                <w:i w:val="0"/>
              </w:rPr>
              <w:t>Two or more claims arising from the same, similar, or related wrongful acts are treated as a single claim, first made on the date the earliest of those claims was first made.</w:t>
            </w:r>
          </w:p>
        </w:tc>
      </w:tr>
      <w:tr>
        <w:tc>
          <w:tcPr>
            <w:tcW w:type="dxa" w:w="2608"/>
          </w:tcPr>
          <w:p>
            <w:bookmarkStart w:id="7" w:name="c_sa_def_company"/>
            <w:r>
              <w:rPr>
                <w:b/>
                <w:i w:val="0"/>
              </w:rPr>
              <w:t>Company</w:t>
            </w:r>
            <w:bookmarkEnd w:id="7"/>
          </w:p>
        </w:tc>
        <w:tc>
          <w:tcPr>
            <w:tcW w:type="dxa" w:w="6803"/>
          </w:tcPr>
          <w:p>
            <w:r>
              <w:rPr>
                <w:b w:val="0"/>
                <w:i w:val="0"/>
              </w:rPr>
              <w:t>The entity named in the schedule, and any subsidiary.</w:t>
            </w:r>
          </w:p>
        </w:tc>
      </w:tr>
      <w:tr>
        <w:tc>
          <w:tcPr>
            <w:tcW w:type="dxa" w:w="2608"/>
          </w:tcPr>
          <w:p>
            <w:bookmarkStart w:id="8" w:name="c_sa_def_control_group"/>
            <w:r>
              <w:rPr>
                <w:b/>
                <w:i w:val="0"/>
              </w:rPr>
              <w:t>Control group</w:t>
            </w:r>
            <w:bookmarkEnd w:id="8"/>
          </w:p>
        </w:tc>
        <w:tc>
          <w:tcPr>
            <w:tcW w:type="dxa" w:w="6803"/>
          </w:tcPr>
          <w:p>
            <w:r>
              <w:rPr>
                <w:b w:val="0"/>
                <w:i w:val="0"/>
              </w:rPr>
              <w:t>The company's chief executive officer, chief financial officer, general counsel, head of risk or insurance, and directors, or a person performing an equivalent role.</w:t>
            </w:r>
          </w:p>
        </w:tc>
      </w:tr>
      <w:tr>
        <w:tc>
          <w:tcPr>
            <w:tcW w:type="dxa" w:w="2608"/>
          </w:tcPr>
          <w:p>
            <w:bookmarkStart w:id="9" w:name="c_sa_def_defence_costs"/>
            <w:r>
              <w:rPr>
                <w:b/>
                <w:i w:val="0"/>
              </w:rPr>
              <w:t>Defence costs</w:t>
            </w:r>
            <w:bookmarkEnd w:id="9"/>
          </w:p>
        </w:tc>
        <w:tc>
          <w:tcPr>
            <w:tcW w:type="dxa" w:w="6803"/>
          </w:tcPr>
          <w:p>
            <w:r>
              <w:rPr>
                <w:b w:val="0"/>
                <w:i w:val="0"/>
              </w:rPr>
              <w:t>The reasonable legal costs and expenses incurred by an insured person with our prior written consent in investigating, defending, or settling a claim. We will not unreasonably withhold or delay our consent.</w:t>
            </w:r>
          </w:p>
        </w:tc>
      </w:tr>
      <w:tr>
        <w:tc>
          <w:tcPr>
            <w:tcW w:type="dxa" w:w="2608"/>
          </w:tcPr>
          <w:p>
            <w:bookmarkStart w:id="10" w:name="c_sa_def_endorsement"/>
            <w:r>
              <w:rPr>
                <w:b/>
                <w:i w:val="0"/>
              </w:rPr>
              <w:t>Endorsement</w:t>
            </w:r>
            <w:bookmarkEnd w:id="10"/>
          </w:p>
        </w:tc>
        <w:tc>
          <w:tcPr>
            <w:tcW w:type="dxa" w:w="6803"/>
          </w:tcPr>
          <w:p>
            <w:r>
              <w:rPr>
                <w:b w:val="0"/>
                <w:i w:val="0"/>
              </w:rPr>
              <w:t>A document attached to this policy that changes its terms.</w:t>
            </w:r>
          </w:p>
        </w:tc>
      </w:tr>
      <w:tr>
        <w:tc>
          <w:tcPr>
            <w:tcW w:type="dxa" w:w="2608"/>
          </w:tcPr>
          <w:p>
            <w:bookmarkStart w:id="11" w:name="c_sa_def_final_adjudication"/>
            <w:r>
              <w:rPr>
                <w:b/>
                <w:i w:val="0"/>
              </w:rPr>
              <w:t>Final adjudication</w:t>
            </w:r>
            <w:bookmarkEnd w:id="11"/>
          </w:p>
        </w:tc>
        <w:tc>
          <w:tcPr>
            <w:tcW w:type="dxa" w:w="6803"/>
          </w:tcPr>
          <w:p>
            <w:r>
              <w:rPr>
                <w:b w:val="0"/>
                <w:i w:val="0"/>
              </w:rPr>
              <w:t xml:space="preserve">means a judgment or ruling of a court, tribunal, or arbitral body, after the exhaustion of all available rights of appeal or the expiry of the time within which an appeal may be lodged without an appeal being lodged, or a formal admission by the insured person, that establishes the conduct in question. Every reference in this policy to conduct being established, admitted, or determined by final adjudication (including in </w:t>
            </w:r>
            <w:hyperlink w:anchor="c_sa_excl_dishonesty_and_fraud">
              <w:r>
                <w:rPr>
                  <w:color w:val="2E5C4E"/>
                  <w:u w:val="single"/>
                </w:rPr>
                <w:t xml:space="preserve">the Dishonesty and Fraud exclusion</w:t>
              </w:r>
            </w:hyperlink>
            <w:r>
              <w:rPr>
                <w:b w:val="0"/>
                <w:i w:val="0"/>
              </w:rPr>
              <w:t xml:space="preserve"> and </w:t>
            </w:r>
            <w:hyperlink w:anchor="c_sa_excl_personal_profit">
              <w:r>
                <w:rPr>
                  <w:color w:val="2E5C4E"/>
                  <w:u w:val="single"/>
                </w:rPr>
                <w:t xml:space="preserve">the Personal Profit exclusion</w:t>
              </w:r>
            </w:hyperlink>
            <w:r>
              <w:rPr>
                <w:b w:val="0"/>
                <w:i w:val="0"/>
              </w:rPr>
              <w:t>) carries this meaning, including all appeals.</w:t>
            </w:r>
          </w:p>
        </w:tc>
      </w:tr>
      <w:tr>
        <w:tc>
          <w:tcPr>
            <w:tcW w:type="dxa" w:w="2608"/>
          </w:tcPr>
          <w:p>
            <w:bookmarkStart w:id="12" w:name="c_sa_def_followed_policy"/>
            <w:r>
              <w:rPr>
                <w:b/>
                <w:i w:val="0"/>
              </w:rPr>
              <w:t>Followed policy</w:t>
            </w:r>
            <w:bookmarkEnd w:id="12"/>
          </w:p>
        </w:tc>
        <w:tc>
          <w:tcPr>
            <w:tcW w:type="dxa" w:w="6803"/>
          </w:tcPr>
          <w:p>
            <w:r>
              <w:rPr>
                <w:b w:val="0"/>
                <w:i w:val="0"/>
              </w:rPr>
              <w:t>The policy in the underlying D&amp;O insurance that the schedule shows as the followed policy. If the schedule shows none, it is the policy in the underlying D&amp;O insurance with the lowest attachment, and no other policy in the underlying D&amp;O insurance is followed.</w:t>
            </w:r>
          </w:p>
        </w:tc>
      </w:tr>
      <w:tr>
        <w:tc>
          <w:tcPr>
            <w:tcW w:type="dxa" w:w="2608"/>
          </w:tcPr>
          <w:p>
            <w:bookmarkStart w:id="13" w:name="c_sa_def_insured_person"/>
            <w:r>
              <w:rPr>
                <w:b/>
                <w:i w:val="0"/>
              </w:rPr>
              <w:t>Insured person</w:t>
            </w:r>
            <w:bookmarkEnd w:id="13"/>
          </w:p>
        </w:tc>
        <w:tc>
          <w:tcPr>
            <w:tcW w:type="dxa" w:w="6803"/>
          </w:tcPr>
          <w:p>
            <w:r>
              <w:rPr>
                <w:b w:val="0"/>
                <w:i w:val="0"/>
              </w:rPr>
              <w:t>(a) a director (including a shadow director, de facto director, or alternate director) of the company;</w:t>
            </w:r>
          </w:p>
          <w:p>
            <w:r>
              <w:rPr>
                <w:b w:val="0"/>
                <w:i w:val="0"/>
              </w:rPr>
              <w:t>(b) an officer of the company (including the company secretary, chief executive, chief financial officer, chief operating officer, general counsel, or any person who participates in making decisions that affect the whole or a substantial part of the company's business);</w:t>
            </w:r>
          </w:p>
          <w:p>
            <w:r>
              <w:rPr>
                <w:b w:val="0"/>
                <w:i w:val="0"/>
              </w:rPr>
              <w:t>(c) a member of a committee of management, board of governors, or equivalent governing body; or</w:t>
            </w:r>
          </w:p>
          <w:p>
            <w:r>
              <w:rPr>
                <w:b w:val="0"/>
                <w:i w:val="0"/>
              </w:rPr>
              <w:t>(d) any person in an equivalent position in a subsidiary.</w:t>
            </w:r>
          </w:p>
          <w:p>
            <w:r>
              <w:rPr>
                <w:b w:val="0"/>
                <w:i w:val="0"/>
              </w:rPr>
              <w:t>It also includes the lawful spouse, domestic partner, estate, or legal representative of an insured person — but only for claims arising from the insured person's wrongful acts, not their own.</w:t>
            </w:r>
          </w:p>
        </w:tc>
      </w:tr>
      <w:tr>
        <w:tc>
          <w:tcPr>
            <w:tcW w:type="dxa" w:w="2608"/>
          </w:tcPr>
          <w:p>
            <w:bookmarkStart w:id="14" w:name="c_sa_def_loss"/>
            <w:r>
              <w:rPr>
                <w:b/>
                <w:i w:val="0"/>
              </w:rPr>
              <w:t>Loss</w:t>
            </w:r>
            <w:bookmarkEnd w:id="14"/>
          </w:p>
        </w:tc>
        <w:tc>
          <w:tcPr>
            <w:tcW w:type="dxa" w:w="6803"/>
          </w:tcPr>
          <w:p>
            <w:r>
              <w:rPr>
                <w:b w:val="0"/>
                <w:i w:val="0"/>
              </w:rPr>
              <w:t>The amount an insured person becomes personally liable to pay, including: (a) compensatory damages (including interest); (b) the claimant's legal costs awarded against the insured person; (c) defence costs; and (d) settlements agreed with our prior written consent.</w:t>
            </w:r>
          </w:p>
          <w:p>
            <w:r>
              <w:rPr>
                <w:b w:val="0"/>
                <w:i w:val="0"/>
              </w:rPr>
              <w:t>We do not pay any fine or penalty that the law does not allow to be insured. In particular, we do not pay a penalty imposed under work health and safety law in a State or Territory whose law prohibits insurance of it (including New South Wales, Victoria and Queensland), and we do not pay a criminal fine. [WP REVIEW: confirm the list of jurisdictions that prohibit insurance of WHS penalties; library sources differ on WA and Victoria.]</w:t>
            </w:r>
          </w:p>
          <w:p>
            <w:r>
              <w:rPr>
                <w:b w:val="0"/>
                <w:i w:val="0"/>
              </w:rPr>
              <w:t xml:space="preserve">Loss does not include: (i) any amount the company has actually paid to, or on behalf of, the insured person by way of indemnity or advancement; (ii) taxes, or the return of remuneration to which the insured person was not entitled; (iii) fines, penalties, pecuniary penalty orders, or compensation orders, to the extent the law does not permit us to pay them; or (iv) matters uninsurable at law. [WP REVIEW: confirm the insurability of civil pecuniary penalty orders and compensation orders made against officers, and whether any category should be named expressly. Who may pay the premium is addressed in </w:t>
            </w:r>
            <w:hyperlink w:anchor="c_sa_cond_corporations_act_199a_199b">
              <w:r>
                <w:rPr>
                  <w:color w:val="2E5C4E"/>
                  <w:u w:val="single"/>
                </w:rPr>
                <w:t xml:space="preserve">the Corporations Act 2001 (Cth), sections 199A and 199B condition</w:t>
              </w:r>
            </w:hyperlink>
            <w:r>
              <w:rPr>
                <w:b w:val="0"/>
                <w:i w:val="0"/>
              </w:rPr>
              <w:t>.]</w:t>
            </w:r>
          </w:p>
        </w:tc>
      </w:tr>
      <w:tr>
        <w:tc>
          <w:tcPr>
            <w:tcW w:type="dxa" w:w="2608"/>
          </w:tcPr>
          <w:p>
            <w:bookmarkStart w:id="15" w:name="c_sa_def_non_indemnifiable_loss"/>
            <w:r>
              <w:rPr>
                <w:b/>
                <w:i w:val="0"/>
              </w:rPr>
              <w:t>Non-indemnifiable loss</w:t>
            </w:r>
            <w:bookmarkEnd w:id="15"/>
          </w:p>
        </w:tc>
        <w:tc>
          <w:tcPr>
            <w:tcW w:type="dxa" w:w="6803"/>
          </w:tcPr>
          <w:p>
            <w:r>
              <w:rPr>
                <w:b w:val="0"/>
                <w:i w:val="0"/>
              </w:rPr>
              <w:t xml:space="preserve">A loss that the company: (a) is not legally permitted to indemnify (for example, where indemnification is prohibited by section 199A of the Corporations Act 2001 (Cth); see </w:t>
            </w:r>
            <w:hyperlink w:anchor="c_sa_cond_corporations_act_199a_199b">
              <w:r>
                <w:rPr>
                  <w:color w:val="2E5C4E"/>
                  <w:u w:val="single"/>
                </w:rPr>
                <w:t xml:space="preserve">the Corporations Act 2001 (Cth), sections 199A and 199B condition</w:t>
              </w:r>
            </w:hyperlink>
            <w:r>
              <w:rPr>
                <w:b w:val="0"/>
                <w:i w:val="0"/>
              </w:rPr>
              <w:t>); (b) is financially unable to indemnify (because of insolvency, liquidation, administration, receivership, or financial incapacity); or (c) refuses or fails to indemnify (despite being legally permitted and financially able to do so).</w:t>
            </w:r>
          </w:p>
          <w:p>
            <w:r>
              <w:rPr>
                <w:b w:val="0"/>
                <w:i w:val="0"/>
              </w:rPr>
              <w:t xml:space="preserve">See also </w:t>
            </w:r>
            <w:hyperlink w:anchor="c_sa_cover_presumptive_indemnification">
              <w:r>
                <w:rPr>
                  <w:color w:val="2E5C4E"/>
                  <w:u w:val="single"/>
                </w:rPr>
                <w:t xml:space="preserve">the Presumptive Indemnification clause</w:t>
              </w:r>
            </w:hyperlink>
            <w:r>
              <w:rPr>
                <w:b w:val="0"/>
                <w:i w:val="0"/>
              </w:rPr>
              <w:t>, which governs how this definition is applied where the company's ability or willingness to indemnify is uncertain or contested.</w:t>
            </w:r>
          </w:p>
        </w:tc>
      </w:tr>
      <w:tr>
        <w:tc>
          <w:tcPr>
            <w:tcW w:type="dxa" w:w="2608"/>
          </w:tcPr>
          <w:p>
            <w:bookmarkStart w:id="16" w:name="c_sa_def_policy_period"/>
            <w:r>
              <w:rPr>
                <w:b/>
                <w:i w:val="0"/>
              </w:rPr>
              <w:t>Policy period</w:t>
            </w:r>
            <w:bookmarkEnd w:id="16"/>
          </w:p>
        </w:tc>
        <w:tc>
          <w:tcPr>
            <w:tcW w:type="dxa" w:w="6803"/>
          </w:tcPr>
          <w:p>
            <w:r>
              <w:rPr>
                <w:b w:val="0"/>
                <w:i w:val="0"/>
              </w:rPr>
              <w:t>The period shown in the schedule.</w:t>
            </w:r>
          </w:p>
        </w:tc>
      </w:tr>
      <w:tr>
        <w:tc>
          <w:tcPr>
            <w:tcW w:type="dxa" w:w="2608"/>
          </w:tcPr>
          <w:p>
            <w:bookmarkStart w:id="17" w:name="c_sa_def_regulator"/>
            <w:r>
              <w:rPr>
                <w:b/>
                <w:i w:val="0"/>
              </w:rPr>
              <w:t>Regulator</w:t>
            </w:r>
            <w:bookmarkEnd w:id="17"/>
          </w:p>
        </w:tc>
        <w:tc>
          <w:tcPr>
            <w:tcW w:type="dxa" w:w="6803"/>
          </w:tcPr>
          <w:p>
            <w:r>
              <w:rPr>
                <w:b w:val="0"/>
                <w:i w:val="0"/>
              </w:rPr>
              <w:t>Any government body, statutory authority, regulatory agency, or professional body with the power to investigate or take enforcement action. Includes ASIC, APRA, the ACCC, the ATO, SafeWork, the OAIC, and any equivalent body.</w:t>
            </w:r>
          </w:p>
        </w:tc>
      </w:tr>
      <w:tr>
        <w:tc>
          <w:tcPr>
            <w:tcW w:type="dxa" w:w="2608"/>
          </w:tcPr>
          <w:p>
            <w:bookmarkStart w:id="18" w:name="c_sa_def_retroactive_date"/>
            <w:r>
              <w:rPr>
                <w:b/>
                <w:i w:val="0"/>
              </w:rPr>
              <w:t>Retroactive date</w:t>
            </w:r>
            <w:bookmarkEnd w:id="18"/>
          </w:p>
        </w:tc>
        <w:tc>
          <w:tcPr>
            <w:tcW w:type="dxa" w:w="6803"/>
          </w:tcPr>
          <w:p>
            <w:r>
              <w:rPr>
                <w:b w:val="0"/>
                <w:i w:val="0"/>
              </w:rPr>
              <w:t>means the date shown in the schedule. This policy does not cover any claim arising from a wrongful act committed, in whole or in part, before the retroactive date.</w:t>
            </w:r>
          </w:p>
          <w:p>
            <w:r>
              <w:rPr>
                <w:b w:val="0"/>
                <w:i w:val="0"/>
              </w:rPr>
              <w:t xml:space="preserve">Where two or more wrongful acts are treated as a single claim under the definition of </w:t>
            </w:r>
            <w:hyperlink w:anchor="c_sa_def_claim">
              <w:r>
                <w:rPr>
                  <w:color w:val="2E5C4E"/>
                  <w:u w:val="single"/>
                </w:rPr>
                <w:t xml:space="preserve">the definition of Claim</w:t>
              </w:r>
            </w:hyperlink>
            <w:r>
              <w:rPr>
                <w:b w:val="0"/>
                <w:i w:val="0"/>
              </w:rPr>
              <w:t>, the retroactive date is applied to that claim by reference to the date of the earliest of those wrongful acts.</w:t>
            </w:r>
          </w:p>
        </w:tc>
      </w:tr>
      <w:tr>
        <w:tc>
          <w:tcPr>
            <w:tcW w:type="dxa" w:w="2608"/>
          </w:tcPr>
          <w:p>
            <w:bookmarkStart w:id="19" w:name="c_sa_def_schedule"/>
            <w:r>
              <w:rPr>
                <w:b/>
                <w:i w:val="0"/>
              </w:rPr>
              <w:t>Schedule</w:t>
            </w:r>
            <w:bookmarkEnd w:id="19"/>
          </w:p>
        </w:tc>
        <w:tc>
          <w:tcPr>
            <w:tcW w:type="dxa" w:w="6803"/>
          </w:tcPr>
          <w:p>
            <w:r>
              <w:rPr>
                <w:b w:val="0"/>
                <w:i w:val="0"/>
              </w:rPr>
              <w:t>The document titled “Schedule” issued with this policy, as amended by any endorsement.</w:t>
            </w:r>
          </w:p>
        </w:tc>
      </w:tr>
      <w:tr>
        <w:tc>
          <w:tcPr>
            <w:tcW w:type="dxa" w:w="2608"/>
          </w:tcPr>
          <w:p>
            <w:bookmarkStart w:id="20" w:name="c_sa_def_subsidiary"/>
            <w:r>
              <w:rPr>
                <w:b/>
                <w:i w:val="0"/>
              </w:rPr>
              <w:t>Subsidiary</w:t>
            </w:r>
            <w:bookmarkEnd w:id="20"/>
          </w:p>
        </w:tc>
        <w:tc>
          <w:tcPr>
            <w:tcW w:type="dxa" w:w="6803"/>
          </w:tcPr>
          <w:p>
            <w:r>
              <w:rPr>
                <w:b w:val="0"/>
                <w:i w:val="0"/>
              </w:rPr>
              <w:t>Any entity in which the company holds more than 50% of the voting rights, or over which the company has effective management control, at the time of the relevant wrongful act.</w:t>
            </w:r>
          </w:p>
        </w:tc>
      </w:tr>
      <w:tr>
        <w:tc>
          <w:tcPr>
            <w:tcW w:type="dxa" w:w="2608"/>
          </w:tcPr>
          <w:p>
            <w:bookmarkStart w:id="21" w:name="c_sa_def_underlying_do_insurance"/>
            <w:r>
              <w:rPr>
                <w:b/>
                <w:i w:val="0"/>
              </w:rPr>
              <w:t>Underlying D&amp;O insurance</w:t>
            </w:r>
            <w:bookmarkEnd w:id="21"/>
          </w:p>
        </w:tc>
        <w:tc>
          <w:tcPr>
            <w:tcW w:type="dxa" w:w="6803"/>
          </w:tcPr>
          <w:p>
            <w:r>
              <w:rPr>
                <w:b w:val="0"/>
                <w:i w:val="0"/>
              </w:rPr>
              <w:t>The directors' and officers' liability or management liability policy or policies listed in the schedule as the underlying D&amp;O insurance.</w:t>
            </w:r>
          </w:p>
        </w:tc>
      </w:tr>
      <w:tr>
        <w:tc>
          <w:tcPr>
            <w:tcW w:type="dxa" w:w="2608"/>
          </w:tcPr>
          <w:p>
            <w:bookmarkStart w:id="22" w:name="c_sa_def_underlying_insurer"/>
            <w:r>
              <w:rPr>
                <w:b/>
                <w:i w:val="0"/>
              </w:rPr>
              <w:t>Underlying insurer</w:t>
            </w:r>
            <w:bookmarkEnd w:id="22"/>
          </w:p>
        </w:tc>
        <w:tc>
          <w:tcPr>
            <w:tcW w:type="dxa" w:w="6803"/>
          </w:tcPr>
          <w:p>
            <w:r>
              <w:rPr>
                <w:b w:val="0"/>
                <w:i w:val="0"/>
              </w:rPr>
              <w:t>The insurer, or each insurer, of the underlying D&amp;O insurance.</w:t>
            </w:r>
          </w:p>
        </w:tc>
      </w:tr>
      <w:tr>
        <w:tc>
          <w:tcPr>
            <w:tcW w:type="dxa" w:w="2608"/>
          </w:tcPr>
          <w:p>
            <w:bookmarkStart w:id="23" w:name="c_sa_def_we_us_our"/>
            <w:r>
              <w:rPr>
                <w:b/>
                <w:i w:val="0"/>
              </w:rPr>
              <w:t>We / us / our</w:t>
            </w:r>
            <w:bookmarkEnd w:id="23"/>
          </w:p>
        </w:tc>
        <w:tc>
          <w:tcPr>
            <w:tcW w:type="dxa" w:w="6803"/>
          </w:tcPr>
          <w:p>
            <w:r>
              <w:rPr>
                <w:b w:val="0"/>
                <w:i w:val="0"/>
              </w:rPr>
              <w:t>The insurer named in the schedule.</w:t>
            </w:r>
          </w:p>
        </w:tc>
      </w:tr>
      <w:tr>
        <w:tc>
          <w:tcPr>
            <w:tcW w:type="dxa" w:w="2608"/>
          </w:tcPr>
          <w:p>
            <w:bookmarkStart w:id="24" w:name="c_sa_def_wrongful_act"/>
            <w:r>
              <w:rPr>
                <w:b/>
                <w:i w:val="0"/>
              </w:rPr>
              <w:t>Wrongful act</w:t>
            </w:r>
            <w:bookmarkEnd w:id="24"/>
          </w:p>
        </w:tc>
        <w:tc>
          <w:tcPr>
            <w:tcW w:type="dxa" w:w="6803"/>
          </w:tcPr>
          <w:p>
            <w:r>
              <w:rPr>
                <w:b w:val="0"/>
                <w:i w:val="0"/>
              </w:rPr>
              <w:t>Any actual or alleged act, error, omission, misleading statement, breach of duty, breach of trust, or breach of any statutory or regulatory obligation, committed by an insured person in their capacity as a director or officer of the company.</w:t>
            </w:r>
          </w:p>
        </w:tc>
      </w:tr>
      <w:tr>
        <w:tc>
          <w:tcPr>
            <w:tcW w:type="dxa" w:w="2608"/>
          </w:tcPr>
          <w:p>
            <w:bookmarkStart w:id="25" w:name="c_sa_def_you_your"/>
            <w:r>
              <w:rPr>
                <w:b/>
                <w:i w:val="0"/>
              </w:rPr>
              <w:t>You / your</w:t>
            </w:r>
            <w:bookmarkEnd w:id="25"/>
          </w:p>
        </w:tc>
        <w:tc>
          <w:tcPr>
            <w:tcW w:type="dxa" w:w="6803"/>
          </w:tcPr>
          <w:p>
            <w:r>
              <w:rPr>
                <w:b w:val="0"/>
                <w:i w:val="0"/>
              </w:rPr>
              <w:t>Each insured person and, where the context requires, the company.</w:t>
            </w:r>
          </w:p>
        </w:tc>
      </w:tr>
    </w:tbl>
    <w:p>
      <w:bookmarkStart w:id="26" w:name="c_sa_section_covered"/>
      <w:r>
        <w:rPr>
          <w:rFonts w:ascii="Georgia" w:hAnsi="Georgia" w:eastAsia="Georgia"/>
          <w:b/>
          <w:i w:val="0"/>
          <w:color w:val="1C1915"/>
          <w:sz w:val="32"/>
        </w:rPr>
        <w:t>What Is Covered</w:t>
      </w:r>
      <w:bookmarkEnd w:id="26"/>
    </w:p>
    <w:p>
      <w:bookmarkStart w:id="27" w:name="c_sa_cover_side_a_excess_cover"/>
      <w:r>
        <w:rPr>
          <w:rFonts w:ascii="Georgia" w:hAnsi="Georgia" w:eastAsia="Georgia"/>
          <w:b/>
          <w:i w:val="0"/>
          <w:color w:val="2E5C4E"/>
          <w:sz w:val="25"/>
        </w:rPr>
        <w:t>Side A Excess Cover</w:t>
      </w:r>
      <w:bookmarkEnd w:id="27"/>
    </w:p>
    <w:p>
      <w:r>
        <w:rPr>
          <w:b w:val="0"/>
          <w:i w:val="0"/>
        </w:rPr>
        <w:t>If a claim is first made against an insured person during the policy period for a wrongful act committed on or after the retroactive date, we will pay the insured person's non-indemnifiable loss in excess of the attachment point, up to the limit of liability of this policy.</w:t>
      </w:r>
    </w:p>
    <w:p>
      <w:bookmarkStart w:id="28" w:name="c_sa_cover_exhaustion_of_the_underlying_"/>
      <w:r>
        <w:rPr>
          <w:rFonts w:ascii="Georgia" w:hAnsi="Georgia" w:eastAsia="Georgia"/>
          <w:b/>
          <w:i w:val="0"/>
          <w:color w:val="2E5C4E"/>
          <w:sz w:val="25"/>
        </w:rPr>
        <w:t>Exhaustion of the Underlying D&amp;O Insurance</w:t>
      </w:r>
      <w:bookmarkEnd w:id="28"/>
    </w:p>
    <w:p>
      <w:r>
        <w:rPr>
          <w:b w:val="0"/>
          <w:i w:val="0"/>
        </w:rPr>
        <w:t>This policy attaches only when the underlying D&amp;O insurance has been exhausted by payment of loss. Payments count towards exhaustion whether they were made: (a) under any insuring clause of the underlying D&amp;O insurance, including cover for the company's own liability and reimbursement of the company; (b) by the underlying insurer; or (c) by or on behalf of an insured person or the company, in place of the underlying insurer, in settlement of loss covered by the underlying D&amp;O insurance. [WP REVIEW: confirm whether payments under (c), for example on a settlement with the underlying insurer below its limit, should count towards exhaustion, and whether we should require written notice of them]</w:t>
      </w:r>
    </w:p>
    <w:p>
      <w:r>
        <w:rPr>
          <w:b w:val="0"/>
          <w:i w:val="0"/>
        </w:rPr>
        <w:t>The attachment point is fixed at the start of the policy period. It is not reduced because the underlying D&amp;O insurance has been partly exhausted by payment: this policy attaches only when the whole of the attachment point has been exhausted.</w:t>
      </w:r>
    </w:p>
    <w:p>
      <w:bookmarkStart w:id="29" w:name="c_sa_cover_following_the_underlying_do_i"/>
      <w:r>
        <w:rPr>
          <w:rFonts w:ascii="Georgia" w:hAnsi="Georgia" w:eastAsia="Georgia"/>
          <w:b/>
          <w:i w:val="0"/>
          <w:color w:val="2E5C4E"/>
          <w:sz w:val="25"/>
        </w:rPr>
        <w:t>Following the Underlying D&amp;O Insurance</w:t>
      </w:r>
      <w:bookmarkEnd w:id="29"/>
    </w:p>
    <w:p>
      <w:r>
        <w:rPr>
          <w:b w:val="0"/>
          <w:i w:val="0"/>
        </w:rPr>
        <w:t xml:space="preserve">Except where this policy states otherwise, this policy follows the terms, conditions, definitions and exclusions of the followed policy, as they stand at the start of the policy period, that apply to cover for an insured person's loss which the company does not indemnify. Where the underlying D&amp;O insurance has more than one policy, this policy follows only the followed policy (see </w:t>
      </w:r>
      <w:hyperlink w:anchor="c_sa_def_followed_policy">
        <w:r>
          <w:rPr>
            <w:color w:val="2E5C4E"/>
            <w:u w:val="single"/>
          </w:rPr>
          <w:t xml:space="preserve">the definition of Followed policy</w:t>
        </w:r>
      </w:hyperlink>
      <w:r>
        <w:rPr>
          <w:b w:val="0"/>
          <w:i w:val="0"/>
        </w:rPr>
        <w:t>), and not the terms of any other policy in the underlying D&amp;O insurance. Where this policy and the followed policy are inconsistent, this policy applies.</w:t>
      </w:r>
    </w:p>
    <w:p>
      <w:r>
        <w:rPr>
          <w:b w:val="0"/>
          <w:i w:val="0"/>
        </w:rPr>
        <w:t>This policy does not follow: (a) any cover for the company's own liability, or for reimbursement of the company; (b) any provision about limits, sub-limits, retentions, excesses, premium, or cancellation; or (c) any change to the followed policy made after the start of the policy period, unless we agree to it in writing.</w:t>
      </w:r>
    </w:p>
    <w:p>
      <w:bookmarkStart w:id="30" w:name="c_sa_cover_no_drop_down"/>
      <w:r>
        <w:rPr>
          <w:rFonts w:ascii="Georgia" w:hAnsi="Georgia" w:eastAsia="Georgia"/>
          <w:b/>
          <w:i w:val="0"/>
          <w:color w:val="2E5C4E"/>
          <w:sz w:val="25"/>
        </w:rPr>
        <w:t>No Drop-Down</w:t>
      </w:r>
      <w:bookmarkEnd w:id="30"/>
    </w:p>
    <w:p>
      <w:r>
        <w:rPr>
          <w:b w:val="0"/>
          <w:i w:val="0"/>
        </w:rPr>
        <w:t xml:space="preserve">Unless </w:t>
      </w:r>
      <w:hyperlink w:anchor="c_sa_end_e04">
        <w:r>
          <w:rPr>
            <w:color w:val="2E5C4E"/>
            <w:u w:val="single"/>
          </w:rPr>
          <w:t xml:space="preserve">the E04 Difference in Conditions endorsement</w:t>
        </w:r>
      </w:hyperlink>
      <w:r>
        <w:rPr>
          <w:b w:val="0"/>
          <w:i w:val="0"/>
        </w:rPr>
        <w:t xml:space="preserve"> applies, this policy does not pay any loss that the underlying D&amp;O insurance does not cover, and does not pay below the attachment point for any reason, including the insolvency of the underlying insurer or its refusal or failure to pay. An amount the underlying insurer does not pay does not reduce the attachment point.</w:t>
      </w:r>
    </w:p>
    <w:p>
      <w:bookmarkStart w:id="31" w:name="c_sa_cover_priority_and_independence"/>
      <w:r>
        <w:rPr>
          <w:rFonts w:ascii="Georgia" w:hAnsi="Georgia" w:eastAsia="Georgia"/>
          <w:b/>
          <w:i w:val="0"/>
          <w:color w:val="2E5C4E"/>
          <w:sz w:val="25"/>
        </w:rPr>
        <w:t>Priority and Independence</w:t>
      </w:r>
      <w:bookmarkEnd w:id="31"/>
    </w:p>
    <w:p>
      <w:r>
        <w:rPr>
          <w:b w:val="0"/>
          <w:i w:val="0"/>
        </w:rPr>
        <w:t>This policy is for the exclusive benefit of individual insured persons. The company has no right to claim under this policy and cannot direct, control, or assign the benefits of this policy.</w:t>
      </w:r>
    </w:p>
    <w:p>
      <w:r>
        <w:rPr>
          <w:b w:val="0"/>
          <w:i w:val="0"/>
        </w:rPr>
        <w:t>If the company is in liquidation, administration, or receivership: (a) no liquidator, administrator, receiver, or creditor of the company has any right to access, assign, or claim the proceeds of this policy; (b) no court order or statutory charge against the company's assets affects the proceeds of this policy, because the proceeds belong to the insured person, not the company; and (c) we will pay the insured person directly — not through the company.</w:t>
      </w:r>
    </w:p>
    <w:p>
      <w:bookmarkStart w:id="32" w:name="c_sa_cover_presumptive_indemnification"/>
      <w:r>
        <w:rPr>
          <w:rFonts w:ascii="Georgia" w:hAnsi="Georgia" w:eastAsia="Georgia"/>
          <w:b/>
          <w:i w:val="0"/>
          <w:color w:val="2E5C4E"/>
          <w:sz w:val="25"/>
        </w:rPr>
        <w:t>Presumptive Indemnification</w:t>
      </w:r>
      <w:bookmarkEnd w:id="32"/>
    </w:p>
    <w:p>
      <w:r>
        <w:rPr>
          <w:b w:val="0"/>
          <w:i w:val="0"/>
        </w:rPr>
        <w:t>For the purpose of determining whether a loss is a non-indemnifiable loss, it is presumed, unless we prove otherwise, that the company is legally permitted and financially able to indemnify the insured person for the loss. This presumption may be rebutted only by evidence establishing that the company is not legally permitted, or is not financially able, to indemnify the loss (for example, evidence of insolvency, liquidation, administration, receivership, or a deed of company arrangement), or that the company has refused or failed to indemnify.</w:t>
      </w:r>
    </w:p>
    <w:p>
      <w:r>
        <w:rPr>
          <w:b w:val="0"/>
          <w:i w:val="0"/>
        </w:rPr>
        <w:t>Uncertainty as to whether the company is legally permitted or financially able to indemnify does not, by itself, entitle us to withhold or delay advancement of defence costs or payment of loss once this policy has attached.</w:t>
      </w:r>
    </w:p>
    <w:p>
      <w:bookmarkStart w:id="33" w:name="c_sa_ext_advancement_of_defence_costs"/>
      <w:r>
        <w:rPr>
          <w:rFonts w:ascii="Georgia" w:hAnsi="Georgia" w:eastAsia="Georgia"/>
          <w:b/>
          <w:i w:val="0"/>
          <w:color w:val="2E5C4E"/>
          <w:sz w:val="25"/>
        </w:rPr>
        <w:t>Advancement of Defence Costs</w:t>
      </w:r>
      <w:bookmarkEnd w:id="33"/>
    </w:p>
    <w:p>
      <w:r>
        <w:rPr>
          <w:b w:val="0"/>
          <w:i w:val="0"/>
        </w:rPr>
        <w:t>Once this policy has attached, we will advance defence costs as they are incurred, without waiting for the outcome of the claim. We advance defence costs in the same way in civil-penalty and criminal proceedings.</w:t>
      </w:r>
    </w:p>
    <w:p>
      <w:r>
        <w:rPr>
          <w:b w:val="0"/>
          <w:i w:val="0"/>
        </w:rPr>
        <w:t>The insured person must repay advanced defence costs to the extent that:</w:t>
      </w:r>
    </w:p>
    <w:p>
      <w:r>
        <w:rPr>
          <w:b w:val="0"/>
          <w:i w:val="0"/>
        </w:rPr>
        <w:t xml:space="preserve">(a) it is later established, by Final adjudication or by an allocation under </w:t>
      </w:r>
      <w:hyperlink w:anchor="c_sa_pay_allocation">
        <w:r>
          <w:rPr>
            <w:color w:val="2E5C4E"/>
            <w:u w:val="single"/>
          </w:rPr>
          <w:t xml:space="preserve">the Allocation provision</w:t>
        </w:r>
      </w:hyperlink>
      <w:r>
        <w:rPr>
          <w:b w:val="0"/>
          <w:i w:val="0"/>
        </w:rPr>
        <w:t>, that they were not covered;</w:t>
      </w:r>
    </w:p>
    <w:p>
      <w:r>
        <w:rPr>
          <w:b w:val="0"/>
          <w:i w:val="0"/>
        </w:rPr>
        <w:t xml:space="preserve">(b) a Final adjudication, or a court's finding, establishes conduct that </w:t>
      </w:r>
      <w:hyperlink w:anchor="c_sa_excl_dishonesty_and_fraud">
        <w:r>
          <w:rPr>
            <w:color w:val="2E5C4E"/>
            <w:u w:val="single"/>
          </w:rPr>
          <w:t xml:space="preserve">the Dishonesty and Fraud exclusion</w:t>
        </w:r>
      </w:hyperlink>
      <w:r>
        <w:rPr>
          <w:b w:val="0"/>
          <w:i w:val="0"/>
        </w:rPr>
        <w:t xml:space="preserve"> or </w:t>
      </w:r>
      <w:hyperlink w:anchor="c_sa_excl_personal_profit">
        <w:r>
          <w:rPr>
            <w:color w:val="2E5C4E"/>
            <w:u w:val="single"/>
          </w:rPr>
          <w:t xml:space="preserve">the Personal Profit exclusion</w:t>
        </w:r>
      </w:hyperlink>
      <w:r>
        <w:rPr>
          <w:b w:val="0"/>
          <w:i w:val="0"/>
        </w:rPr>
        <w:t xml:space="preserve"> excludes, or that the law does not allow to be covered (see </w:t>
      </w:r>
      <w:hyperlink w:anchor="c_sa_cond_corporations_act_199a_199b">
        <w:r>
          <w:rPr>
            <w:color w:val="2E5C4E"/>
            <w:u w:val="single"/>
          </w:rPr>
          <w:t xml:space="preserve">the Corporations Act 2001 (Cth), sections 199A and 199B condition</w:t>
        </w:r>
      </w:hyperlink>
      <w:r>
        <w:rPr>
          <w:b w:val="0"/>
          <w:i w:val="0"/>
        </w:rPr>
        <w:t>); or</w:t>
      </w:r>
    </w:p>
    <w:p>
      <w:r>
        <w:rPr>
          <w:b w:val="0"/>
          <w:i w:val="0"/>
        </w:rPr>
        <w:t>(c) the company later indemnifies the insured person for the same loss (including from funds recovered in an insolvency, liquidation, administration, receivership, or deed of company arrangement), to the extent of the indemnity received, so that there is no double recovery.</w:t>
      </w:r>
    </w:p>
    <w:p>
      <w:bookmarkStart w:id="34" w:name="c_sa_section_exclusions"/>
      <w:r>
        <w:rPr>
          <w:rFonts w:ascii="Georgia" w:hAnsi="Georgia" w:eastAsia="Georgia"/>
          <w:b/>
          <w:i w:val="0"/>
          <w:color w:val="1C1915"/>
          <w:sz w:val="32"/>
        </w:rPr>
        <w:t>What Is Not Covered</w:t>
      </w:r>
      <w:bookmarkEnd w:id="34"/>
    </w:p>
    <w:p>
      <w:r>
        <w:rPr>
          <w:b w:val="0"/>
          <w:i w:val="0"/>
        </w:rPr>
        <w:t>In addition to the exclusions of the followed policy that this policy follows, we do not cover any claim or loss:</w:t>
      </w:r>
    </w:p>
    <w:p>
      <w:bookmarkStart w:id="35" w:name="c_sa_excl_loss_indemnified_by_the_compan"/>
      <w:r>
        <w:rPr>
          <w:rFonts w:ascii="Georgia" w:hAnsi="Georgia" w:eastAsia="Georgia"/>
          <w:b/>
          <w:i w:val="0"/>
          <w:color w:val="2E5C4E"/>
          <w:sz w:val="25"/>
        </w:rPr>
        <w:t>Loss Indemnified by the Company</w:t>
      </w:r>
      <w:bookmarkEnd w:id="35"/>
    </w:p>
    <w:p>
      <w:r>
        <w:rPr>
          <w:b w:val="0"/>
          <w:i w:val="0"/>
        </w:rPr>
        <w:t>to the extent the company has actually paid it to, or on behalf of, the insured person by way of indemnity or advancement. This exclusion does not apply to loss the company refuses or fails to pay.</w:t>
      </w:r>
    </w:p>
    <w:p>
      <w:bookmarkStart w:id="36" w:name="c_sa_excl_dishonesty_and_fraud"/>
      <w:r>
        <w:rPr>
          <w:rFonts w:ascii="Georgia" w:hAnsi="Georgia" w:eastAsia="Georgia"/>
          <w:b/>
          <w:i w:val="0"/>
          <w:color w:val="2E5C4E"/>
          <w:sz w:val="25"/>
        </w:rPr>
        <w:t>Dishonesty and Fraud</w:t>
      </w:r>
      <w:bookmarkEnd w:id="36"/>
    </w:p>
    <w:p>
      <w:r>
        <w:rPr>
          <w:b w:val="0"/>
          <w:i w:val="0"/>
        </w:rPr>
        <w:t>arising from any deliberately dishonest, fraudulent, or criminal conduct of the insured person — but only after final adjudication establishes that the insured person personally committed the dishonest or fraudulent conduct. Until final adjudication, we will continue to advance defence costs. If final adjudication establishes dishonesty, the insured person must repay any defence costs we have advanced for the portion of the claim relating to the established dishonesty.</w:t>
      </w:r>
    </w:p>
    <w:p>
      <w:bookmarkStart w:id="37" w:name="c_sa_excl_personal_profit"/>
      <w:r>
        <w:rPr>
          <w:rFonts w:ascii="Georgia" w:hAnsi="Georgia" w:eastAsia="Georgia"/>
          <w:b/>
          <w:i w:val="0"/>
          <w:color w:val="2E5C4E"/>
          <w:sz w:val="25"/>
        </w:rPr>
        <w:t>Personal Profit</w:t>
      </w:r>
      <w:bookmarkEnd w:id="37"/>
    </w:p>
    <w:p>
      <w:r>
        <w:rPr>
          <w:b w:val="0"/>
          <w:i w:val="0"/>
        </w:rPr>
        <w:t xml:space="preserve">for any personal profit, remuneration, or advantage gained by the insured person to which they were not legally entitled — but only after final adjudication establishes that the profit was improperly gained. Until final adjudication, we will continue to advance defence costs, on the same basis as </w:t>
      </w:r>
      <w:hyperlink w:anchor="c_sa_excl_dishonesty_and_fraud">
        <w:r>
          <w:rPr>
            <w:color w:val="2E5C4E"/>
            <w:u w:val="single"/>
          </w:rPr>
          <w:t xml:space="preserve">the Dishonesty and Fraud exclusion</w:t>
        </w:r>
      </w:hyperlink>
      <w:r>
        <w:rPr>
          <w:b w:val="0"/>
          <w:i w:val="0"/>
        </w:rPr>
        <w:t>.</w:t>
      </w:r>
    </w:p>
    <w:p>
      <w:bookmarkStart w:id="38" w:name="c_sa_excl_prior_and_pending_litigation"/>
      <w:r>
        <w:rPr>
          <w:rFonts w:ascii="Georgia" w:hAnsi="Georgia" w:eastAsia="Georgia"/>
          <w:b/>
          <w:i w:val="0"/>
          <w:color w:val="2E5C4E"/>
          <w:sz w:val="25"/>
        </w:rPr>
        <w:t>Prior and Pending Litigation</w:t>
      </w:r>
      <w:bookmarkEnd w:id="38"/>
    </w:p>
    <w:p>
      <w:r>
        <w:rPr>
          <w:b w:val="0"/>
          <w:i w:val="0"/>
        </w:rPr>
        <w:t>arising from, or in any way involving, any demand, suit, proceeding, investigation, or claim that was pending, or of which written notice had been given under any prior policy, before the retroactive date — regardless of whether the insured person seeking cover had knowledge of it.</w:t>
      </w:r>
    </w:p>
    <w:p>
      <w:bookmarkStart w:id="39" w:name="c_sa_excl_us_canada_jurisdiction"/>
      <w:r>
        <w:rPr>
          <w:rFonts w:ascii="Georgia" w:hAnsi="Georgia" w:eastAsia="Georgia"/>
          <w:b/>
          <w:i w:val="0"/>
          <w:color w:val="2E5C4E"/>
          <w:sz w:val="25"/>
        </w:rPr>
        <w:t>US / Canada Jurisdiction</w:t>
      </w:r>
      <w:bookmarkEnd w:id="39"/>
    </w:p>
    <w:p>
      <w:r>
        <w:rPr>
          <w:b w:val="0"/>
          <w:i w:val="0"/>
        </w:rPr>
        <w:t>for any claim brought or maintained in a court in the United States or Canada.</w:t>
      </w:r>
    </w:p>
    <w:p>
      <w:bookmarkStart w:id="40" w:name="c_sa_section_payment"/>
      <w:r>
        <w:rPr>
          <w:rFonts w:ascii="Georgia" w:hAnsi="Georgia" w:eastAsia="Georgia"/>
          <w:b/>
          <w:i w:val="0"/>
          <w:color w:val="1C1915"/>
          <w:sz w:val="32"/>
        </w:rPr>
        <w:t>How Much We Will Pay</w:t>
      </w:r>
      <w:bookmarkEnd w:id="40"/>
    </w:p>
    <w:p>
      <w:bookmarkStart w:id="41" w:name="c_sa_pay_limit_of_liability"/>
      <w:r>
        <w:rPr>
          <w:rFonts w:ascii="Georgia" w:hAnsi="Georgia" w:eastAsia="Georgia"/>
          <w:b/>
          <w:i w:val="0"/>
          <w:color w:val="2E5C4E"/>
          <w:sz w:val="25"/>
        </w:rPr>
        <w:t>Limit of Liability</w:t>
      </w:r>
      <w:bookmarkEnd w:id="41"/>
    </w:p>
    <w:p>
      <w:r>
        <w:rPr>
          <w:b w:val="0"/>
          <w:i w:val="0"/>
        </w:rPr>
        <w:t>The most we will pay for all claims and defence costs combined during the policy period is the limit of liability shown in the schedule.</w:t>
      </w:r>
    </w:p>
    <w:p>
      <w:bookmarkStart w:id="42" w:name="c_sa_pay_defence_costs_within_the_limit"/>
      <w:r>
        <w:rPr>
          <w:rFonts w:ascii="Georgia" w:hAnsi="Georgia" w:eastAsia="Georgia"/>
          <w:b/>
          <w:i w:val="0"/>
          <w:color w:val="2E5C4E"/>
          <w:sz w:val="25"/>
        </w:rPr>
        <w:t>Defence Costs Within the Limit</w:t>
      </w:r>
      <w:bookmarkEnd w:id="42"/>
    </w:p>
    <w:p>
      <w:r>
        <w:rPr>
          <w:b w:val="0"/>
          <w:i w:val="0"/>
        </w:rPr>
        <w:t>Defence costs are included within the limit of liability.</w:t>
      </w:r>
    </w:p>
    <w:p>
      <w:bookmarkStart w:id="43" w:name="c_sa_pay_no_excess_for_insured_persons"/>
      <w:r>
        <w:rPr>
          <w:rFonts w:ascii="Georgia" w:hAnsi="Georgia" w:eastAsia="Georgia"/>
          <w:b/>
          <w:i w:val="0"/>
          <w:color w:val="2E5C4E"/>
          <w:sz w:val="25"/>
        </w:rPr>
        <w:t>No Excess for Insured Persons</w:t>
      </w:r>
      <w:bookmarkEnd w:id="43"/>
    </w:p>
    <w:p>
      <w:r>
        <w:rPr>
          <w:b w:val="0"/>
          <w:i w:val="0"/>
        </w:rPr>
        <w:t xml:space="preserve">There is no excess payable by any insured person under this policy, except the DIC retention shown in the schedule for </w:t>
      </w:r>
      <w:hyperlink w:anchor="c_sa_end_e04">
        <w:r>
          <w:rPr>
            <w:color w:val="2E5C4E"/>
            <w:u w:val="single"/>
          </w:rPr>
          <w:t xml:space="preserve">the E04 Difference in Conditions endorsement</w:t>
        </w:r>
      </w:hyperlink>
      <w:r>
        <w:rPr>
          <w:b w:val="0"/>
          <w:i w:val="0"/>
        </w:rPr>
        <w:t>, which applies only to loss paid under that endorsement. Once this policy has attached, we will not require a director or officer to pay out of their own pocket before we respond.</w:t>
      </w:r>
    </w:p>
    <w:p>
      <w:bookmarkStart w:id="44" w:name="c_sa_pay_order_of_payment"/>
      <w:r>
        <w:rPr>
          <w:rFonts w:ascii="Georgia" w:hAnsi="Georgia" w:eastAsia="Georgia"/>
          <w:b/>
          <w:i w:val="0"/>
          <w:color w:val="2E5C4E"/>
          <w:sz w:val="25"/>
        </w:rPr>
        <w:t>Order of Payment</w:t>
      </w:r>
      <w:bookmarkEnd w:id="44"/>
    </w:p>
    <w:p>
      <w:r>
        <w:rPr>
          <w:b w:val="0"/>
          <w:i w:val="0"/>
        </w:rPr>
        <w:t>If the limit of liability is or may be insufficient to cover all insured persons' losses, we pay defence costs as they are incurred, and we pay other loss in the order in which claims are finally agreed or determined.</w:t>
      </w:r>
    </w:p>
    <w:p>
      <w:r>
        <w:rPr>
          <w:b w:val="0"/>
          <w:i w:val="0"/>
        </w:rPr>
        <w:t>If we pay loss in good faith in that order, we are discharged to the extent of each payment, even if a later claim then cannot be paid in full because the limit of liability has been used up.</w:t>
      </w:r>
    </w:p>
    <w:p>
      <w:bookmarkStart w:id="45" w:name="c_sa_pay_allocation"/>
      <w:r>
        <w:rPr>
          <w:rFonts w:ascii="Georgia" w:hAnsi="Georgia" w:eastAsia="Georgia"/>
          <w:b/>
          <w:i w:val="0"/>
          <w:color w:val="2E5C4E"/>
          <w:sz w:val="25"/>
        </w:rPr>
        <w:t>Allocation</w:t>
      </w:r>
      <w:bookmarkEnd w:id="45"/>
    </w:p>
    <w:p>
      <w:r>
        <w:rPr>
          <w:b w:val="0"/>
          <w:i w:val="0"/>
        </w:rPr>
        <w:t>If a claim involves covered and uncovered matters or parties, we will agree a fair allocation. The allocation is made by reference to the relative legal and financial exposure of the covered and the uncovered matters and parties. If we cannot agree, a senior counsel agreed by both parties (or appointed by the President of the relevant Law Society) will determine allocation.</w:t>
      </w:r>
    </w:p>
    <w:p>
      <w:r>
        <w:rPr>
          <w:b w:val="0"/>
          <w:i w:val="0"/>
        </w:rPr>
        <w:t>We advance defence costs for the covered portion pending allocation.</w:t>
      </w:r>
    </w:p>
    <w:p>
      <w:bookmarkStart w:id="46" w:name="c_sa_pay_other_insurance"/>
      <w:r>
        <w:rPr>
          <w:rFonts w:ascii="Georgia" w:hAnsi="Georgia" w:eastAsia="Georgia"/>
          <w:b/>
          <w:i w:val="0"/>
          <w:color w:val="2E5C4E"/>
          <w:sz w:val="25"/>
        </w:rPr>
        <w:t>Other Insurance</w:t>
      </w:r>
      <w:bookmarkEnd w:id="46"/>
    </w:p>
    <w:p>
      <w:r>
        <w:rPr>
          <w:b w:val="0"/>
          <w:i w:val="0"/>
        </w:rPr>
        <w:t>If a loss covered by this policy is also covered by another insurance policy, we will not refuse or reduce our payment because of that other insurance. We may seek contribution from the other insurer as the law allows. This does not apply where the schedule or an endorsement states that this policy is excess of a specified underlying policy, in which case this policy pays only after the limit of that specified policy is exhausted.</w:t>
      </w:r>
    </w:p>
    <w:p>
      <w:r>
        <w:rPr>
          <w:b w:val="0"/>
          <w:i w:val="0"/>
        </w:rPr>
        <w:t>The underlying D&amp;O insurance listed in the schedule is a specified underlying policy for this purpose.</w:t>
      </w:r>
    </w:p>
    <w:p>
      <w:bookmarkStart w:id="47" w:name="c_sa_section_obligations"/>
      <w:r>
        <w:rPr>
          <w:rFonts w:ascii="Georgia" w:hAnsi="Georgia" w:eastAsia="Georgia"/>
          <w:b/>
          <w:i w:val="0"/>
          <w:color w:val="1C1915"/>
          <w:sz w:val="32"/>
        </w:rPr>
        <w:t>Your Obligations</w:t>
      </w:r>
      <w:bookmarkEnd w:id="47"/>
    </w:p>
    <w:p>
      <w:bookmarkStart w:id="48" w:name="c_sa_obl_notify_claims"/>
      <w:r>
        <w:rPr>
          <w:rFonts w:ascii="Georgia" w:hAnsi="Georgia" w:eastAsia="Georgia"/>
          <w:b/>
          <w:i w:val="0"/>
          <w:color w:val="2E5C4E"/>
          <w:sz w:val="25"/>
        </w:rPr>
        <w:t>Notify Us of Claims</w:t>
      </w:r>
      <w:bookmarkEnd w:id="48"/>
    </w:p>
    <w:p>
      <w:r>
        <w:rPr>
          <w:b w:val="0"/>
          <w:i w:val="0"/>
        </w:rPr>
        <w:t>Any insured person may notify us directly of a claim. They do not need to go through the company or the company's broker. Tell us in writing as soon as reasonably practicable after you become aware of a claim that is notified under the underlying D&amp;O insurance and that may reach this policy.</w:t>
      </w:r>
    </w:p>
    <w:p>
      <w:bookmarkStart w:id="49" w:name="c_sa_obl_notify_circumstances"/>
      <w:r>
        <w:rPr>
          <w:rFonts w:ascii="Georgia" w:hAnsi="Georgia" w:eastAsia="Georgia"/>
          <w:b/>
          <w:i w:val="0"/>
          <w:color w:val="2E5C4E"/>
          <w:sz w:val="25"/>
        </w:rPr>
        <w:t>Notify Us of Circumstances</w:t>
      </w:r>
      <w:bookmarkEnd w:id="49"/>
    </w:p>
    <w:p>
      <w:r>
        <w:rPr>
          <w:b w:val="0"/>
          <w:i w:val="0"/>
        </w:rPr>
        <w:t>Tell us during the policy period if you become aware of any fact, matter, or circumstance that might reasonably be expected to give rise to a claim. Notified circumstances will be treated as a claim first made during this policy period, in accordance with section 40(3) of the Insurance Contracts Act 1984 (Cth).</w:t>
      </w:r>
    </w:p>
    <w:p>
      <w:bookmarkStart w:id="50" w:name="c_sa_obl_do_not_admit_liability"/>
      <w:r>
        <w:rPr>
          <w:rFonts w:ascii="Georgia" w:hAnsi="Georgia" w:eastAsia="Georgia"/>
          <w:b/>
          <w:i w:val="0"/>
          <w:color w:val="2E5C4E"/>
          <w:sz w:val="25"/>
        </w:rPr>
        <w:t>Do Not Admit Liability</w:t>
      </w:r>
      <w:bookmarkEnd w:id="50"/>
    </w:p>
    <w:p>
      <w:r>
        <w:rPr>
          <w:b w:val="0"/>
          <w:i w:val="0"/>
        </w:rPr>
        <w:t>Do not admit liability or settle without our written consent where the settlement may reach this policy. We will not unreasonably withhold consent.</w:t>
      </w:r>
    </w:p>
    <w:p>
      <w:bookmarkStart w:id="51" w:name="c_sa_obl_cooperate"/>
      <w:r>
        <w:rPr>
          <w:rFonts w:ascii="Georgia" w:hAnsi="Georgia" w:eastAsia="Georgia"/>
          <w:b/>
          <w:i w:val="0"/>
          <w:color w:val="2E5C4E"/>
          <w:sz w:val="25"/>
        </w:rPr>
        <w:t>Cooperate</w:t>
      </w:r>
      <w:bookmarkEnd w:id="51"/>
    </w:p>
    <w:p>
      <w:r>
        <w:rPr>
          <w:b w:val="0"/>
          <w:i w:val="0"/>
        </w:rPr>
        <w:t>Cooperate with us and provide all information and documents we reasonably need, including copies of correspondence with the underlying insurer about the claim.</w:t>
      </w:r>
    </w:p>
    <w:p>
      <w:bookmarkStart w:id="52" w:name="c_sa_obl_maintenance_of_underlying_do_in"/>
      <w:r>
        <w:rPr>
          <w:rFonts w:ascii="Georgia" w:hAnsi="Georgia" w:eastAsia="Georgia"/>
          <w:b/>
          <w:i w:val="0"/>
          <w:color w:val="2E5C4E"/>
          <w:sz w:val="25"/>
        </w:rPr>
        <w:t>Maintenance of Underlying D&amp;O Insurance</w:t>
      </w:r>
      <w:bookmarkEnd w:id="52"/>
    </w:p>
    <w:p>
      <w:r>
        <w:rPr>
          <w:b w:val="0"/>
          <w:i w:val="0"/>
        </w:rPr>
        <w:t>The company must keep the underlying D&amp;O insurance in force, on the terms and limits shown in the schedule, for the policy period, and tell us promptly if it is cancelled, not renewed, or its limits or terms are reduced.</w:t>
      </w:r>
    </w:p>
    <w:p>
      <w:r>
        <w:rPr>
          <w:b w:val="0"/>
          <w:i w:val="0"/>
        </w:rPr>
        <w:t xml:space="preserve">If the underlying D&amp;O insurance is not maintained, we will pay only what we would have paid had it been maintained, and only to the extent permitted by section 54 of the Insurance Contracts Act 1984 (Cth) (see </w:t>
      </w:r>
      <w:hyperlink w:anchor="c_sa_cond_insurance_contracts_act_1984_c">
        <w:r>
          <w:rPr>
            <w:color w:val="2E5C4E"/>
            <w:u w:val="single"/>
          </w:rPr>
          <w:t xml:space="preserve">the Insurance Contracts Act 1984 (Cth) condition</w:t>
        </w:r>
      </w:hyperlink>
      <w:r>
        <w:rPr>
          <w:b w:val="0"/>
          <w:i w:val="0"/>
        </w:rPr>
        <w:t>). [WP REVIEW: confirm the effect of s 54 on this clause, and whether an innocent insured person should be protected where the company fails to maintain the underlying D&amp;O insurance]</w:t>
      </w:r>
    </w:p>
    <w:p>
      <w:bookmarkStart w:id="53" w:name="c_sa_section_conditions"/>
      <w:r>
        <w:rPr>
          <w:rFonts w:ascii="Georgia" w:hAnsi="Georgia" w:eastAsia="Georgia"/>
          <w:b/>
          <w:i w:val="0"/>
          <w:color w:val="1C1915"/>
          <w:sz w:val="32"/>
        </w:rPr>
        <w:t>General Conditions</w:t>
      </w:r>
      <w:bookmarkEnd w:id="53"/>
    </w:p>
    <w:p>
      <w:bookmarkStart w:id="54" w:name="c_sa_cond_non_avoidance"/>
      <w:r>
        <w:rPr>
          <w:rFonts w:ascii="Georgia" w:hAnsi="Georgia" w:eastAsia="Georgia"/>
          <w:b/>
          <w:i w:val="0"/>
          <w:color w:val="2E5C4E"/>
          <w:sz w:val="25"/>
        </w:rPr>
        <w:t>Non-Avoidance</w:t>
      </w:r>
      <w:bookmarkEnd w:id="54"/>
    </w:p>
    <w:p>
      <w:r>
        <w:rPr>
          <w:b w:val="0"/>
          <w:i w:val="0"/>
        </w:rPr>
        <w:t>We will not avoid this policy, or any insured person's cover under it, under section 28 of the Insurance Contracts Act 1984 (Cth) or otherwise, for non-disclosure or misrepresentation in connection with the application for this policy — except where the specific insured person seeking cover personally committed the non-disclosure or misrepresentation, and did so fraudulently or with the intention to deceive us. Avoidance, where available, is limited to the cover of that insured person only, and does not affect the cover of any other, innocent insured person.</w:t>
      </w:r>
    </w:p>
    <w:p>
      <w:r>
        <w:rPr>
          <w:b w:val="0"/>
          <w:i w:val="0"/>
        </w:rPr>
        <w:t>Where a non-disclosure or misrepresentation is not fraudulent, we will not reduce our liability to an innocent insured person under section 28(3) of the Insurance Contracts Act 1984 (Cth) or otherwise, on account of that non-disclosure or misrepresentation. We expressly waive that remedy as against every innocent insured person. This paragraph does not limit our rights under section 28 against the insured person who personally made the fraudulent non-disclosure or misrepresentation.</w:t>
      </w:r>
    </w:p>
    <w:p>
      <w:bookmarkStart w:id="55" w:name="c_sa_cond_duty_of_disclosure"/>
      <w:r>
        <w:rPr>
          <w:rFonts w:ascii="Georgia" w:hAnsi="Georgia" w:eastAsia="Georgia"/>
          <w:b/>
          <w:i w:val="0"/>
          <w:color w:val="2E5C4E"/>
          <w:sz w:val="25"/>
        </w:rPr>
        <w:t>Duty of Disclosure</w:t>
      </w:r>
      <w:bookmarkEnd w:id="55"/>
    </w:p>
    <w:p>
      <w:r>
        <w:rPr>
          <w:b w:val="0"/>
          <w:i w:val="0"/>
        </w:rPr>
        <w:t xml:space="preserve">The company, as the party proposing this contract, has a duty of disclosure under sections 21, 21A, and 22 of the Insurance Contracts Act 1984 (Cth). This is a commercial (non-consumer) contract of insurance: the duty is to disclose to us, before the contract was entered into, every matter known to the company that is relevant to our decision to accept the risk and on what terms. A matter is known to the company if it is known to a member of the control group (see </w:t>
      </w:r>
      <w:hyperlink w:anchor="c_sa_def_control_group">
        <w:r>
          <w:rPr>
            <w:color w:val="2E5C4E"/>
            <w:u w:val="single"/>
          </w:rPr>
          <w:t xml:space="preserve">the definition of Control group</w:t>
        </w:r>
      </w:hyperlink>
      <w:r>
        <w:rPr>
          <w:b w:val="0"/>
          <w:i w:val="0"/>
        </w:rPr>
        <w:t>).</w:t>
      </w:r>
    </w:p>
    <w:p>
      <w:r>
        <w:rPr>
          <w:b w:val="0"/>
          <w:i w:val="0"/>
        </w:rPr>
        <w:t xml:space="preserve">As between us and each insured person, disclosure-related consequences are assessed individually — a contractual mechanism consistent with </w:t>
      </w:r>
      <w:hyperlink w:anchor="c_sa_cond_severability">
        <w:r>
          <w:rPr>
            <w:color w:val="2E5C4E"/>
            <w:u w:val="single"/>
          </w:rPr>
          <w:t xml:space="preserve">the Severability condition</w:t>
        </w:r>
      </w:hyperlink>
      <w:r>
        <w:rPr>
          <w:b w:val="0"/>
          <w:i w:val="0"/>
        </w:rPr>
        <w:t xml:space="preserve"> — so that the company's non-fraudulent failure to disclose does not itself deprive an innocent insured person of cover (see </w:t>
      </w:r>
      <w:hyperlink w:anchor="c_sa_cond_non_avoidance">
        <w:r>
          <w:rPr>
            <w:color w:val="2E5C4E"/>
            <w:u w:val="single"/>
          </w:rPr>
          <w:t xml:space="preserve">the Non-Avoidance condition</w:t>
        </w:r>
      </w:hyperlink>
      <w:r>
        <w:rPr>
          <w:b w:val="0"/>
          <w:i w:val="0"/>
        </w:rPr>
        <w:t>). This is a contractual mechanism, not an assertion that each insured person separately owes the statutory duty of disclosure under the Act.</w:t>
      </w:r>
    </w:p>
    <w:p>
      <w:r>
        <w:rPr>
          <w:b w:val="0"/>
          <w:i w:val="0"/>
        </w:rPr>
        <w:t>[WP REVIEW: confirm that keying the company's knowledge to the control group is consistent with the duty of disclosure under section 21 of the Act.]</w:t>
      </w:r>
    </w:p>
    <w:p>
      <w:bookmarkStart w:id="56" w:name="c_sa_cond_severability"/>
      <w:r>
        <w:rPr>
          <w:rFonts w:ascii="Georgia" w:hAnsi="Georgia" w:eastAsia="Georgia"/>
          <w:b/>
          <w:i w:val="0"/>
          <w:color w:val="2E5C4E"/>
          <w:sz w:val="25"/>
        </w:rPr>
        <w:t>Severability</w:t>
      </w:r>
      <w:bookmarkEnd w:id="56"/>
    </w:p>
    <w:p>
      <w:r>
        <w:rPr>
          <w:b w:val="0"/>
          <w:i w:val="0"/>
        </w:rPr>
        <w:t>This policy treats each insured person as if they have their own separate policy. The conduct, knowledge, or statements of one insured person are not attributed to any other insured person. This applies to every exclusion, condition and obligation in this policy that turns on what an insured person knew, did or failed to do.</w:t>
      </w:r>
    </w:p>
    <w:p>
      <w:r>
        <w:rPr>
          <w:b w:val="0"/>
          <w:i w:val="0"/>
        </w:rPr>
        <w:t>The knowledge and conduct of the company, including of a member of the control group, are not attributed to any insured person other than that member.</w:t>
      </w:r>
    </w:p>
    <w:p>
      <w:bookmarkStart w:id="57" w:name="c_sa_cond_subrogation_and_recovery"/>
      <w:r>
        <w:rPr>
          <w:rFonts w:ascii="Georgia" w:hAnsi="Georgia" w:eastAsia="Georgia"/>
          <w:b/>
          <w:i w:val="0"/>
          <w:color w:val="2E5C4E"/>
          <w:sz w:val="25"/>
        </w:rPr>
        <w:t>Subrogation and Recovery</w:t>
      </w:r>
      <w:bookmarkEnd w:id="57"/>
    </w:p>
    <w:p>
      <w:r>
        <w:rPr>
          <w:b w:val="0"/>
          <w:i w:val="0"/>
        </w:rPr>
        <w:t>When we make a payment under this policy, we take over the insured person's rights of recovery for that loss, including any right to be indemnified, or to have defence costs advanced, by the company.</w:t>
      </w:r>
    </w:p>
    <w:p>
      <w:r>
        <w:rPr>
          <w:b w:val="0"/>
          <w:i w:val="0"/>
        </w:rPr>
        <w:t xml:space="preserve">We will not exercise any right of recovery against an insured person, except to recover amounts that must be repaid under </w:t>
      </w:r>
      <w:hyperlink w:anchor="c_sa_excl_dishonesty_and_fraud">
        <w:r>
          <w:rPr>
            <w:color w:val="2E5C4E"/>
            <w:u w:val="single"/>
          </w:rPr>
          <w:t xml:space="preserve">the Dishonesty and Fraud exclusion</w:t>
        </w:r>
      </w:hyperlink>
      <w:r>
        <w:rPr>
          <w:b w:val="0"/>
          <w:i w:val="0"/>
        </w:rPr>
        <w:t xml:space="preserve"> or </w:t>
      </w:r>
      <w:hyperlink w:anchor="c_sa_excl_personal_profit">
        <w:r>
          <w:rPr>
            <w:color w:val="2E5C4E"/>
            <w:u w:val="single"/>
          </w:rPr>
          <w:t xml:space="preserve">the Personal Profit exclusion</w:t>
        </w:r>
      </w:hyperlink>
      <w:r>
        <w:rPr>
          <w:b w:val="0"/>
          <w:i w:val="0"/>
        </w:rPr>
        <w:t xml:space="preserve"> after final adjudication. The insured person must give us reasonable help to exercise these rights, at our cost.</w:t>
      </w:r>
    </w:p>
    <w:p>
      <w:r>
        <w:rPr>
          <w:b w:val="0"/>
          <w:i w:val="0"/>
        </w:rPr>
        <w:t>Any amount recovered, after deducting the reasonable costs of recovery, is applied first to repay the insured person for loss they have paid that this policy did not cover because the limit of liability was exhausted, and then to repay us.</w:t>
      </w:r>
    </w:p>
    <w:p>
      <w:bookmarkStart w:id="58" w:name="c_sa_cond_cancellation"/>
      <w:r>
        <w:rPr>
          <w:rFonts w:ascii="Georgia" w:hAnsi="Georgia" w:eastAsia="Georgia"/>
          <w:b/>
          <w:i w:val="0"/>
          <w:color w:val="2E5C4E"/>
          <w:sz w:val="25"/>
        </w:rPr>
        <w:t>Cancellation</w:t>
      </w:r>
      <w:bookmarkEnd w:id="58"/>
    </w:p>
    <w:p>
      <w:r>
        <w:rPr>
          <w:b w:val="0"/>
          <w:i w:val="0"/>
        </w:rPr>
        <w:t>The company may cancel this policy at any time by telling us. We refund the premium for the unexpired period of insurance on a pro-rata basis, less any non-refundable government charges.</w:t>
      </w:r>
    </w:p>
    <w:p>
      <w:r>
        <w:rPr>
          <w:b w:val="0"/>
          <w:i w:val="0"/>
        </w:rPr>
        <w:t>We may cancel this policy only as the Insurance Contracts Act 1984 (Cth) allows, by giving the company written notice as that Act requires, and in any event at least 30 days' written notice. Where we are entitled to cancel, we will also give each insured person written notice individually. We refund the premium for the unexpired period on a pro-rata basis.</w:t>
      </w:r>
    </w:p>
    <w:p>
      <w:r>
        <w:rPr>
          <w:b w:val="0"/>
          <w:i w:val="0"/>
        </w:rPr>
        <w:t>Cancellation does not affect the cover of any insured person who has already notified a claim or circumstance, and does not affect the accrued rights of any insured person under this policy up to the date of cancellation.</w:t>
      </w:r>
    </w:p>
    <w:p>
      <w:bookmarkStart w:id="59" w:name="c_sa_cond_discovery_period"/>
      <w:r>
        <w:rPr>
          <w:rFonts w:ascii="Georgia" w:hAnsi="Georgia" w:eastAsia="Georgia"/>
          <w:b/>
          <w:i w:val="0"/>
          <w:color w:val="2E5C4E"/>
          <w:sz w:val="25"/>
        </w:rPr>
        <w:t>Discovery Period</w:t>
      </w:r>
      <w:bookmarkEnd w:id="59"/>
    </w:p>
    <w:p>
      <w:r>
        <w:rPr>
          <w:b w:val="0"/>
          <w:i w:val="0"/>
        </w:rPr>
        <w:t>If this policy is not renewed, or is cancelled, other than by us for non-payment of premium, each insured person has an automatic discovery period of 90 days after the end of the policy period to notify claims first made in that period arising from wrongful acts committed before the end of the policy period.</w:t>
      </w:r>
    </w:p>
    <w:p>
      <w:bookmarkStart w:id="60" w:name="c_sa_cond_governing_law_and_jurisdiction"/>
      <w:r>
        <w:rPr>
          <w:rFonts w:ascii="Georgia" w:hAnsi="Georgia" w:eastAsia="Georgia"/>
          <w:b/>
          <w:i w:val="0"/>
          <w:color w:val="2E5C4E"/>
          <w:sz w:val="25"/>
        </w:rPr>
        <w:t>Governing Law and Jurisdiction</w:t>
      </w:r>
      <w:bookmarkEnd w:id="60"/>
    </w:p>
    <w:p>
      <w:r>
        <w:rPr>
          <w:b w:val="0"/>
          <w:i w:val="0"/>
        </w:rPr>
        <w:t>This policy is governed by the law of the state or territory of Australia shown in the schedule. The parties submit to the non-exclusive jurisdiction of the courts of that state or territory, and of any court of appeal from those courts.</w:t>
      </w:r>
    </w:p>
    <w:p>
      <w:bookmarkStart w:id="61" w:name="c_sa_cond_disputes_and_complaints"/>
      <w:r>
        <w:rPr>
          <w:rFonts w:ascii="Georgia" w:hAnsi="Georgia" w:eastAsia="Georgia"/>
          <w:b/>
          <w:i w:val="0"/>
          <w:color w:val="2E5C4E"/>
          <w:sz w:val="25"/>
        </w:rPr>
        <w:t>Disputes and Complaints</w:t>
      </w:r>
      <w:bookmarkEnd w:id="61"/>
    </w:p>
    <w:p>
      <w:r>
        <w:rPr>
          <w:b w:val="0"/>
          <w:i w:val="0"/>
        </w:rPr>
        <w:t>Any insured person may raise a complaint directly with us or with AFCA: www.afca.org.au | 1800 931 678.</w:t>
      </w:r>
    </w:p>
    <w:p>
      <w:bookmarkStart w:id="62" w:name="c_sa_cond_privacy"/>
      <w:r>
        <w:rPr>
          <w:rFonts w:ascii="Georgia" w:hAnsi="Georgia" w:eastAsia="Georgia"/>
          <w:b/>
          <w:i w:val="0"/>
          <w:color w:val="2E5C4E"/>
          <w:sz w:val="25"/>
        </w:rPr>
        <w:t>Privacy</w:t>
      </w:r>
      <w:bookmarkEnd w:id="62"/>
    </w:p>
    <w:p>
      <w:r>
        <w:rPr>
          <w:b w:val="0"/>
          <w:i w:val="0"/>
        </w:rPr>
        <w:t>We handle personal information in accordance with the Privacy Act 1988 (Cth).</w:t>
      </w:r>
    </w:p>
    <w:p>
      <w:bookmarkStart w:id="63" w:name="c_sa_cond_insurance_contracts_act_1984_c"/>
      <w:r>
        <w:rPr>
          <w:rFonts w:ascii="Georgia" w:hAnsi="Georgia" w:eastAsia="Georgia"/>
          <w:b/>
          <w:i w:val="0"/>
          <w:color w:val="2E5C4E"/>
          <w:sz w:val="25"/>
        </w:rPr>
        <w:t>Insurance Contracts Act 1984 (Cth)</w:t>
      </w:r>
      <w:bookmarkEnd w:id="63"/>
    </w:p>
    <w:p>
      <w:r>
        <w:rPr>
          <w:b w:val="0"/>
          <w:i w:val="0"/>
        </w:rPr>
        <w:t>Nothing in this policy excludes, restricts or modifies the operation of the Insurance Contracts Act 1984 (Cth). Where this policy is inconsistent with the Act, the Act prevails.</w:t>
      </w:r>
    </w:p>
    <w:p>
      <w:r>
        <w:rPr>
          <w:b w:val="0"/>
          <w:i w:val="0"/>
        </w:rPr>
        <w:t>If this policy would otherwise let us refuse to pay a claim, in whole or in part, because of something you did or did not do after this policy was entered into, section 54 of the Act applies. We may not refuse to pay the claim only because of that act or omission. Our liability is reduced by the amount that fairly represents the extent to which our interests were prejudiced. Where the act or omission could reasonably be regarded as capable of causing or contributing to the loss, we may refuse to pay only the part of the claim that the act or omission caused or contributed to. We may not refuse any part that you prove the act or omission did not cause. This applies to every condition, exclusion, limit and obligation in this policy, not only to the claims conditions.</w:t>
      </w:r>
    </w:p>
    <w:p>
      <w:bookmarkStart w:id="64" w:name="c_sa_cond_sanctions"/>
      <w:r>
        <w:rPr>
          <w:rFonts w:ascii="Georgia" w:hAnsi="Georgia" w:eastAsia="Georgia"/>
          <w:b/>
          <w:i w:val="0"/>
          <w:color w:val="2E5C4E"/>
          <w:sz w:val="25"/>
        </w:rPr>
        <w:t>Sanctions</w:t>
      </w:r>
      <w:bookmarkEnd w:id="64"/>
    </w:p>
    <w:p>
      <w:r>
        <w:rPr>
          <w:b w:val="0"/>
          <w:i w:val="0"/>
        </w:rPr>
        <w:t>We do not provide cover, pay any claim or provide any benefit under this policy to the extent that doing so would expose us to any sanction, prohibition or restriction under:</w:t>
      </w:r>
    </w:p>
    <w:p>
      <w:pPr>
        <w:pStyle w:val="ListBullet"/>
      </w:pPr>
      <w:r>
        <w:rPr>
          <w:b w:val="0"/>
          <w:i w:val="0"/>
        </w:rPr>
        <w:t>the Autonomous Sanctions Act 2011 (Cth), the Charter of the United Nations Act 1945 (Cth), or regulations made under either Act; or</w:t>
      </w:r>
    </w:p>
    <w:p>
      <w:pPr>
        <w:pStyle w:val="ListBullet"/>
      </w:pPr>
      <w:r>
        <w:rPr>
          <w:b w:val="0"/>
          <w:i w:val="0"/>
        </w:rPr>
        <w:t>the trade or economic sanctions laws of the United Kingdom, the United States of America or the European Union, to the extent they apply to us.</w:t>
      </w:r>
    </w:p>
    <w:p>
      <w:r>
        <w:rPr>
          <w:b w:val="0"/>
          <w:i w:val="0"/>
        </w:rPr>
        <w:t>[WP REVIEW: confirm that naming the UK, US and EU regimes is appropriate for Australian capacity; this is a deliberate library-wide scope choice.]</w:t>
      </w:r>
    </w:p>
    <w:p>
      <w:bookmarkStart w:id="65" w:name="c_sa_cond_corporations_act_199a_199b"/>
      <w:r>
        <w:rPr>
          <w:rFonts w:ascii="Georgia" w:hAnsi="Georgia" w:eastAsia="Georgia"/>
          <w:b/>
          <w:i w:val="0"/>
          <w:color w:val="2E5C4E"/>
          <w:sz w:val="25"/>
        </w:rPr>
        <w:t>Corporations Act 2001 (Cth), sections 199A and 199B</w:t>
      </w:r>
      <w:bookmarkEnd w:id="65"/>
    </w:p>
    <w:p>
      <w:r>
        <w:rPr>
          <w:b w:val="0"/>
          <w:i w:val="0"/>
        </w:rPr>
        <w:t>Section 199A of the Corporations Act 2001 (Cth) limits the liabilities and legal costs for which a company may indemnify its officers. Section 199B prevents a company from paying a premium for insurance that covers an officer against a liability, other than one for legal costs, arising out of conduct involving a wilful breach of duty in relation to the company, or a contravention of section 182 or 183 of that Act.</w:t>
      </w:r>
    </w:p>
    <w:p>
      <w:r>
        <w:rPr>
          <w:b w:val="0"/>
          <w:i w:val="0"/>
        </w:rPr>
        <w:t>To the extent the company pays the premium, this policy does not cover an insured person for a liability, other than legal costs, that section 199B prevents the company from insuring. This does not reduce cover for any other liability, or for legal costs.</w:t>
      </w:r>
    </w:p>
    <w:p>
      <w:r>
        <w:rPr>
          <w:b w:val="0"/>
          <w:i w:val="0"/>
        </w:rPr>
        <w:t>The schedule may show a portion of the premium as payable other than by the company.</w:t>
      </w:r>
    </w:p>
    <w:p>
      <w:r>
        <w:rPr>
          <w:b w:val="0"/>
          <w:i w:val="0"/>
        </w:rPr>
        <w:t xml:space="preserve">Where defence costs are advanced in civil-penalty or criminal proceedings, we advance them and the insured person repays them if a Final adjudication, or a court's finding, establishes conduct that this policy or the law does not allow to be covered. See </w:t>
      </w:r>
      <w:hyperlink w:anchor="c_sa_ext_advancement_of_defence_costs">
        <w:r>
          <w:rPr>
            <w:color w:val="2E5C4E"/>
            <w:u w:val="single"/>
          </w:rPr>
          <w:t xml:space="preserve">the Advancement of Defence Costs extension</w:t>
        </w:r>
      </w:hyperlink>
      <w:r>
        <w:rPr>
          <w:b w:val="0"/>
          <w:i w:val="0"/>
        </w:rPr>
        <w:t>.</w:t>
      </w:r>
    </w:p>
    <w:p>
      <w:r>
        <w:rPr>
          <w:b w:val="0"/>
          <w:i w:val="0"/>
        </w:rPr>
        <w:t>[WP REVIEW: confirm this statement of ss 199A and 199B, and whether cover for a liability within s 199B can be provided where the insured person pays the relevant part of the premium.]</w:t>
      </w:r>
    </w:p>
    <w:p>
      <w:bookmarkStart w:id="66" w:name="c_sa_cond_gst"/>
      <w:r>
        <w:rPr>
          <w:rFonts w:ascii="Georgia" w:hAnsi="Georgia" w:eastAsia="Georgia"/>
          <w:b/>
          <w:i w:val="0"/>
          <w:color w:val="2E5C4E"/>
          <w:sz w:val="25"/>
        </w:rPr>
        <w:t>GST</w:t>
      </w:r>
      <w:bookmarkEnd w:id="66"/>
    </w:p>
    <w:p>
      <w:r>
        <w:rPr>
          <w:b w:val="0"/>
          <w:i w:val="0"/>
        </w:rPr>
        <w:t>Amounts payable under this policy are calculated without regard to any input tax credit to which the company or an insured person is or would be entitled under A New Tax System (Goods and Services Tax) Act 1999 (Cth), unless the schedule states otherwise. Where a payment under this policy is subject to GST, we will gross up that payment so that the recipient is placed in the same after-tax position as if no GST applied, to the extent the recipient is not entitled to an input tax credit for the corresponding acquisition.</w:t>
      </w:r>
    </w:p>
    <w:p>
      <w:bookmarkStart w:id="67" w:name="c_sa_endorsement_library"/>
      <w:r>
        <w:rPr>
          <w:rFonts w:ascii="Georgia" w:hAnsi="Georgia" w:eastAsia="Georgia"/>
          <w:b/>
          <w:i w:val="0"/>
          <w:color w:val="1C1915"/>
          <w:sz w:val="32"/>
        </w:rPr>
        <w:t>Endorsement Library</w:t>
      </w:r>
      <w:bookmarkEnd w:id="67"/>
    </w:p>
    <w:p>
      <w:r>
        <w:rPr>
          <w:b w:val="0"/>
          <w:i w:val="0"/>
        </w:rPr>
        <w:t>An endorsement applies only if its code is shown in the schedule. Each endorsement changes this policy only as it states, and is read together with the variables shown for it in the schedule. Where an endorsement and the rest of this policy conflict, the endorsement applies to the extent of the conflict. If a variable an endorsement needs is not shown in the schedule, the endorsement does not apply until we show the variable in the schedule.</w:t>
      </w:r>
    </w:p>
    <w:tbl>
      <w:tblPr>
        <w:tblStyle w:val="TableGrid"/>
        <w:tblW w:type="auto" w:w="0"/>
        <w:tblLook w:firstColumn="1" w:firstRow="1" w:lastColumn="0" w:lastRow="0" w:noHBand="0" w:noVBand="1" w:val="04A0"/>
      </w:tblPr>
      <w:tblGrid>
        <w:gridCol w:w="3249"/>
        <w:gridCol w:w="3249"/>
        <w:gridCol w:w="3249"/>
      </w:tblGrid>
      <w:tr>
        <w:tc>
          <w:tcPr>
            <w:tcW w:type="dxa" w:w="3249"/>
          </w:tcPr>
          <w:p>
            <w:r/>
            <w:r>
              <w:rPr>
                <w:b w:val="0"/>
                <w:i w:val="0"/>
              </w:rPr>
              <w:t>Code</w:t>
            </w:r>
          </w:p>
        </w:tc>
        <w:tc>
          <w:tcPr>
            <w:tcW w:type="dxa" w:w="3249"/>
          </w:tcPr>
          <w:p>
            <w:r/>
            <w:r>
              <w:rPr>
                <w:b w:val="0"/>
                <w:i w:val="0"/>
              </w:rPr>
              <w:t>Endorsement</w:t>
            </w:r>
          </w:p>
        </w:tc>
        <w:tc>
          <w:tcPr>
            <w:tcW w:type="dxa" w:w="3249"/>
          </w:tcPr>
          <w:p>
            <w:r/>
            <w:r>
              <w:rPr>
                <w:b w:val="0"/>
                <w:i w:val="0"/>
              </w:rPr>
              <w:t>Effect</w:t>
            </w:r>
          </w:p>
        </w:tc>
      </w:tr>
      <w:tr>
        <w:tc>
          <w:tcPr>
            <w:tcW w:type="dxa" w:w="3249"/>
          </w:tcPr>
          <w:p>
            <w:r/>
            <w:r>
              <w:rPr>
                <w:b w:val="0"/>
                <w:i w:val="0"/>
              </w:rPr>
              <w:t>E04</w:t>
            </w:r>
          </w:p>
        </w:tc>
        <w:tc>
          <w:tcPr>
            <w:tcW w:type="dxa" w:w="3249"/>
          </w:tcPr>
          <w:p>
            <w:r/>
            <w:r>
              <w:rPr>
                <w:b w:val="0"/>
                <w:i w:val="0"/>
              </w:rPr>
              <w:t>Difference in Conditions</w:t>
            </w:r>
          </w:p>
        </w:tc>
        <w:tc>
          <w:tcPr>
            <w:tcW w:type="dxa" w:w="3249"/>
          </w:tcPr>
          <w:p>
            <w:r/>
            <w:r>
              <w:rPr>
                <w:b w:val="0"/>
                <w:i w:val="0"/>
              </w:rPr>
              <w:t>Drop-down cover where the underlying D&amp;O insurance does not pay for a listed reason</w:t>
            </w:r>
          </w:p>
        </w:tc>
      </w:tr>
    </w:tbl>
    <w:p>
      <w:r>
        <w:rPr>
          <w:b w:val="0"/>
          <w:i w:val="0"/>
        </w:rPr>
        <w:t>Endorsements E01, E02 and E03 are not yet available in this version. A schedule must not show any of them.</w:t>
      </w:r>
    </w:p>
    <w:p>
      <w:bookmarkStart w:id="68" w:name="c_sa_end_e04"/>
      <w:r>
        <w:rPr>
          <w:rFonts w:ascii="Georgia" w:hAnsi="Georgia" w:eastAsia="Georgia"/>
          <w:b/>
          <w:i w:val="0"/>
          <w:color w:val="2E5C4E"/>
          <w:sz w:val="25"/>
        </w:rPr>
        <w:t>E04 Difference in Conditions</w:t>
      </w:r>
      <w:bookmarkEnd w:id="68"/>
    </w:p>
    <w:p>
      <w:r>
        <w:rPr>
          <w:b w:val="0"/>
          <w:i w:val="0"/>
        </w:rPr>
        <w:t>This endorsement applies only where the schedule shows that it applies.</w:t>
      </w:r>
    </w:p>
    <w:p>
      <w:r>
        <w:rPr>
          <w:b w:val="0"/>
          <w:i w:val="0"/>
        </w:rPr>
        <w:t xml:space="preserve">Where it applies, we will also pay an insured person's non-indemnifiable loss, in excess of the DIC retention shown in the schedule, where the underlying D&amp;O insurance does not pay that loss for any of the reasons below. The loss must be loss that </w:t>
      </w:r>
      <w:hyperlink w:anchor="c_sa_cover_side_a_excess_cover">
        <w:r>
          <w:rPr>
            <w:color w:val="2E5C4E"/>
            <w:u w:val="single"/>
          </w:rPr>
          <w:t xml:space="preserve">the Side A Excess Cover clause</w:t>
        </w:r>
      </w:hyperlink>
      <w:r>
        <w:rPr>
          <w:b w:val="0"/>
          <w:i w:val="0"/>
        </w:rPr>
        <w:t xml:space="preserve"> would cover if the underlying D&amp;O insurance had responded and the attachment point had been exhausted, and that </w:t>
      </w:r>
      <w:hyperlink w:anchor="c_sa_section_exclusions">
        <w:r>
          <w:rPr>
            <w:color w:val="2E5C4E"/>
            <w:u w:val="single"/>
          </w:rPr>
          <w:t xml:space="preserve">the What Is Not Covered section</w:t>
        </w:r>
      </w:hyperlink>
      <w:r>
        <w:rPr>
          <w:b w:val="0"/>
          <w:i w:val="0"/>
        </w:rPr>
        <w:t xml:space="preserve"> does not exclude.</w:t>
      </w:r>
    </w:p>
    <w:p>
      <w:r>
        <w:rPr>
          <w:b w:val="0"/>
          <w:i w:val="0"/>
        </w:rPr>
        <w:t>(a) the underlying insurer is insolvent, is placed into liquidation, or is otherwise unable to pay;</w:t>
      </w:r>
    </w:p>
    <w:p>
      <w:r>
        <w:rPr>
          <w:b w:val="0"/>
          <w:i w:val="0"/>
        </w:rPr>
        <w:t xml:space="preserve">(b) the underlying insurer denies cover for the claim, or avoids or cancels the underlying D&amp;O insurance, because of: (i) a breach of the duty of disclosure or a misrepresentation in the application for the underlying D&amp;O insurance, made without the knowledge of the insured person seeking cover; (ii) a failure by the company (not the insured person) to comply with a condition of the underlying D&amp;O insurance; (iii) an exclusion in the underlying D&amp;O insurance that is not in </w:t>
      </w:r>
      <w:hyperlink w:anchor="c_sa_section_exclusions">
        <w:r>
          <w:rPr>
            <w:color w:val="2E5C4E"/>
            <w:u w:val="single"/>
          </w:rPr>
          <w:t xml:space="preserve">the What Is Not Covered section</w:t>
        </w:r>
      </w:hyperlink>
      <w:r>
        <w:rPr>
          <w:b w:val="0"/>
          <w:i w:val="0"/>
        </w:rPr>
        <w:t>; or (iv) a provision of the underlying D&amp;O insurance that attributes the knowledge or conduct of one insured person to another, innocent insured person; or</w:t>
      </w:r>
    </w:p>
    <w:p>
      <w:r>
        <w:rPr>
          <w:b w:val="0"/>
          <w:i w:val="0"/>
        </w:rPr>
        <w:t>(c) the underlying D&amp;O insurance is cancelled or not renewed (other than by the company for non-payment of premium), and the company has been unable to obtain replacement cover on substantially similar terms. For this purpose, the company must have asked at least two insurers, through its broker and in writing, for replacement cover with a limit no lower than the expiring limit and no exclusion or restriction that the expiring cover did not have, and must give us copies of the requests and the replies. Replacement cover is substantially similar if it meets that test.</w:t>
      </w:r>
    </w:p>
    <w:p>
      <w:r>
        <w:rPr>
          <w:b w:val="0"/>
          <w:i w:val="0"/>
        </w:rPr>
        <w:t xml:space="preserve">For cover under this endorsement, </w:t>
      </w:r>
      <w:hyperlink w:anchor="c_sa_cover_no_drop_down">
        <w:r>
          <w:rPr>
            <w:color w:val="2E5C4E"/>
            <w:u w:val="single"/>
          </w:rPr>
          <w:t xml:space="preserve">the No Drop-Down clause</w:t>
        </w:r>
      </w:hyperlink>
      <w:r>
        <w:rPr>
          <w:b w:val="0"/>
          <w:i w:val="0"/>
        </w:rPr>
        <w:t xml:space="preserve"> does not apply, and this policy does not follow the exclusions of the underlying D&amp;O insurance; only the exclusions in </w:t>
      </w:r>
      <w:hyperlink w:anchor="c_sa_section_exclusions">
        <w:r>
          <w:rPr>
            <w:color w:val="2E5C4E"/>
            <w:u w:val="single"/>
          </w:rPr>
          <w:t xml:space="preserve">the What Is Not Covered section</w:t>
        </w:r>
      </w:hyperlink>
      <w:r>
        <w:rPr>
          <w:b w:val="0"/>
          <w:i w:val="0"/>
        </w:rPr>
        <w:t xml:space="preserve"> apply.</w:t>
      </w:r>
    </w:p>
    <w:p>
      <w:r>
        <w:rPr>
          <w:b w:val="0"/>
          <w:i w:val="0"/>
        </w:rPr>
        <w:t>This endorsement does not apply where: (a) the insured person seeking cover personally participated in the conduct that caused the underlying insurer to deny or avoid cover; or (b) the company voluntarily cancelled the underlying D&amp;O insurance and the insured person knew of the cancellation but did not tell us.</w:t>
      </w:r>
    </w:p>
    <w:p>
      <w:r>
        <w:rPr>
          <w:b w:val="0"/>
          <w:i w:val="0"/>
        </w:rPr>
        <w:t>Payments under this endorsement reduce the limit of liability. They are part of it, not in addition to it.</w:t>
      </w:r>
    </w:p>
    <w:p>
      <w:r>
        <w:rPr>
          <w:b w:val="0"/>
          <w:i w:val="0"/>
        </w:rPr>
        <w:t xml:space="preserve">When we pay under this endorsement, we also take over the insured person's rights against the underlying insurer, under </w:t>
      </w:r>
      <w:hyperlink w:anchor="c_sa_cond_subrogation_and_recovery">
        <w:r>
          <w:rPr>
            <w:color w:val="2E5C4E"/>
            <w:u w:val="single"/>
          </w:rPr>
          <w:t xml:space="preserve">the Subrogation and Recovery condition</w:t>
        </w:r>
      </w:hyperlink>
      <w:r>
        <w:rPr>
          <w:b w:val="0"/>
          <w:i w:val="0"/>
        </w:rPr>
        <w:t>.</w:t>
      </w:r>
    </w:p>
    <w:p>
      <w:r>
        <w:rPr>
          <w:b w:val="0"/>
          <w:i w:val="0"/>
        </w:rPr>
        <w:t>Schedule variables: DIC retention.</w:t>
      </w:r>
    </w:p>
    <w:p>
      <w:bookmarkStart w:id="69" w:name="c_sa_licence_notice"/>
      <w:r>
        <w:rPr>
          <w:rFonts w:ascii="Georgia" w:hAnsi="Georgia" w:eastAsia="Georgia"/>
          <w:b/>
          <w:i w:val="0"/>
          <w:color w:val="1C1915"/>
          <w:sz w:val="32"/>
        </w:rPr>
        <w:t>Licence and Trademark Notice</w:t>
      </w:r>
      <w:bookmarkEnd w:id="69"/>
    </w:p>
    <w:p>
      <w:r>
        <w:rPr>
          <w:b w:val="0"/>
          <w:i w:val="0"/>
        </w:rPr>
        <w:t>This wording's text is licensed under Creative Commons Attribution 4.0 International (CC BY 4.0). The licence applies to the wording text only. It does not extend to, and no licence is granted in, the “Meridian” name, the Cuttleflow Systems name, logo, bearing mark, or any other trademark, trade dress, or brand asset, all of which remain the property of their respective owners and may not be used without separate permission.</w:t>
      </w:r>
    </w:p>
    <w:p>
      <w:r>
        <w:rPr>
          <w:b w:val="0"/>
          <w:i w:val="0"/>
        </w:rPr>
        <w:t>An adopting agency's own schedule, endorsements, and other materials prepared for use with this wording are not required to be released under CC BY 4.0 merely because they are used together with this wording; CC BY 4.0 requires only that you attribute the wording text you use.</w:t>
      </w:r>
    </w:p>
    <w:p>
      <w:r>
        <w:rPr>
          <w:b w:val="0"/>
          <w:i w:val="0"/>
        </w:rPr>
        <w:t>This wording is provided for general use and adaptation. Adopting agencies and their advisers are responsible for obtaining their own legal, regulatory, and reinsurance advice before use, and use of this wording requires the approval of the relevant capacity provider. Any Wording Partner review and sign-off letter issued in respect of this wording runs to Cuttleflow Pty Ltd t/a Cuttleflow Systems only and does not constitute legal advice to any adopting agency or insured.</w:t>
      </w:r>
    </w:p>
    <w:p>
      <w:r>
        <w:rPr>
          <w:b w:val="0"/>
          <w:i w:val="0"/>
        </w:rPr>
        <w:t>Designed for the Australian market. Assumes application of the Insurance Contracts Act 1984 (Cth) and the Corporations Act 2001 (Cth). Users are responsible for their own legal review, regulatory compliance, and reinsurance alignment.</w:t>
      </w:r>
    </w:p>
    <w:p>
      <w:r>
        <w:rPr>
          <w:rFonts w:ascii="Georgia" w:hAnsi="Georgia" w:eastAsia="Georgia"/>
          <w:b/>
          <w:i w:val="0"/>
          <w:sz w:val="32"/>
        </w:rPr>
        <w:t>Changes From the Previous Version</w:t>
      </w:r>
    </w:p>
    <w:p>
      <w:r>
        <w:t>Recorded in accordance with the Cuttleflow open wording library versioning requirements.</w:t>
      </w:r>
    </w:p>
    <w:p>
      <w:r>
        <w:rPr>
          <w:b w:val="0"/>
          <w:i w:val="0"/>
        </w:rPr>
        <w:t>Remediation following the Claude pre-review of 2 November 2026.</w:t>
      </w:r>
    </w:p>
    <w:p>
      <w:pPr>
        <w:pStyle w:val="ListBullet"/>
      </w:pPr>
      <w:r>
        <w:rPr>
          <w:b w:val="0"/>
          <w:i w:val="0"/>
        </w:rPr>
        <w:t>Source: the wording is now built from clause source, like the other wordings in the library. Clause numbers are not used; clauses refer to one another by heading.</w:t>
      </w:r>
    </w:p>
    <w:p>
      <w:pPr>
        <w:pStyle w:val="ListBullet"/>
      </w:pPr>
      <w:r>
        <w:rPr>
          <w:b w:val="0"/>
          <w:i w:val="0"/>
        </w:rPr>
        <w:t>Change history: removed the references to a named capacity provider and a date from the published change history.</w:t>
      </w:r>
    </w:p>
    <w:p>
      <w:pPr>
        <w:pStyle w:val="ListBullet"/>
      </w:pPr>
      <w:r>
        <w:rPr>
          <w:b w:val="0"/>
          <w:i w:val="0"/>
        </w:rPr>
        <w:t>Duty of Disclosure: replaced the statement that each insured person has an individual statutory duty with the library formulation. The company owes the duty, and the consequences are assessed person by person as a contractual mechanism. Company knowledge is the knowledge of a member of the control group.</w:t>
      </w:r>
    </w:p>
    <w:p>
      <w:pPr>
        <w:pStyle w:val="ListBullet"/>
      </w:pPr>
      <w:r>
        <w:rPr>
          <w:b w:val="0"/>
          <w:i w:val="0"/>
        </w:rPr>
        <w:t>Cancellation: replaced with the library-wide position. The company may cancel at any time by telling us and receives a pro-rata refund. We may cancel only as the Insurance Contracts Act 1984 (Cth) allows, with at least 30 days' notice. The rule that an insured person cannot cancel, and that the company needs every individual's consent, is removed.</w:t>
      </w:r>
    </w:p>
    <w:p>
      <w:pPr>
        <w:pStyle w:val="ListBullet"/>
      </w:pPr>
      <w:r>
        <w:rPr>
          <w:b w:val="0"/>
          <w:i w:val="0"/>
        </w:rPr>
        <w:t>Exhaustion of the Underlying D&amp;O Insurance: removed the sentence that reduced the attachment point as the underlying cover was partly used. The attachment point is fixed and this policy attaches only when it has been exhausted.</w:t>
      </w:r>
    </w:p>
    <w:p>
      <w:pPr>
        <w:pStyle w:val="ListBullet"/>
      </w:pPr>
      <w:r>
        <w:rPr>
          <w:b w:val="0"/>
          <w:i w:val="0"/>
        </w:rPr>
        <w:t>Following the Underlying D&amp;O Insurance, and Followed policy: where the underlying cover has more than one policy, this policy now follows only the followed policy shown in the schedule, or the lowest policy if none is shown. Default set for underwriter confirmation.</w:t>
      </w:r>
    </w:p>
    <w:p>
      <w:pPr>
        <w:pStyle w:val="ListBullet"/>
      </w:pPr>
      <w:r>
        <w:rPr>
          <w:b w:val="0"/>
          <w:i w:val="0"/>
        </w:rPr>
        <w:t>Order of Payment: removed the undefined priority for non-executive and independent directors. Payments are now made in the order claims are finally agreed, with defence costs as incurred, and a good-faith payment discharges us. The clause was previously headed Order of Payment — Priority.</w:t>
      </w:r>
    </w:p>
    <w:p>
      <w:pPr>
        <w:pStyle w:val="ListBullet"/>
      </w:pPr>
      <w:r>
        <w:rPr>
          <w:b w:val="0"/>
          <w:i w:val="0"/>
        </w:rPr>
        <w:t>Allocation: new clause for claims that mix covered and uncovered matters or parties, by relative legal and financial exposure.</w:t>
      </w:r>
    </w:p>
    <w:p>
      <w:pPr>
        <w:pStyle w:val="ListBullet"/>
      </w:pPr>
      <w:r>
        <w:rPr>
          <w:b w:val="0"/>
          <w:i w:val="0"/>
        </w:rPr>
        <w:t>Endorsement E04: the loss it covers is now defined by reference to what Side A Excess Cover would pay if the underlying cover had responded, which removes a circular test. The replacement-cover trigger now has a test (two written requests through a broker, no lower limit, no new exclusions). Payments under E04 reduce the limit of liability.</w:t>
      </w:r>
    </w:p>
    <w:p>
      <w:pPr>
        <w:pStyle w:val="ListBullet"/>
      </w:pPr>
      <w:r>
        <w:rPr>
          <w:b w:val="0"/>
          <w:i w:val="0"/>
        </w:rPr>
        <w:t>Endorsement Library: only Endorsement E04 has operative text and is listed. Endorsements E01, E02 and E03 are stated to be not yet available in this version, and the references to them in the Discovery Period, Defence Costs Within the Limit and US / Canada Jurisdiction clauses are removed. The discovery period is 90 days on non-renewal and on cancellation, in line with the Directors and Officers wording. Default set for underwriter confirmation.</w:t>
      </w:r>
    </w:p>
    <w:p>
      <w:pPr>
        <w:pStyle w:val="ListBullet"/>
      </w:pPr>
      <w:r>
        <w:rPr>
          <w:b w:val="0"/>
          <w:i w:val="0"/>
        </w:rPr>
        <w:t>Distribution: new clause, Who This Policy Is For, stating that the wording is written for businesses and that a retail client must receive a Product Disclosure Statement and a Target Market Determination.</w:t>
      </w:r>
    </w:p>
    <w:p>
      <w:pPr>
        <w:pStyle w:val="ListBullet"/>
      </w:pPr>
      <w:r>
        <w:rPr>
          <w:b w:val="0"/>
          <w:i w:val="0"/>
        </w:rPr>
        <w:t>About This Policy: the ICA section 40(1) notice and cross-references are in clause form.</w:t>
      </w:r>
    </w:p>
    <w:p>
      <w:pPr>
        <w:pStyle w:val="ListBullet"/>
      </w:pPr>
      <w:r>
        <w:rPr>
          <w:b w:val="0"/>
          <w:i w:val="0"/>
        </w:rPr>
        <w:t>Insurance Contracts Act 1984 (Cth): replaced with the library-wide clause on section 54, which applies to every condition, exclusion, limit and obligation.</w:t>
      </w:r>
    </w:p>
    <w:p>
      <w:pPr>
        <w:pStyle w:val="ListBullet"/>
      </w:pPr>
      <w:r>
        <w:rPr>
          <w:b w:val="0"/>
          <w:i w:val="0"/>
        </w:rPr>
        <w:t>Sanctions: moved out of the exclusions into a standalone general condition. It now names the UK, US and EU regimes to the extent they apply to us, and carries a legal review tag.</w:t>
      </w:r>
    </w:p>
    <w:p>
      <w:pPr>
        <w:pStyle w:val="ListBullet"/>
      </w:pPr>
      <w:r>
        <w:rPr>
          <w:b w:val="0"/>
          <w:i w:val="0"/>
        </w:rPr>
        <w:t>Corporations Act 2001 (Cth), sections 199A and 199B: replaces Premium and Corporations Act s 199B with the library-wide text, and adds advance-and-repay for defence costs in civil-penalty and criminal proceedings.</w:t>
      </w:r>
    </w:p>
    <w:p>
      <w:pPr>
        <w:pStyle w:val="ListBullet"/>
      </w:pPr>
      <w:r>
        <w:rPr>
          <w:b w:val="0"/>
          <w:i w:val="0"/>
        </w:rPr>
        <w:t>Loss: names the work health and safety penalty bans in New South Wales, Victoria and Queensland, and excludes criminal fines.</w:t>
      </w:r>
    </w:p>
    <w:p>
      <w:pPr>
        <w:pStyle w:val="ListBullet"/>
      </w:pPr>
      <w:r>
        <w:rPr>
          <w:b w:val="0"/>
          <w:i w:val="0"/>
        </w:rPr>
        <w:t>Advancement of Defence Costs: repayment now also applies where a Final adjudication or court finding establishes conduct that cannot be covered, or where an allocation shows the costs were not covered.</w:t>
      </w:r>
    </w:p>
    <w:p>
      <w:pPr>
        <w:pStyle w:val="ListBullet"/>
      </w:pPr>
      <w:r>
        <w:rPr>
          <w:b w:val="0"/>
          <w:i w:val="0"/>
        </w:rPr>
        <w:t>Other Insurance: replaced Other Side A Insurance with the library-wide clause. The underlying D&amp;O insurance is the specified underlying policy.</w:t>
      </w:r>
    </w:p>
    <w:p>
      <w:pPr>
        <w:pStyle w:val="ListBullet"/>
      </w:pPr>
      <w:r>
        <w:rPr>
          <w:b w:val="0"/>
          <w:i w:val="0"/>
        </w:rPr>
        <w:t>No Excess for Insured Persons: the only retention that can apply is the DIC retention under Endorsement E04.</w:t>
      </w:r>
    </w:p>
    <w:p>
      <w:pPr>
        <w:pStyle w:val="ListBullet"/>
      </w:pPr>
      <w:r>
        <w:rPr>
          <w:b w:val="0"/>
          <w:i w:val="0"/>
        </w:rPr>
        <w:t>Severability, Control group and You / your: added the control group definition and a rule that the company's knowledge and conduct are not attributed to insured persons other than the member concerned. Added a definition of You / your.</w:t>
      </w:r>
    </w:p>
    <w:p>
      <w:pPr>
        <w:pStyle w:val="ListBullet"/>
      </w:pPr>
      <w:r>
        <w:rPr>
          <w:b w:val="0"/>
          <w:i w:val="0"/>
        </w:rPr>
        <w:t>Schedule: now a table of Items 1 to 13, including the insurer and the followed policy.</w:t>
      </w:r>
    </w:p>
    <w:p>
      <w:pPr>
        <w:pStyle w:val="ListBullet"/>
      </w:pPr>
      <w:r>
        <w:rPr>
          <w:b w:val="0"/>
          <w:i w:val="0"/>
        </w:rPr>
        <w:t>Licence and Trademark Notice: added, with the correct Cuttleflow entity name.</w:t>
      </w:r>
    </w:p>
    <w:p>
      <w:r>
        <w:rPr>
          <w:b w:val="0"/>
          <w:i/>
          <w:sz w:val="18"/>
        </w:rPr>
        <w:t>Cuttleflow Systems — Open Source Insurance Wording</w:t>
      </w:r>
    </w:p>
    <w:p>
      <w:r>
        <w:rPr>
          <w:rFonts w:ascii="Consolas" w:hAnsi="Consolas" w:eastAsia="Consolas"/>
          <w:b w:val="0"/>
          <w:i w:val="0"/>
          <w:sz w:val="16"/>
        </w:rPr>
        <w:t>2026/SADO/0001 · v2.1.0-DRAFT · November 2026 · © 2026 Cuttleflow Pty Ltd trading as Cuttleflow Systems</w:t>
      </w:r>
    </w:p>
    <w:p>
      <w:r>
        <w:rPr>
          <w:b w:val="0"/>
          <w:i/>
          <w:sz w:val="18"/>
        </w:rPr>
        <w:t>This document is a draft subject to legal review. It must not be issued, quoted from, or bound until Wording Partner sign-off.</w:t>
      </w:r>
    </w:p>
    <w:sectPr w:rsidR="00FC693F" w:rsidRPr="0006063C" w:rsidSect="00034616">
      <w:headerReference w:type="default" r:id="rId9"/>
      <w:footerReference w:type="default" r:id="rId10"/>
      <w:pgSz w:w="12240" w:h="15840"/>
      <w:pgMar w:top="1134" w:right="1247" w:bottom="1134" w:left="1247"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rFonts w:ascii="Consolas" w:hAnsi="Consolas" w:eastAsia="Consolas"/>
        <w:b w:val="0"/>
        <w:i w:val="0"/>
        <w:sz w:val="16"/>
      </w:rPr>
      <w:t>33°53′S · 151°16′E · Sydney     2026/SADO/0001 · CUTTLEFLOW PTY LTD T/A CUTTLEFLOW SYSTEMS</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Consolas" w:hAnsi="Consolas" w:eastAsia="Consolas"/>
        <w:b w:val="0"/>
        <w:i w:val="0"/>
        <w:color w:val="2E5C4E"/>
        <w:sz w:val="16"/>
      </w:rPr>
      <w:t>DRAFT — NOT FOR USE · SIDE A DIRECTORS' &amp; OFFICERS' LIABILITY INSURANCE · V2.1.0-DRAFT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C1915"/>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Side A Directors' &amp; Officers' Liability Insurance</dc:title>
  <dc:subject/>
  <dc:creator>Cuttleflow Pty Ltd trading as Cuttleflow Systems</dc:creator>
  <cp:keywords/>
  <dc:description>generated by python-docx</dc:description>
  <cp:lastModifiedBy/>
  <cp:revision>1</cp:revision>
  <dcterms:created xsi:type="dcterms:W3CDTF">2013-12-23T23:15:00Z</dcterms:created>
  <dcterms:modified xsi:type="dcterms:W3CDTF">2013-12-23T23:15:00Z</dcterms:modified>
  <cp:category/>
</cp:coreProperties>
</file>