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r>
        <w:rPr>
          <w:rFonts w:ascii="Consolas" w:hAnsi="Consolas" w:eastAsia="Consolas"/>
          <w:b w:val="0"/>
          <w:i w:val="0"/>
          <w:sz w:val="24"/>
        </w:rPr>
        <w:t xml:space="preserve">cuttleflow </w:t>
      </w:r>
      <w:r>
        <w:rPr>
          <w:rFonts w:ascii="Consolas" w:hAnsi="Consolas" w:eastAsia="Consolas"/>
          <w:b/>
          <w:i w:val="0"/>
          <w:sz w:val="24"/>
        </w:rPr>
        <w:t>SYSTEMS</w:t>
      </w:r>
    </w:p>
    <w:p>
      <w:r>
        <w:rPr>
          <w:rFonts w:ascii="Consolas" w:hAnsi="Consolas" w:eastAsia="Consolas"/>
          <w:b w:val="0"/>
          <w:i w:val="0"/>
          <w:color w:val="C24E2C"/>
          <w:sz w:val="18"/>
        </w:rPr>
        <w:t>INVESTMENT MANAGERS INDEMNITY INSURANCE</w:t>
      </w:r>
    </w:p>
    <w:p>
      <w:r>
        <w:rPr>
          <w:rFonts w:ascii="Georgia" w:hAnsi="Georgia" w:eastAsia="Georgia"/>
          <w:b/>
          <w:i w:val="0"/>
          <w:sz w:val="60"/>
        </w:rPr>
        <w:t>Policy Wording</w:t>
      </w:r>
    </w:p>
    <w:p>
      <w:r>
        <w:rPr>
          <w:rFonts w:ascii="Georgia" w:hAnsi="Georgia" w:eastAsia="Georgia"/>
          <w:b w:val="0"/>
          <w:i/>
          <w:color w:val="2E5C4E"/>
          <w:sz w:val="26"/>
        </w:rPr>
        <w:t>Cuttleflow Systems — Open Source Insurance Wording</w:t>
      </w:r>
    </w:p>
    <w:p>
      <w:r>
        <w:rPr>
          <w:rFonts w:ascii="Consolas" w:hAnsi="Consolas" w:eastAsia="Consolas"/>
          <w:b w:val="0"/>
          <w:i w:val="0"/>
          <w:color w:val="2E5C4E"/>
          <w:sz w:val="18"/>
        </w:rPr>
        <w:t>Version 1.3.0-DRAFT · November 2026 · CC BY 4.0 (wording text only)</w:t>
      </w:r>
    </w:p>
    <w:p>
      <w:r>
        <w:rPr>
          <w:rFonts w:ascii="Consolas" w:hAnsi="Consolas" w:eastAsia="Consolas"/>
          <w:b w:val="0"/>
          <w:i w:val="0"/>
          <w:sz w:val="18"/>
        </w:rPr>
        <w:t>Document ref 2026/IMI/0001 · CUTTLEFLOW PTY LTD T/A CUTTLEFLOW SYSTEMS</w:t>
      </w:r>
    </w:p>
    <w:p>
      <w:r>
        <w:rPr>
          <w:b/>
          <w:i w:val="0"/>
          <w:color w:val="C24E2C"/>
        </w:rPr>
        <w:t>DRAFT — SUBJECT TO LEGAL REVIEW — NOT FOR USE</w:t>
      </w:r>
    </w:p>
    <w:p/>
    <w:p/>
    <w:p/>
    <w:p/>
    <w:p/>
    <w:p/>
    <w:p/>
    <w:p/>
    <w:p>
      <w:r>
        <w:rPr>
          <w:rFonts w:ascii="Consolas" w:hAnsi="Consolas" w:eastAsia="Consolas"/>
          <w:b w:val="0"/>
          <w:i w:val="0"/>
          <w:sz w:val="16"/>
        </w:rPr>
        <w:t>33°53′S · 151°16′E · Sydney</w:t>
      </w:r>
      <w:r>
        <w:br w:type="page"/>
      </w:r>
    </w:p>
    <w:p>
      <w:bookmarkStart w:id="0" w:name="c_imi_about"/>
      <w:r>
        <w:rPr>
          <w:rFonts w:ascii="Georgia" w:hAnsi="Georgia" w:eastAsia="Georgia"/>
          <w:b/>
          <w:i w:val="0"/>
          <w:color w:val="1C1915"/>
          <w:sz w:val="32"/>
        </w:rPr>
        <w:t>About This Policy</w:t>
      </w:r>
      <w:bookmarkEnd w:id="0"/>
    </w:p>
    <w:p>
      <w:hyperlink w:anchor="c_imi_section_pl">
        <w:r>
          <w:rPr>
            <w:color w:val="2E5C4E"/>
            <w:u w:val="single"/>
          </w:rPr>
          <w:t xml:space="preserve">The Professional Liability section</w:t>
        </w:r>
      </w:hyperlink>
      <w:r>
        <w:rPr>
          <w:b w:val="0"/>
          <w:i w:val="0"/>
        </w:rPr>
        <w:t>: Professional Liability — claims by investors, clients, and regulators arising from your financial services activities.</w:t>
      </w:r>
    </w:p>
    <w:p>
      <w:hyperlink w:anchor="c_imi_section_do">
        <w:r>
          <w:rPr>
            <w:color w:val="2E5C4E"/>
            <w:u w:val="single"/>
          </w:rPr>
          <w:t xml:space="preserve">The Directors' and Officers' Liability section</w:t>
        </w:r>
      </w:hyperlink>
      <w:r>
        <w:rPr>
          <w:b w:val="0"/>
          <w:i w:val="0"/>
        </w:rPr>
        <w:t>: Directors' and Officers' Liability — personal liability of your directors and officers for management decisions.</w:t>
      </w:r>
    </w:p>
    <w:p>
      <w:hyperlink w:anchor="c_imi_section_crime">
        <w:r>
          <w:rPr>
            <w:color w:val="2E5C4E"/>
            <w:u w:val="single"/>
          </w:rPr>
          <w:t xml:space="preserve">The Crime section</w:t>
        </w:r>
      </w:hyperlink>
      <w:r>
        <w:rPr>
          <w:b w:val="0"/>
          <w:i w:val="0"/>
        </w:rPr>
        <w:t>: Crime — direct financial loss from employee dishonesty, fraud, and theft.</w:t>
      </w:r>
    </w:p>
    <w:p>
      <w:r>
        <w:rPr>
          <w:b w:val="0"/>
          <w:i w:val="0"/>
        </w:rPr>
        <w:t>By integrating these covers, this policy eliminates the gaps and overlaps that arise when you purchase separate PI, D&amp;O, and crime policies — and provides a single aggregate to manage.</w:t>
      </w:r>
    </w:p>
    <w:p>
      <w:r>
        <w:rPr>
          <w:b w:val="0"/>
          <w:i w:val="0"/>
        </w:rPr>
        <w:t>This is a claims-made and notified policy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and a discovery policy (</w:t>
      </w:r>
      <w:hyperlink w:anchor="c_imi_section_crime">
        <w:r>
          <w:rPr>
            <w:color w:val="2E5C4E"/>
            <w:u w:val="single"/>
          </w:rPr>
          <w:t xml:space="preserve">the Crime section</w:t>
        </w:r>
      </w:hyperlink>
      <w:r>
        <w:rPr>
          <w:b w:val="0"/>
          <w:i w:val="0"/>
        </w:rPr>
        <w:t>).</w:t>
      </w:r>
    </w:p>
    <w:p>
      <w:r>
        <w:rPr>
          <w:b w:val="0"/>
          <w:i w:val="0"/>
        </w:rPr>
        <w:t xml:space="preserve">This policy, together with your schedule and any endorsements, forms your contract of insurance. Words in bold have special meanings — see </w:t>
      </w:r>
      <w:hyperlink w:anchor="c_imi_section_definitions">
        <w:r>
          <w:rPr>
            <w:color w:val="2E5C4E"/>
            <w:u w:val="single"/>
          </w:rPr>
          <w:t xml:space="preserve">the Definitions section</w:t>
        </w:r>
      </w:hyperlink>
      <w:r>
        <w:rPr>
          <w:b w:val="0"/>
          <w:i w:val="0"/>
        </w:rPr>
        <w:t>.</w:t>
      </w:r>
    </w:p>
    <w:p>
      <w:r>
        <w:rPr>
          <w:b/>
          <w:i w:val="0"/>
        </w:rPr>
        <w:t>Notice under s 40(3) of the Insurance Contracts Act 1984 (Cth):</w:t>
      </w:r>
      <w:r>
        <w:rPr>
          <w:b w:val="0"/>
          <w:i w:val="0"/>
        </w:rPr>
        <w:t xml:space="preserve"> if, during the policy period, you give us written notice of facts that might give rise to a claim against you, we cannot later refuse to cover a claim arising from those facts merely because it is made after this policy expires. </w:t>
      </w:r>
      <w:hyperlink w:anchor="c_imi_cover_notification_of_circumstance">
        <w:r>
          <w:rPr>
            <w:color w:val="2E5C4E"/>
            <w:u w:val="single"/>
          </w:rPr>
          <w:t xml:space="preserve">The Notification of Circumstances clause</w:t>
        </w:r>
      </w:hyperlink>
      <w:r>
        <w:rPr>
          <w:b w:val="0"/>
          <w:i w:val="0"/>
        </w:rPr>
        <w:t xml:space="preserve"> and </w:t>
      </w:r>
      <w:hyperlink w:anchor="c_imi_obl_notify_circumstances">
        <w:r>
          <w:rPr>
            <w:color w:val="2E5C4E"/>
            <w:u w:val="single"/>
          </w:rPr>
          <w:t xml:space="preserve">the Notify Circumstances — Professional Liability and Directors' and Officers' Liability obligation</w:t>
        </w:r>
      </w:hyperlink>
      <w:r>
        <w:rPr>
          <w:b w:val="0"/>
          <w:i w:val="0"/>
        </w:rPr>
        <w:t xml:space="preserve"> explain how to give that notice. This notice is given to you before you enter into this contract, as required by s 40(1) of the Act.</w:t>
      </w:r>
    </w:p>
    <w:p>
      <w:bookmarkStart w:id="1" w:name="c_imi_version_history"/>
      <w:r>
        <w:rPr>
          <w:rFonts w:ascii="Georgia" w:hAnsi="Georgia" w:eastAsia="Georgia"/>
          <w:b/>
          <w:i w:val="0"/>
          <w:color w:val="1C1915"/>
          <w:sz w:val="32"/>
        </w:rPr>
        <w:t>Version and Document History</w:t>
      </w:r>
      <w:bookmarkEnd w:id="1"/>
    </w:p>
    <w:p>
      <w:r>
        <w:rPr>
          <w:b w:val="0"/>
          <w:i w:val="0"/>
        </w:rPr>
        <w:t>This document is version-controlled. The version and date shown on the cover page and in the footer of each page govern this text. The version stated in your schedule as current at inception applies for the life of your policy period, unless your schedule or an endorsement states otherwise.</w:t>
      </w:r>
    </w:p>
    <w:p>
      <w:r>
        <w:rPr>
          <w:b w:val="0"/>
          <w:i w:val="0"/>
        </w:rPr>
        <w:t>This is the first release of the Meridian Investment Managers Indemnity Insurance wording built from clause source in the Commons. It replaces version 1.2.0 (July 2026). Changes from version 1.2.0:</w:t>
      </w:r>
    </w:p>
    <w:p>
      <w:pPr>
        <w:pStyle w:val="ListBullet"/>
      </w:pPr>
      <w:r>
        <w:rPr>
          <w:b w:val="0"/>
          <w:i w:val="0"/>
        </w:rPr>
        <w:t>Clause numbers are removed. Each clause is identified by its heading, and every cross-reference is a link to the clause it names. The cover, exclusions, limits and conditions of version 1.2.0 are unchanged.</w:t>
      </w:r>
    </w:p>
    <w:p>
      <w:pPr>
        <w:pStyle w:val="ListBullet"/>
      </w:pPr>
      <w:r>
        <w:rPr>
          <w:b w:val="0"/>
          <w:i w:val="0"/>
        </w:rPr>
        <w:t>Four clauses with headings that named a section now say so in the heading: Dishonesty and Fraud, Notify Claims, Notify Circumstances and Trading Losses each name the sections to which they apply.</w:t>
      </w:r>
    </w:p>
    <w:p>
      <w:pPr>
        <w:pStyle w:val="ListBullet"/>
      </w:pPr>
      <w:r>
        <w:rPr>
          <w:b w:val="0"/>
          <w:i w:val="0"/>
        </w:rPr>
        <w:t>The endorsement library has 14 endorsements, each with operative text, schedule variables and a platform trigger. Version 1.2.0 listed titles only, and several titles described endorsements as not yet available.</w:t>
      </w:r>
    </w:p>
    <w:p>
      <w:pPr>
        <w:pStyle w:val="ListBullet"/>
      </w:pPr>
      <w:r>
        <w:rPr>
          <w:b w:val="0"/>
          <w:i w:val="0"/>
        </w:rPr>
        <w:t>The guide in Appendix A is unchanged. It is not part of the contract.</w:t>
      </w:r>
    </w:p>
    <w:p>
      <w:pPr>
        <w:pStyle w:val="ListBullet"/>
      </w:pPr>
      <w:r>
        <w:rPr>
          <w:b w:val="0"/>
          <w:i w:val="0"/>
        </w:rPr>
        <w:t>Six points are marked [WP REVIEW] for the Wording Partner. They are all in the new endorsement text.</w:t>
      </w:r>
    </w:p>
    <w:p>
      <w:bookmarkStart w:id="2" w:name="c_imi_schedule"/>
      <w:r>
        <w:rPr>
          <w:rFonts w:ascii="Georgia" w:hAnsi="Georgia" w:eastAsia="Georgia"/>
          <w:b/>
          <w:i w:val="0"/>
          <w:color w:val="1C1915"/>
          <w:sz w:val="32"/>
        </w:rPr>
        <w:t>Schedule</w:t>
      </w:r>
      <w:bookmarkEnd w:id="2"/>
    </w:p>
    <w:tbl>
      <w:tblPr>
        <w:tblStyle w:val="TableGrid"/>
        <w:tblW w:type="auto" w:w="0"/>
        <w:tblLook w:firstColumn="1" w:firstRow="1" w:lastColumn="0" w:lastRow="0" w:noHBand="0" w:noVBand="1" w:val="04A0"/>
      </w:tblPr>
      <w:tblGrid>
        <w:gridCol w:w="4873"/>
        <w:gridCol w:w="4873"/>
      </w:tblGrid>
      <w:tr>
        <w:tc>
          <w:tcPr>
            <w:tcW w:type="dxa" w:w="4873"/>
          </w:tcPr>
          <w:p>
            <w:r/>
            <w:r>
              <w:rPr>
                <w:b/>
                <w:i w:val="0"/>
              </w:rPr>
              <w:t>Item 1</w:t>
            </w:r>
          </w:p>
        </w:tc>
        <w:tc>
          <w:tcPr>
            <w:tcW w:type="dxa" w:w="4873"/>
          </w:tcPr>
          <w:p>
            <w:r/>
            <w:r>
              <w:rPr>
                <w:b w:val="0"/>
                <w:i w:val="0"/>
              </w:rPr>
              <w:t>Named insured, AFSL number, ACN</w:t>
            </w:r>
          </w:p>
        </w:tc>
      </w:tr>
      <w:tr>
        <w:tc>
          <w:tcPr>
            <w:tcW w:type="dxa" w:w="4873"/>
          </w:tcPr>
          <w:p>
            <w:r/>
            <w:r>
              <w:rPr>
                <w:b/>
                <w:i w:val="0"/>
              </w:rPr>
              <w:t>Item 2</w:t>
            </w:r>
          </w:p>
        </w:tc>
        <w:tc>
          <w:tcPr>
            <w:tcW w:type="dxa" w:w="4873"/>
          </w:tcPr>
          <w:p>
            <w:r/>
            <w:r>
              <w:rPr>
                <w:b w:val="0"/>
                <w:i w:val="0"/>
              </w:rPr>
              <w:t>Policy period</w:t>
            </w:r>
          </w:p>
        </w:tc>
      </w:tr>
      <w:tr>
        <w:tc>
          <w:tcPr>
            <w:tcW w:type="dxa" w:w="4873"/>
          </w:tcPr>
          <w:p>
            <w:r/>
            <w:r>
              <w:rPr>
                <w:b/>
                <w:i w:val="0"/>
              </w:rPr>
              <w:t>Item 3</w:t>
            </w:r>
          </w:p>
        </w:tc>
        <w:tc>
          <w:tcPr>
            <w:tcW w:type="dxa" w:w="4873"/>
          </w:tcPr>
          <w:p>
            <w:r/>
            <w:r>
              <w:rPr>
                <w:b w:val="0"/>
                <w:i w:val="0"/>
              </w:rPr>
              <w:t xml:space="preserve">Retroactive date — applies to </w:t>
            </w:r>
            <w:hyperlink w:anchor="c_imi_section_pl">
              <w:r>
                <w:rPr>
                  <w:color w:val="2E5C4E"/>
                  <w:u w:val="single"/>
                </w:rPr>
                <w:t xml:space="preserve">the Professional Liability section</w:t>
              </w:r>
            </w:hyperlink>
            <w:r>
              <w:rPr>
                <w:b w:val="0"/>
                <w:i w:val="0"/>
              </w:rPr>
              <w:t xml:space="preserve"> (Professional Liability) and 3 (Directors' and Officers' Liability). </w:t>
            </w:r>
            <w:hyperlink w:anchor="c_imi_section_crime">
              <w:r>
                <w:rPr>
                  <w:color w:val="2E5C4E"/>
                  <w:u w:val="single"/>
                </w:rPr>
                <w:t xml:space="preserve">The Crime section</w:t>
              </w:r>
            </w:hyperlink>
            <w:r>
              <w:rPr>
                <w:b w:val="0"/>
                <w:i w:val="0"/>
              </w:rPr>
              <w:t xml:space="preserve"> (Crime) is discovery-triggered and is not subject to a retroactive date (see </w:t>
            </w:r>
            <w:hyperlink w:anchor="c_imi_cover_financial_services_liability">
              <w:r>
                <w:rPr>
                  <w:color w:val="2E5C4E"/>
                  <w:u w:val="single"/>
                </w:rPr>
                <w:t xml:space="preserve">the Financial Services Liability clause</w:t>
              </w:r>
            </w:hyperlink>
            <w:r>
              <w:rPr>
                <w:b w:val="0"/>
                <w:i w:val="0"/>
              </w:rPr>
              <w:t xml:space="preserve">, </w:t>
            </w:r>
            <w:hyperlink w:anchor="c_imi_cover_personal_liability_non_indem">
              <w:r>
                <w:rPr>
                  <w:color w:val="2E5C4E"/>
                  <w:u w:val="single"/>
                </w:rPr>
                <w:t xml:space="preserve">the Personal Liability — Non-Indemnifiable Loss (Side A) clause</w:t>
              </w:r>
            </w:hyperlink>
            <w:r>
              <w:rPr>
                <w:b w:val="0"/>
                <w:i w:val="0"/>
              </w:rPr>
              <w:t xml:space="preserve">, </w:t>
            </w:r>
            <w:hyperlink w:anchor="c_imi_excl_prior_known_matters">
              <w:r>
                <w:rPr>
                  <w:color w:val="2E5C4E"/>
                  <w:u w:val="single"/>
                </w:rPr>
                <w:t xml:space="preserve">the Prior Known Matters exclusion</w:t>
              </w:r>
            </w:hyperlink>
            <w:r>
              <w:rPr>
                <w:b w:val="0"/>
                <w:i w:val="0"/>
              </w:rPr>
              <w:t xml:space="preserve">, </w:t>
            </w:r>
            <w:hyperlink w:anchor="c_imi_excl_prior_and_pending_litigation">
              <w:r>
                <w:rPr>
                  <w:color w:val="2E5C4E"/>
                  <w:u w:val="single"/>
                </w:rPr>
                <w:t xml:space="preserve">the Prior and Pending Litigation exclusion</w:t>
              </w:r>
            </w:hyperlink>
            <w:r>
              <w:rPr>
                <w:b w:val="0"/>
                <w:i w:val="0"/>
              </w:rPr>
              <w:t>).</w:t>
            </w:r>
          </w:p>
        </w:tc>
      </w:tr>
      <w:tr>
        <w:tc>
          <w:tcPr>
            <w:tcW w:type="dxa" w:w="4873"/>
          </w:tcPr>
          <w:p>
            <w:r/>
            <w:r>
              <w:rPr>
                <w:b/>
                <w:i w:val="0"/>
              </w:rPr>
              <w:t>Item 4</w:t>
            </w:r>
          </w:p>
        </w:tc>
        <w:tc>
          <w:tcPr>
            <w:tcW w:type="dxa" w:w="4873"/>
          </w:tcPr>
          <w:p>
            <w:r/>
            <w:r>
              <w:rPr>
                <w:b w:val="0"/>
                <w:i w:val="0"/>
              </w:rPr>
              <w:t>Limit of liability — per claim and aggregate, by section and overall</w:t>
            </w:r>
          </w:p>
        </w:tc>
      </w:tr>
      <w:tr>
        <w:tc>
          <w:tcPr>
            <w:tcW w:type="dxa" w:w="4873"/>
          </w:tcPr>
          <w:p>
            <w:r/>
            <w:r>
              <w:rPr>
                <w:b/>
                <w:i w:val="0"/>
              </w:rPr>
              <w:t>Item 5</w:t>
            </w:r>
          </w:p>
        </w:tc>
        <w:tc>
          <w:tcPr>
            <w:tcW w:type="dxa" w:w="4873"/>
          </w:tcPr>
          <w:p>
            <w:r/>
            <w:r>
              <w:rPr>
                <w:b w:val="0"/>
                <w:i w:val="0"/>
              </w:rPr>
              <w:t>Excess — per claim/loss, by section</w:t>
            </w:r>
          </w:p>
        </w:tc>
      </w:tr>
      <w:tr>
        <w:tc>
          <w:tcPr>
            <w:tcW w:type="dxa" w:w="4873"/>
          </w:tcPr>
          <w:p>
            <w:r/>
            <w:r>
              <w:rPr>
                <w:b/>
                <w:i w:val="0"/>
              </w:rPr>
              <w:t>Item 6</w:t>
            </w:r>
          </w:p>
        </w:tc>
        <w:tc>
          <w:tcPr>
            <w:tcW w:type="dxa" w:w="4873"/>
          </w:tcPr>
          <w:p>
            <w:r/>
            <w:r>
              <w:rPr>
                <w:b w:val="0"/>
                <w:i w:val="0"/>
              </w:rPr>
              <w:t>Funds under management / advice</w:t>
            </w:r>
          </w:p>
        </w:tc>
      </w:tr>
      <w:tr>
        <w:tc>
          <w:tcPr>
            <w:tcW w:type="dxa" w:w="4873"/>
          </w:tcPr>
          <w:p>
            <w:r/>
            <w:r>
              <w:rPr>
                <w:b/>
                <w:i w:val="0"/>
              </w:rPr>
              <w:t>Item 7</w:t>
            </w:r>
          </w:p>
        </w:tc>
        <w:tc>
          <w:tcPr>
            <w:tcW w:type="dxa" w:w="4873"/>
          </w:tcPr>
          <w:p>
            <w:r/>
            <w:r>
              <w:rPr>
                <w:b w:val="0"/>
                <w:i w:val="0"/>
              </w:rPr>
              <w:t xml:space="preserve">Fund(s) — names and details of managed investment schemes, trusts, or funds, and any per-fund sub-limit or limit-sharing arrangement (see </w:t>
            </w:r>
            <w:hyperlink w:anchor="c_imi_pay_multiple_funds_limit_sharing">
              <w:r>
                <w:rPr>
                  <w:color w:val="2E5C4E"/>
                  <w:u w:val="single"/>
                </w:rPr>
                <w:t xml:space="preserve">the Multiple Funds — Limit Sharing provision</w:t>
              </w:r>
            </w:hyperlink>
            <w:r>
              <w:rPr>
                <w:b w:val="0"/>
                <w:i w:val="0"/>
              </w:rPr>
              <w:t>)</w:t>
            </w:r>
          </w:p>
        </w:tc>
      </w:tr>
      <w:tr>
        <w:tc>
          <w:tcPr>
            <w:tcW w:type="dxa" w:w="4873"/>
          </w:tcPr>
          <w:p>
            <w:r/>
            <w:r>
              <w:rPr>
                <w:b/>
                <w:i w:val="0"/>
              </w:rPr>
              <w:t>Item 8</w:t>
            </w:r>
          </w:p>
        </w:tc>
        <w:tc>
          <w:tcPr>
            <w:tcW w:type="dxa" w:w="4873"/>
          </w:tcPr>
          <w:p>
            <w:r/>
            <w:r>
              <w:rPr>
                <w:b w:val="0"/>
                <w:i w:val="0"/>
              </w:rPr>
              <w:t>Endorsements</w:t>
            </w:r>
          </w:p>
        </w:tc>
      </w:tr>
      <w:tr>
        <w:tc>
          <w:tcPr>
            <w:tcW w:type="dxa" w:w="4873"/>
          </w:tcPr>
          <w:p>
            <w:r/>
            <w:r>
              <w:rPr>
                <w:b/>
                <w:i w:val="0"/>
              </w:rPr>
              <w:t>Item 9</w:t>
            </w:r>
          </w:p>
        </w:tc>
        <w:tc>
          <w:tcPr>
            <w:tcW w:type="dxa" w:w="4873"/>
          </w:tcPr>
          <w:p>
            <w:r/>
            <w:r>
              <w:rPr>
                <w:b w:val="0"/>
                <w:i w:val="0"/>
              </w:rPr>
              <w:t>Premium</w:t>
            </w:r>
          </w:p>
        </w:tc>
      </w:tr>
      <w:tr>
        <w:tc>
          <w:tcPr>
            <w:tcW w:type="dxa" w:w="4873"/>
          </w:tcPr>
          <w:p>
            <w:r/>
            <w:r>
              <w:rPr>
                <w:b/>
                <w:i w:val="0"/>
              </w:rPr>
              <w:t>Item 10</w:t>
            </w:r>
          </w:p>
        </w:tc>
        <w:tc>
          <w:tcPr>
            <w:tcW w:type="dxa" w:w="4873"/>
          </w:tcPr>
          <w:p>
            <w:r/>
            <w:r>
              <w:rPr>
                <w:b w:val="0"/>
                <w:i w:val="0"/>
              </w:rPr>
              <w:t xml:space="preserve">Governing law and jurisdiction — the state or territory shown here governs this policy, fixed as at inception (see </w:t>
            </w:r>
            <w:hyperlink w:anchor="c_imi_cond_governing_law_jurisdiction_gs">
              <w:r>
                <w:rPr>
                  <w:color w:val="2E5C4E"/>
                  <w:u w:val="single"/>
                </w:rPr>
                <w:t xml:space="preserve">the Governing Law, Jurisdiction, GST, Privacy, Disputes condition</w:t>
              </w:r>
            </w:hyperlink>
            <w:r>
              <w:rPr>
                <w:b w:val="0"/>
                <w:i w:val="0"/>
              </w:rPr>
              <w:t>)</w:t>
            </w:r>
          </w:p>
        </w:tc>
      </w:tr>
    </w:tbl>
    <w:p>
      <w:bookmarkStart w:id="3" w:name="c_imi_section_definitions"/>
      <w:r>
        <w:rPr>
          <w:rFonts w:ascii="Georgia" w:hAnsi="Georgia" w:eastAsia="Georgia"/>
          <w:b/>
          <w:i w:val="0"/>
          <w:color w:val="1C1915"/>
          <w:sz w:val="32"/>
        </w:rPr>
        <w:t>Definitions</w:t>
      </w:r>
      <w:bookmarkEnd w:id="3"/>
    </w:p>
    <w:p>
      <w:r>
        <w:rPr>
          <w:b w:val="0"/>
          <w:i w:val="0"/>
        </w:rPr>
        <w:t>When the following words appear in bold in this policy, they have the meanings set out below. These definitions apply throughout this policy unless a section expressly states a different meaning for that section.</w:t>
      </w:r>
    </w:p>
    <w:tbl>
      <w:tblPr>
        <w:tblStyle w:val="TableGrid"/>
        <w:tblW w:type="auto" w:w="0"/>
        <w:tblLayout w:type="fixed"/>
        <w:tblLook w:firstColumn="1" w:firstRow="1" w:lastColumn="0" w:lastRow="0" w:noHBand="0" w:noVBand="1" w:val="04A0"/>
      </w:tblPr>
      <w:tblGrid>
        <w:gridCol w:w="4873"/>
        <w:gridCol w:w="4873"/>
      </w:tblGrid>
      <w:tr>
        <w:tc>
          <w:tcPr>
            <w:tcW w:type="dxa" w:w="2608"/>
          </w:tcPr>
          <w:p>
            <w:bookmarkStart w:id="4" w:name="c_imi_def_afsl"/>
            <w:r>
              <w:rPr>
                <w:b/>
                <w:i w:val="0"/>
              </w:rPr>
              <w:t>AFSL</w:t>
            </w:r>
            <w:bookmarkEnd w:id="4"/>
          </w:p>
        </w:tc>
        <w:tc>
          <w:tcPr>
            <w:tcW w:type="dxa" w:w="6803"/>
          </w:tcPr>
          <w:p>
            <w:r>
              <w:rPr>
                <w:b w:val="0"/>
                <w:i w:val="0"/>
              </w:rPr>
              <w:t>An Australian Financial Services Licence issued under the Corporations Act 2001 (Cth).</w:t>
            </w:r>
          </w:p>
        </w:tc>
      </w:tr>
      <w:tr>
        <w:tc>
          <w:tcPr>
            <w:tcW w:type="dxa" w:w="2608"/>
          </w:tcPr>
          <w:p>
            <w:bookmarkStart w:id="5" w:name="c_imi_def_claim"/>
            <w:r>
              <w:rPr>
                <w:b/>
                <w:i w:val="0"/>
              </w:rPr>
              <w:t>Claim</w:t>
            </w:r>
            <w:bookmarkEnd w:id="5"/>
          </w:p>
        </w:tc>
        <w:tc>
          <w:tcPr>
            <w:tcW w:type="dxa" w:w="6803"/>
          </w:tcPr>
          <w:p>
            <w:r>
              <w:rPr>
                <w:b w:val="0"/>
                <w:i w:val="0"/>
              </w:rPr>
              <w:t>Any of the following:</w:t>
            </w:r>
          </w:p>
          <w:p>
            <w:r>
              <w:rPr>
                <w:b w:val="0"/>
                <w:i w:val="0"/>
              </w:rPr>
              <w:t>(a) any written demand for compensation against an insured;</w:t>
            </w:r>
          </w:p>
          <w:p>
            <w:r>
              <w:rPr>
                <w:b w:val="0"/>
                <w:i w:val="0"/>
              </w:rPr>
              <w:t>(b) any writ, summons, or legal proceeding against an insured;</w:t>
            </w:r>
          </w:p>
          <w:p>
            <w:r>
              <w:rPr>
                <w:b w:val="0"/>
                <w:i w:val="0"/>
              </w:rPr>
              <w:t>(c) any regulatory proceeding;</w:t>
            </w:r>
          </w:p>
          <w:p>
            <w:r>
              <w:rPr>
                <w:b w:val="0"/>
                <w:i w:val="0"/>
              </w:rPr>
              <w:t>(d) any complaint to AFCA that alleges financial loss;</w:t>
            </w:r>
          </w:p>
          <w:p>
            <w:r>
              <w:rPr>
                <w:b w:val="0"/>
                <w:i w:val="0"/>
              </w:rPr>
              <w:t>(e) any derivative action; and</w:t>
            </w:r>
          </w:p>
          <w:p>
            <w:r>
              <w:rPr>
                <w:b w:val="0"/>
                <w:i w:val="0"/>
              </w:rPr>
              <w:t>(f) any extradition proceeding against an insured person in connection with a wrongful act.</w:t>
            </w:r>
          </w:p>
          <w:p>
            <w:r>
              <w:rPr>
                <w:b w:val="0"/>
                <w:i w:val="0"/>
              </w:rPr>
              <w:t>Claims are related if they arise from the same wrongful act, or from wrongful acts that are the same, similar, or related, or that have a common originating cause, act, omission, or set of facts or circumstances. Related claims are treated as a single claim, first made when the earliest of them was first made.</w:t>
            </w:r>
          </w:p>
        </w:tc>
      </w:tr>
      <w:tr>
        <w:tc>
          <w:tcPr>
            <w:tcW w:type="dxa" w:w="2608"/>
          </w:tcPr>
          <w:p>
            <w:bookmarkStart w:id="6" w:name="c_imi_def_company"/>
            <w:r>
              <w:rPr>
                <w:b/>
                <w:i w:val="0"/>
              </w:rPr>
              <w:t>Company</w:t>
            </w:r>
            <w:bookmarkEnd w:id="6"/>
          </w:p>
        </w:tc>
        <w:tc>
          <w:tcPr>
            <w:tcW w:type="dxa" w:w="6803"/>
          </w:tcPr>
          <w:p>
            <w:r>
              <w:rPr>
                <w:b w:val="0"/>
                <w:i w:val="0"/>
              </w:rPr>
              <w:t>The named insured and any subsidiary.</w:t>
            </w:r>
          </w:p>
        </w:tc>
      </w:tr>
      <w:tr>
        <w:tc>
          <w:tcPr>
            <w:tcW w:type="dxa" w:w="2608"/>
          </w:tcPr>
          <w:p>
            <w:bookmarkStart w:id="7" w:name="c_imi_def_compliance_costs"/>
            <w:r>
              <w:rPr>
                <w:b/>
                <w:i w:val="0"/>
              </w:rPr>
              <w:t>Compliance costs</w:t>
            </w:r>
            <w:bookmarkEnd w:id="7"/>
          </w:p>
        </w:tc>
        <w:tc>
          <w:tcPr>
            <w:tcW w:type="dxa" w:w="6803"/>
          </w:tcPr>
          <w:p>
            <w:r>
              <w:rPr>
                <w:b w:val="0"/>
                <w:i w:val="0"/>
              </w:rPr>
              <w:t xml:space="preserve">The reasonable costs of engaging external compliance consultants or legal advisors to respond to an ASIC or APRA audit, review, or inquiry relating to your financial services activities — where the audit or inquiry is specifically directed at you (not an industry-wide review). See </w:t>
            </w:r>
            <w:hyperlink w:anchor="c_imi_ext_compliance_costs">
              <w:r>
                <w:rPr>
                  <w:color w:val="2E5C4E"/>
                  <w:u w:val="single"/>
                </w:rPr>
                <w:t xml:space="preserve">the Compliance Costs extension</w:t>
              </w:r>
            </w:hyperlink>
            <w:r>
              <w:rPr>
                <w:b w:val="0"/>
                <w:i w:val="0"/>
              </w:rPr>
              <w:t>.</w:t>
            </w:r>
          </w:p>
        </w:tc>
      </w:tr>
      <w:tr>
        <w:tc>
          <w:tcPr>
            <w:tcW w:type="dxa" w:w="2608"/>
          </w:tcPr>
          <w:p>
            <w:bookmarkStart w:id="8" w:name="c_imi_def_defence_costs"/>
            <w:r>
              <w:rPr>
                <w:b/>
                <w:i w:val="0"/>
              </w:rPr>
              <w:t>Defence costs</w:t>
            </w:r>
            <w:bookmarkEnd w:id="8"/>
          </w:p>
        </w:tc>
        <w:tc>
          <w:tcPr>
            <w:tcW w:type="dxa" w:w="6803"/>
          </w:tcPr>
          <w:p>
            <w:r>
              <w:rPr>
                <w:b w:val="0"/>
                <w:i w:val="0"/>
              </w:rPr>
              <w:t>Reasonable legal costs and expenses incurred with our prior written consent to investigate, defend, settle, or appeal a claim. We will not unreasonably withhold or delay consent.</w:t>
            </w:r>
          </w:p>
        </w:tc>
      </w:tr>
      <w:tr>
        <w:tc>
          <w:tcPr>
            <w:tcW w:type="dxa" w:w="2608"/>
          </w:tcPr>
          <w:p>
            <w:bookmarkStart w:id="9" w:name="c_imi_def_derivative_action"/>
            <w:r>
              <w:rPr>
                <w:b/>
                <w:i w:val="0"/>
              </w:rPr>
              <w:t>Derivative action</w:t>
            </w:r>
            <w:bookmarkEnd w:id="9"/>
          </w:p>
        </w:tc>
        <w:tc>
          <w:tcPr>
            <w:tcW w:type="dxa" w:w="6803"/>
          </w:tcPr>
          <w:p>
            <w:r>
              <w:rPr>
                <w:b w:val="0"/>
                <w:i w:val="0"/>
              </w:rPr>
              <w:t>A proceeding brought under Part 2F.1A of the Corporations Act 2001, or by a unitholder or member of a fund seeking relief on behalf of the fund, for a wrongful act of an insured person.</w:t>
            </w:r>
          </w:p>
        </w:tc>
      </w:tr>
      <w:tr>
        <w:tc>
          <w:tcPr>
            <w:tcW w:type="dxa" w:w="2608"/>
          </w:tcPr>
          <w:p>
            <w:bookmarkStart w:id="10" w:name="c_imi_def_discovery"/>
            <w:r>
              <w:rPr>
                <w:b/>
                <w:i w:val="0"/>
              </w:rPr>
              <w:t>Discovery</w:t>
            </w:r>
            <w:bookmarkEnd w:id="10"/>
          </w:p>
        </w:tc>
        <w:tc>
          <w:tcPr>
            <w:tcW w:type="dxa" w:w="6803"/>
          </w:tcPr>
          <w:p>
            <w:r>
              <w:rPr>
                <w:b w:val="0"/>
                <w:i w:val="0"/>
              </w:rPr>
              <w:t xml:space="preserve">The point at which any responsible person first has reason to believe, on the information then available, that a loss covered by </w:t>
            </w:r>
            <w:hyperlink w:anchor="c_imi_section_crime">
              <w:r>
                <w:rPr>
                  <w:color w:val="2E5C4E"/>
                  <w:u w:val="single"/>
                </w:rPr>
                <w:t xml:space="preserve">the Crime section</w:t>
              </w:r>
            </w:hyperlink>
            <w:r>
              <w:rPr>
                <w:b w:val="0"/>
                <w:i w:val="0"/>
              </w:rPr>
              <w:t xml:space="preserve"> has been or is likely to have been sustained, whether or not the amount, cause, or full circumstances of the loss are then known.</w:t>
            </w:r>
          </w:p>
        </w:tc>
      </w:tr>
      <w:tr>
        <w:tc>
          <w:tcPr>
            <w:tcW w:type="dxa" w:w="2608"/>
          </w:tcPr>
          <w:p>
            <w:bookmarkStart w:id="11" w:name="c_imi_def_dishonest_act"/>
            <w:r>
              <w:rPr>
                <w:b/>
                <w:i w:val="0"/>
              </w:rPr>
              <w:t>Dishonest act</w:t>
            </w:r>
            <w:bookmarkEnd w:id="11"/>
          </w:p>
        </w:tc>
        <w:tc>
          <w:tcPr>
            <w:tcW w:type="dxa" w:w="6803"/>
          </w:tcPr>
          <w:p>
            <w:r>
              <w:rPr>
                <w:b w:val="0"/>
                <w:i w:val="0"/>
              </w:rPr>
              <w:t>An act committed by an employee with the clear intention to cause you or a fund direct financial loss and to obtain a personal financial benefit beyond their normal compensation.</w:t>
            </w:r>
          </w:p>
        </w:tc>
      </w:tr>
      <w:tr>
        <w:tc>
          <w:tcPr>
            <w:tcW w:type="dxa" w:w="2608"/>
          </w:tcPr>
          <w:p>
            <w:bookmarkStart w:id="12" w:name="c_imi_def_employee"/>
            <w:r>
              <w:rPr>
                <w:b/>
                <w:i w:val="0"/>
              </w:rPr>
              <w:t>Employee</w:t>
            </w:r>
            <w:bookmarkEnd w:id="12"/>
          </w:p>
        </w:tc>
        <w:tc>
          <w:tcPr>
            <w:tcW w:type="dxa" w:w="6803"/>
          </w:tcPr>
          <w:p>
            <w:r>
              <w:rPr>
                <w:b w:val="0"/>
                <w:i w:val="0"/>
              </w:rPr>
              <w:t>Any natural person who works for the company under a contract of employment, including permanent, fixed-term, casual, and part-time employees. It includes:</w:t>
            </w:r>
          </w:p>
          <w:p>
            <w:r>
              <w:rPr>
                <w:b w:val="0"/>
                <w:i w:val="0"/>
              </w:rPr>
              <w:t>(a) authorised representatives appointed under your AFSL;</w:t>
            </w:r>
          </w:p>
          <w:p>
            <w:r>
              <w:rPr>
                <w:b w:val="0"/>
                <w:i w:val="0"/>
              </w:rPr>
              <w:t>(b) persons seconded to you and working under your direction;</w:t>
            </w:r>
          </w:p>
          <w:p>
            <w:r>
              <w:rPr>
                <w:b w:val="0"/>
                <w:i w:val="0"/>
              </w:rPr>
              <w:t>(c) temporary and labour hire workers under your supervision; and</w:t>
            </w:r>
          </w:p>
          <w:p>
            <w:r>
              <w:rPr>
                <w:b w:val="0"/>
                <w:i w:val="0"/>
              </w:rPr>
              <w:t>(d) volunteers and interns.</w:t>
            </w:r>
          </w:p>
          <w:p>
            <w:r>
              <w:rPr>
                <w:b w:val="0"/>
                <w:i w:val="0"/>
              </w:rPr>
              <w:t>It does not include independent contractors, external auditors, custodians, or prime brokers.</w:t>
            </w:r>
          </w:p>
        </w:tc>
      </w:tr>
      <w:tr>
        <w:tc>
          <w:tcPr>
            <w:tcW w:type="dxa" w:w="2608"/>
          </w:tcPr>
          <w:p>
            <w:bookmarkStart w:id="13" w:name="c_imi_def_endorsement"/>
            <w:r>
              <w:rPr>
                <w:b/>
                <w:i w:val="0"/>
              </w:rPr>
              <w:t>Endorsement</w:t>
            </w:r>
            <w:bookmarkEnd w:id="13"/>
          </w:p>
        </w:tc>
        <w:tc>
          <w:tcPr>
            <w:tcW w:type="dxa" w:w="6803"/>
          </w:tcPr>
          <w:p>
            <w:r>
              <w:rPr>
                <w:b w:val="0"/>
                <w:i w:val="0"/>
              </w:rPr>
              <w:t>A document attached to this policy that changes its terms.</w:t>
            </w:r>
          </w:p>
        </w:tc>
      </w:tr>
      <w:tr>
        <w:tc>
          <w:tcPr>
            <w:tcW w:type="dxa" w:w="2608"/>
          </w:tcPr>
          <w:p>
            <w:bookmarkStart w:id="14" w:name="c_imi_def_excess"/>
            <w:r>
              <w:rPr>
                <w:b/>
                <w:i w:val="0"/>
              </w:rPr>
              <w:t>Excess</w:t>
            </w:r>
            <w:bookmarkEnd w:id="14"/>
          </w:p>
        </w:tc>
        <w:tc>
          <w:tcPr>
            <w:tcW w:type="dxa" w:w="6803"/>
          </w:tcPr>
          <w:p>
            <w:r>
              <w:rPr>
                <w:b w:val="0"/>
                <w:i w:val="0"/>
              </w:rPr>
              <w:t>The amount shown in the schedule that you must pay as the first part of each claim or loss.</w:t>
            </w:r>
          </w:p>
        </w:tc>
      </w:tr>
      <w:tr>
        <w:tc>
          <w:tcPr>
            <w:tcW w:type="dxa" w:w="2608"/>
          </w:tcPr>
          <w:p>
            <w:bookmarkStart w:id="15" w:name="c_imi_def_financial_services_activities"/>
            <w:r>
              <w:rPr>
                <w:b/>
                <w:i w:val="0"/>
              </w:rPr>
              <w:t>Financial services activities</w:t>
            </w:r>
            <w:bookmarkEnd w:id="15"/>
          </w:p>
        </w:tc>
        <w:tc>
          <w:tcPr>
            <w:tcW w:type="dxa" w:w="6803"/>
          </w:tcPr>
          <w:p>
            <w:r>
              <w:rPr>
                <w:b w:val="0"/>
                <w:i w:val="0"/>
              </w:rPr>
              <w:t>Any of the following:</w:t>
            </w:r>
          </w:p>
          <w:p>
            <w:r>
              <w:rPr>
                <w:b w:val="0"/>
                <w:i w:val="0"/>
              </w:rPr>
              <w:t>(a) the provision of financial product advice (general and personal) under your AFSL;</w:t>
            </w:r>
          </w:p>
          <w:p>
            <w:r>
              <w:rPr>
                <w:b w:val="0"/>
                <w:i w:val="0"/>
              </w:rPr>
              <w:t>(b) dealing in financial products under your AFSL;</w:t>
            </w:r>
          </w:p>
          <w:p>
            <w:r>
              <w:rPr>
                <w:b w:val="0"/>
                <w:i w:val="0"/>
              </w:rPr>
              <w:t>(c) the operation, management, or administration of a fund;</w:t>
            </w:r>
          </w:p>
          <w:p>
            <w:r>
              <w:rPr>
                <w:b w:val="0"/>
                <w:i w:val="0"/>
              </w:rPr>
              <w:t>(d) acting as trustee or responsible entity of a fund;</w:t>
            </w:r>
          </w:p>
          <w:p>
            <w:r>
              <w:rPr>
                <w:b w:val="0"/>
                <w:i w:val="0"/>
              </w:rPr>
              <w:t>(e) the provision of custodial or depository services;</w:t>
            </w:r>
          </w:p>
          <w:p>
            <w:r>
              <w:rPr>
                <w:b w:val="0"/>
                <w:i w:val="0"/>
              </w:rPr>
              <w:t>(f) portfolio management and investment management;</w:t>
            </w:r>
          </w:p>
          <w:p>
            <w:r>
              <w:rPr>
                <w:b w:val="0"/>
                <w:i w:val="0"/>
              </w:rPr>
              <w:t>(g) investor reporting, unit pricing, and fund accounting;</w:t>
            </w:r>
          </w:p>
          <w:p>
            <w:r>
              <w:rPr>
                <w:b w:val="0"/>
                <w:i w:val="0"/>
              </w:rPr>
              <w:t>(h) investor communication, marketing, and distribution of financial products;</w:t>
            </w:r>
          </w:p>
          <w:p>
            <w:r>
              <w:rPr>
                <w:b w:val="0"/>
                <w:i w:val="0"/>
              </w:rPr>
              <w:t>(i) compliance, risk management, and governance activities in connection with your AFSL; and</w:t>
            </w:r>
          </w:p>
          <w:p>
            <w:r>
              <w:rPr>
                <w:b w:val="0"/>
                <w:i w:val="0"/>
              </w:rPr>
              <w:t>(j) any other activity authorised under your AFSL or required by law in connection with your role as investment manager, trustee, or responsible entity.</w:t>
            </w:r>
          </w:p>
        </w:tc>
      </w:tr>
      <w:tr>
        <w:tc>
          <w:tcPr>
            <w:tcW w:type="dxa" w:w="2608"/>
          </w:tcPr>
          <w:p>
            <w:bookmarkStart w:id="16" w:name="c_imi_def_fund"/>
            <w:r>
              <w:rPr>
                <w:b/>
                <w:i w:val="0"/>
              </w:rPr>
              <w:t>Fund</w:t>
            </w:r>
            <w:bookmarkEnd w:id="16"/>
          </w:p>
        </w:tc>
        <w:tc>
          <w:tcPr>
            <w:tcW w:type="dxa" w:w="6803"/>
          </w:tcPr>
          <w:p>
            <w:r>
              <w:rPr>
                <w:b w:val="0"/>
                <w:i w:val="0"/>
              </w:rPr>
              <w:t>Any managed investment scheme, unit trust, superannuation fund, pooled investment vehicle, separately managed account, or other investment structure operated, managed, or administered by you, including the funds named in the schedule and any fund established during the policy period.</w:t>
            </w:r>
          </w:p>
        </w:tc>
      </w:tr>
      <w:tr>
        <w:tc>
          <w:tcPr>
            <w:tcW w:type="dxa" w:w="2608"/>
          </w:tcPr>
          <w:p>
            <w:bookmarkStart w:id="17" w:name="c_imi_def_fund_assets"/>
            <w:r>
              <w:rPr>
                <w:b/>
                <w:i w:val="0"/>
              </w:rPr>
              <w:t>Fund assets</w:t>
            </w:r>
            <w:bookmarkEnd w:id="17"/>
          </w:p>
        </w:tc>
        <w:tc>
          <w:tcPr>
            <w:tcW w:type="dxa" w:w="6803"/>
          </w:tcPr>
          <w:p>
            <w:r>
              <w:rPr>
                <w:b w:val="0"/>
                <w:i w:val="0"/>
              </w:rPr>
              <w:t xml:space="preserve">The money, securities, financial instruments, digital assets, cryptocurrency, and other assets held in or on behalf of a fund, including assets held by a custodian on behalf of the fund. See </w:t>
            </w:r>
            <w:hyperlink w:anchor="c_imi_ext_digital_assets_and_cryptocurre">
              <w:r>
                <w:rPr>
                  <w:color w:val="2E5C4E"/>
                  <w:u w:val="single"/>
                </w:rPr>
                <w:t xml:space="preserve">the Digital Assets and Cryptocurrency extension</w:t>
              </w:r>
            </w:hyperlink>
            <w:r>
              <w:rPr>
                <w:b w:val="0"/>
                <w:i w:val="0"/>
              </w:rPr>
              <w:t xml:space="preserve"> for the digital-asset position and Endorsement E13 for enhanced terms.</w:t>
            </w:r>
          </w:p>
        </w:tc>
      </w:tr>
      <w:tr>
        <w:tc>
          <w:tcPr>
            <w:tcW w:type="dxa" w:w="2608"/>
          </w:tcPr>
          <w:p>
            <w:bookmarkStart w:id="18" w:name="c_imi_def_insured"/>
            <w:r>
              <w:rPr>
                <w:b/>
                <w:i w:val="0"/>
              </w:rPr>
              <w:t>Insured</w:t>
            </w:r>
            <w:bookmarkEnd w:id="18"/>
          </w:p>
        </w:tc>
        <w:tc>
          <w:tcPr>
            <w:tcW w:type="dxa" w:w="6803"/>
          </w:tcPr>
          <w:p>
            <w:r>
              <w:rPr>
                <w:b w:val="0"/>
                <w:i w:val="0"/>
              </w:rPr>
              <w:t>(a) the company (for all sections);</w:t>
            </w:r>
          </w:p>
          <w:p>
            <w:r>
              <w:rPr>
                <w:b w:val="0"/>
                <w:i w:val="0"/>
              </w:rPr>
              <w:t>(b) any insured person (for all sections); and</w:t>
            </w:r>
          </w:p>
          <w:p>
            <w:r>
              <w:rPr>
                <w:b w:val="0"/>
                <w:i w:val="0"/>
              </w:rPr>
              <w:t xml:space="preserve">(c) any fund, for </w:t>
            </w:r>
            <w:hyperlink w:anchor="c_imi_section_pl">
              <w:r>
                <w:rPr>
                  <w:color w:val="2E5C4E"/>
                  <w:u w:val="single"/>
                </w:rPr>
                <w:t xml:space="preserve">the Professional Liability section</w:t>
              </w:r>
            </w:hyperlink>
            <w:r>
              <w:rPr>
                <w:b w:val="0"/>
                <w:i w:val="0"/>
              </w:rPr>
              <w:t xml:space="preserve"> and </w:t>
            </w:r>
            <w:hyperlink w:anchor="c_imi_section_crime">
              <w:r>
                <w:rPr>
                  <w:color w:val="2E5C4E"/>
                  <w:u w:val="single"/>
                </w:rPr>
                <w:t xml:space="preserve">the Crime section</w:t>
              </w:r>
            </w:hyperlink>
            <w:r>
              <w:rPr>
                <w:b w:val="0"/>
                <w:i w:val="0"/>
              </w:rPr>
              <w:t xml:space="preserve"> only, to the extent you manage or administer the fund. If a fund has separate insurance of its own that responds to the same loss, this policy applies excess of that other insurance (see </w:t>
            </w:r>
            <w:hyperlink w:anchor="c_imi_pay_other_insurance">
              <w:r>
                <w:rPr>
                  <w:color w:val="2E5C4E"/>
                  <w:u w:val="single"/>
                </w:rPr>
                <w:t xml:space="preserve">the Other Insurance provision</w:t>
              </w:r>
            </w:hyperlink>
            <w:r>
              <w:rPr>
                <w:b w:val="0"/>
                <w:i w:val="0"/>
              </w:rPr>
              <w:t>); the fund does not cease to be an insured merely because it holds separate insurance of its own.</w:t>
            </w:r>
          </w:p>
        </w:tc>
      </w:tr>
      <w:tr>
        <w:tc>
          <w:tcPr>
            <w:tcW w:type="dxa" w:w="2608"/>
          </w:tcPr>
          <w:p>
            <w:bookmarkStart w:id="19" w:name="c_imi_def_insured_person"/>
            <w:r>
              <w:rPr>
                <w:b/>
                <w:i w:val="0"/>
              </w:rPr>
              <w:t>Insured person</w:t>
            </w:r>
            <w:bookmarkEnd w:id="19"/>
          </w:p>
        </w:tc>
        <w:tc>
          <w:tcPr>
            <w:tcW w:type="dxa" w:w="6803"/>
          </w:tcPr>
          <w:p>
            <w:r>
              <w:rPr>
                <w:b w:val="0"/>
                <w:i w:val="0"/>
              </w:rPr>
              <w:t>Any natural person who is, was, or during the policy period becomes:</w:t>
            </w:r>
          </w:p>
          <w:p>
            <w:r>
              <w:rPr>
                <w:b w:val="0"/>
                <w:i w:val="0"/>
              </w:rPr>
              <w:t>(a) a director (including shadow and de facto directors) of the company;</w:t>
            </w:r>
          </w:p>
          <w:p>
            <w:r>
              <w:rPr>
                <w:b w:val="0"/>
                <w:i w:val="0"/>
              </w:rPr>
              <w:t>(b) an officer of the company (including company secretary, CEO, CFO, CIO, chief compliance officer, portfolio managers, and any person who participates in investment or management decisions affecting the whole or substantial part of the business);</w:t>
            </w:r>
          </w:p>
          <w:p>
            <w:r>
              <w:rPr>
                <w:b w:val="0"/>
                <w:i w:val="0"/>
              </w:rPr>
              <w:t>(c) a member of any investment committee, compliance committee, risk committee, or equivalent body;</w:t>
            </w:r>
          </w:p>
          <w:p>
            <w:r>
              <w:rPr>
                <w:b w:val="0"/>
                <w:i w:val="0"/>
              </w:rPr>
              <w:t>(d) a trustee or member of the board of a fund (where the fund has its own governing body);</w:t>
            </w:r>
          </w:p>
          <w:p>
            <w:r>
              <w:rPr>
                <w:b w:val="0"/>
                <w:i w:val="0"/>
              </w:rPr>
              <w:t>(e) an equivalent person in any subsidiary; and</w:t>
            </w:r>
          </w:p>
          <w:p>
            <w:r>
              <w:rPr>
                <w:b w:val="0"/>
                <w:i w:val="0"/>
              </w:rPr>
              <w:t>(f) the spouse, domestic partner, estate, or legal representative of any of the above — but only for claims arising from that person's wrongful acts.</w:t>
            </w:r>
          </w:p>
        </w:tc>
      </w:tr>
      <w:tr>
        <w:tc>
          <w:tcPr>
            <w:tcW w:type="dxa" w:w="2608"/>
          </w:tcPr>
          <w:p>
            <w:bookmarkStart w:id="20" w:name="c_imi_def_limit_of_liability"/>
            <w:r>
              <w:rPr>
                <w:b/>
                <w:i w:val="0"/>
              </w:rPr>
              <w:t>Limit of liability</w:t>
            </w:r>
            <w:bookmarkEnd w:id="20"/>
          </w:p>
        </w:tc>
        <w:tc>
          <w:tcPr>
            <w:tcW w:type="dxa" w:w="6803"/>
          </w:tcPr>
          <w:p>
            <w:r>
              <w:rPr>
                <w:b w:val="0"/>
                <w:i w:val="0"/>
              </w:rPr>
              <w:t>The amounts shown in Item 4 of the schedule.</w:t>
            </w:r>
          </w:p>
        </w:tc>
      </w:tr>
      <w:tr>
        <w:tc>
          <w:tcPr>
            <w:tcW w:type="dxa" w:w="2608"/>
          </w:tcPr>
          <w:p>
            <w:bookmarkStart w:id="21" w:name="c_imi_def_loss"/>
            <w:r>
              <w:rPr>
                <w:b/>
                <w:i w:val="0"/>
              </w:rPr>
              <w:t>Loss</w:t>
            </w:r>
            <w:bookmarkEnd w:id="21"/>
          </w:p>
        </w:tc>
        <w:tc>
          <w:tcPr>
            <w:tcW w:type="dxa" w:w="6803"/>
          </w:tcPr>
          <w:p>
            <w:r>
              <w:rPr>
                <w:b w:val="0"/>
                <w:i w:val="0"/>
              </w:rPr>
              <w:t xml:space="preserve">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compensatory damages and defence costs that an insured becomes legally liable to pay. For insured persons, loss also includes insurable fines and penalties, to the extent insurable at law.</w:t>
            </w:r>
          </w:p>
          <w:p>
            <w:r>
              <w:rPr>
                <w:b w:val="0"/>
                <w:i w:val="0"/>
              </w:rPr>
              <w:t xml:space="preserve">For </w:t>
            </w:r>
            <w:hyperlink w:anchor="c_imi_section_crime">
              <w:r>
                <w:rPr>
                  <w:color w:val="2E5C4E"/>
                  <w:u w:val="single"/>
                </w:rPr>
                <w:t xml:space="preserve">the Crime section</w:t>
              </w:r>
            </w:hyperlink>
            <w:r>
              <w:rPr>
                <w:b w:val="0"/>
                <w:i w:val="0"/>
              </w:rPr>
              <w:t xml:space="preserve">: the direct financial loss you or a fund sustains as a result of a dishonest act. </w:t>
            </w:r>
            <w:hyperlink w:anchor="c_imi_ext_payment_to_funds">
              <w:r>
                <w:rPr>
                  <w:color w:val="2E5C4E"/>
                  <w:u w:val="single"/>
                </w:rPr>
                <w:t xml:space="preserve">The Payment to Funds extension</w:t>
              </w:r>
            </w:hyperlink>
            <w:r>
              <w:rPr>
                <w:b w:val="0"/>
                <w:i w:val="0"/>
              </w:rPr>
              <w:t xml:space="preserve"> (Payment to Funds) states how we pay a fund's direct financial loss.</w:t>
            </w:r>
          </w:p>
          <w:p>
            <w:r>
              <w:rPr>
                <w:b w:val="0"/>
                <w:i w:val="0"/>
              </w:rPr>
              <w:t xml:space="preserve">Loss does not include: taxes; the return of fees, commissions, or management charges to which you were not entitled (but see </w:t>
            </w:r>
            <w:hyperlink w:anchor="c_imi_excl_fees_and_commissions">
              <w:r>
                <w:rPr>
                  <w:color w:val="2E5C4E"/>
                  <w:u w:val="single"/>
                </w:rPr>
                <w:t xml:space="preserve">the Fees and Commissions exclusion</w:t>
              </w:r>
            </w:hyperlink>
            <w:r>
              <w:rPr>
                <w:b w:val="0"/>
                <w:i w:val="0"/>
              </w:rPr>
              <w:t xml:space="preserve">); the return of improperly gained profits; amounts uninsurable at law; or indirect or consequential loss (for </w:t>
            </w:r>
            <w:hyperlink w:anchor="c_imi_section_crime">
              <w:r>
                <w:rPr>
                  <w:color w:val="2E5C4E"/>
                  <w:u w:val="single"/>
                </w:rPr>
                <w:t xml:space="preserve">the Crime section</w:t>
              </w:r>
            </w:hyperlink>
            <w:r>
              <w:rPr>
                <w:b w:val="0"/>
                <w:i w:val="0"/>
              </w:rPr>
              <w:t>).</w:t>
            </w:r>
          </w:p>
        </w:tc>
      </w:tr>
      <w:tr>
        <w:tc>
          <w:tcPr>
            <w:tcW w:type="dxa" w:w="2608"/>
          </w:tcPr>
          <w:p>
            <w:bookmarkStart w:id="22" w:name="c_imi_def_named_insured"/>
            <w:r>
              <w:rPr>
                <w:b/>
                <w:i w:val="0"/>
              </w:rPr>
              <w:t>Named insured</w:t>
            </w:r>
            <w:bookmarkEnd w:id="22"/>
          </w:p>
        </w:tc>
        <w:tc>
          <w:tcPr>
            <w:tcW w:type="dxa" w:w="6803"/>
          </w:tcPr>
          <w:p>
            <w:r>
              <w:rPr>
                <w:b w:val="0"/>
                <w:i w:val="0"/>
              </w:rPr>
              <w:t>The entity shown in the schedule.</w:t>
            </w:r>
          </w:p>
        </w:tc>
      </w:tr>
      <w:tr>
        <w:tc>
          <w:tcPr>
            <w:tcW w:type="dxa" w:w="2608"/>
          </w:tcPr>
          <w:p>
            <w:bookmarkStart w:id="23" w:name="c_imi_def_policy_period"/>
            <w:r>
              <w:rPr>
                <w:b/>
                <w:i w:val="0"/>
              </w:rPr>
              <w:t>Policy period</w:t>
            </w:r>
            <w:bookmarkEnd w:id="23"/>
          </w:p>
        </w:tc>
        <w:tc>
          <w:tcPr>
            <w:tcW w:type="dxa" w:w="6803"/>
          </w:tcPr>
          <w:p>
            <w:r>
              <w:rPr>
                <w:b w:val="0"/>
                <w:i w:val="0"/>
              </w:rPr>
              <w:t>The period shown in the schedule.</w:t>
            </w:r>
          </w:p>
        </w:tc>
      </w:tr>
      <w:tr>
        <w:tc>
          <w:tcPr>
            <w:tcW w:type="dxa" w:w="2608"/>
          </w:tcPr>
          <w:p>
            <w:bookmarkStart w:id="24" w:name="c_imi_def_regulatory_proceeding"/>
            <w:r>
              <w:rPr>
                <w:b/>
                <w:i w:val="0"/>
              </w:rPr>
              <w:t>Regulatory proceeding</w:t>
            </w:r>
            <w:bookmarkEnd w:id="24"/>
          </w:p>
        </w:tc>
        <w:tc>
          <w:tcPr>
            <w:tcW w:type="dxa" w:w="6803"/>
          </w:tcPr>
          <w:p>
            <w:r>
              <w:rPr>
                <w:b w:val="0"/>
                <w:i w:val="0"/>
              </w:rPr>
              <w:t>A formal investigation, examination, inquiry, enforcement action, infringement notice, or civil penalty proceeding brought by ASIC, APRA, the ACCC, the ATO, AUSTRAC, or any equivalent foreign regulator in connection with your financial services activities or the affairs of a fund.</w:t>
            </w:r>
          </w:p>
        </w:tc>
      </w:tr>
      <w:tr>
        <w:tc>
          <w:tcPr>
            <w:tcW w:type="dxa" w:w="2608"/>
          </w:tcPr>
          <w:p>
            <w:bookmarkStart w:id="25" w:name="c_imi_def_responsible_person"/>
            <w:r>
              <w:rPr>
                <w:b/>
                <w:i w:val="0"/>
              </w:rPr>
              <w:t>Responsible person</w:t>
            </w:r>
            <w:bookmarkEnd w:id="25"/>
          </w:p>
        </w:tc>
        <w:tc>
          <w:tcPr>
            <w:tcW w:type="dxa" w:w="6803"/>
          </w:tcPr>
          <w:p>
            <w:r>
              <w:rPr>
                <w:b w:val="0"/>
                <w:i w:val="0"/>
              </w:rPr>
              <w:t>Any director, officer, chief compliance officer, chief financial officer, or head of operations of the company.</w:t>
            </w:r>
          </w:p>
        </w:tc>
      </w:tr>
      <w:tr>
        <w:tc>
          <w:tcPr>
            <w:tcW w:type="dxa" w:w="2608"/>
          </w:tcPr>
          <w:p>
            <w:bookmarkStart w:id="26" w:name="c_imi_def_retroactive_date"/>
            <w:r>
              <w:rPr>
                <w:b/>
                <w:i w:val="0"/>
              </w:rPr>
              <w:t>Retroactive date</w:t>
            </w:r>
            <w:bookmarkEnd w:id="26"/>
          </w:p>
        </w:tc>
        <w:tc>
          <w:tcPr>
            <w:tcW w:type="dxa" w:w="6803"/>
          </w:tcPr>
          <w:p>
            <w:r>
              <w:rPr>
                <w:b w:val="0"/>
                <w:i w:val="0"/>
              </w:rPr>
              <w:t>The date shown in Item 3 of the schedule. See Item 3 for the sections to which it applies.</w:t>
            </w:r>
          </w:p>
        </w:tc>
      </w:tr>
      <w:tr>
        <w:tc>
          <w:tcPr>
            <w:tcW w:type="dxa" w:w="2608"/>
          </w:tcPr>
          <w:p>
            <w:bookmarkStart w:id="27" w:name="c_imi_def_schedule"/>
            <w:r>
              <w:rPr>
                <w:b/>
                <w:i w:val="0"/>
              </w:rPr>
              <w:t>Schedule</w:t>
            </w:r>
            <w:bookmarkEnd w:id="27"/>
          </w:p>
        </w:tc>
        <w:tc>
          <w:tcPr>
            <w:tcW w:type="dxa" w:w="6803"/>
          </w:tcPr>
          <w:p>
            <w:r>
              <w:rPr>
                <w:b w:val="0"/>
                <w:i w:val="0"/>
              </w:rPr>
              <w:t>The document issued with this policy.</w:t>
            </w:r>
          </w:p>
        </w:tc>
      </w:tr>
      <w:tr>
        <w:tc>
          <w:tcPr>
            <w:tcW w:type="dxa" w:w="2608"/>
          </w:tcPr>
          <w:p>
            <w:bookmarkStart w:id="28" w:name="c_imi_def_subsidiary"/>
            <w:r>
              <w:rPr>
                <w:b/>
                <w:i w:val="0"/>
              </w:rPr>
              <w:t>Subsidiary</w:t>
            </w:r>
            <w:bookmarkEnd w:id="28"/>
          </w:p>
        </w:tc>
        <w:tc>
          <w:tcPr>
            <w:tcW w:type="dxa" w:w="6803"/>
          </w:tcPr>
          <w:p>
            <w:r>
              <w:rPr>
                <w:b w:val="0"/>
                <w:i w:val="0"/>
              </w:rPr>
              <w:t>Any entity in which the named insured holds more than 50% of voting rights or effective management control.</w:t>
            </w:r>
          </w:p>
        </w:tc>
      </w:tr>
      <w:tr>
        <w:tc>
          <w:tcPr>
            <w:tcW w:type="dxa" w:w="2608"/>
          </w:tcPr>
          <w:p>
            <w:bookmarkStart w:id="29" w:name="c_imi_def_third_party_service_provider"/>
            <w:r>
              <w:rPr>
                <w:b/>
                <w:i w:val="0"/>
              </w:rPr>
              <w:t>Third-party service provider</w:t>
            </w:r>
            <w:bookmarkEnd w:id="29"/>
          </w:p>
        </w:tc>
        <w:tc>
          <w:tcPr>
            <w:tcW w:type="dxa" w:w="6803"/>
          </w:tcPr>
          <w:p>
            <w:r>
              <w:rPr>
                <w:b w:val="0"/>
                <w:i w:val="0"/>
              </w:rPr>
              <w:t>A custodian, administrator, prime broker, fund accountant, transfer agent, registry, or other service provider engaged by you or a fund under a written contract.</w:t>
            </w:r>
          </w:p>
        </w:tc>
      </w:tr>
      <w:tr>
        <w:tc>
          <w:tcPr>
            <w:tcW w:type="dxa" w:w="2608"/>
          </w:tcPr>
          <w:p>
            <w:bookmarkStart w:id="30" w:name="c_imi_def_unauthorised_access"/>
            <w:r>
              <w:rPr>
                <w:b/>
                <w:i w:val="0"/>
              </w:rPr>
              <w:t>Unauthorised access</w:t>
            </w:r>
            <w:bookmarkEnd w:id="30"/>
          </w:p>
        </w:tc>
        <w:tc>
          <w:tcPr>
            <w:tcW w:type="dxa" w:w="6803"/>
          </w:tcPr>
          <w:p>
            <w:r>
              <w:rPr>
                <w:b w:val="0"/>
                <w:i w:val="0"/>
              </w:rPr>
              <w:t>Access to a computer system or communication system without the actual or apparently authorised consent of the person entitled to control that access, including access obtained by a person who exceeds the scope of access actually granted to them.</w:t>
            </w:r>
          </w:p>
        </w:tc>
      </w:tr>
      <w:tr>
        <w:tc>
          <w:tcPr>
            <w:tcW w:type="dxa" w:w="2608"/>
          </w:tcPr>
          <w:p>
            <w:bookmarkStart w:id="31" w:name="c_imi_def_we_us_our"/>
            <w:r>
              <w:rPr>
                <w:b/>
                <w:i w:val="0"/>
              </w:rPr>
              <w:t>We / us / our</w:t>
            </w:r>
            <w:bookmarkEnd w:id="31"/>
          </w:p>
        </w:tc>
        <w:tc>
          <w:tcPr>
            <w:tcW w:type="dxa" w:w="6803"/>
          </w:tcPr>
          <w:p>
            <w:r>
              <w:rPr>
                <w:b w:val="0"/>
                <w:i w:val="0"/>
              </w:rPr>
              <w:t>The insurer named in the schedule.</w:t>
            </w:r>
          </w:p>
        </w:tc>
      </w:tr>
      <w:tr>
        <w:tc>
          <w:tcPr>
            <w:tcW w:type="dxa" w:w="2608"/>
          </w:tcPr>
          <w:p>
            <w:bookmarkStart w:id="32" w:name="c_imi_def_wrongful_act"/>
            <w:r>
              <w:rPr>
                <w:b/>
                <w:i w:val="0"/>
              </w:rPr>
              <w:t>Wrongful act</w:t>
            </w:r>
            <w:bookmarkEnd w:id="32"/>
          </w:p>
        </w:tc>
        <w:tc>
          <w:tcPr>
            <w:tcW w:type="dxa" w:w="6803"/>
          </w:tcPr>
          <w:p>
            <w:r>
              <w:rPr>
                <w:b w:val="0"/>
                <w:i w:val="0"/>
              </w:rPr>
              <w:t>Any actual or alleged act, error, omission, misstatement, misleading statement, breach of duty (including fiduciary duty), breach of trust, breach of any statutory or regulatory obligation, or neglect, committed by an insured in connection with your financial services activities or in the management of the company.</w:t>
            </w:r>
          </w:p>
        </w:tc>
      </w:tr>
      <w:tr>
        <w:tc>
          <w:tcPr>
            <w:tcW w:type="dxa" w:w="2608"/>
          </w:tcPr>
          <w:p>
            <w:bookmarkStart w:id="33" w:name="c_imi_def_you_your"/>
            <w:r>
              <w:rPr>
                <w:b/>
                <w:i w:val="0"/>
              </w:rPr>
              <w:t>You / your</w:t>
            </w:r>
            <w:bookmarkEnd w:id="33"/>
          </w:p>
        </w:tc>
        <w:tc>
          <w:tcPr>
            <w:tcW w:type="dxa" w:w="6803"/>
          </w:tcPr>
          <w:p>
            <w:r>
              <w:rPr>
                <w:b w:val="0"/>
                <w:i w:val="0"/>
              </w:rPr>
              <w:t>The company and, where the context requires, any insured person.</w:t>
            </w:r>
          </w:p>
        </w:tc>
      </w:tr>
    </w:tbl>
    <w:p>
      <w:bookmarkStart w:id="34" w:name="c_imi_section_pl"/>
      <w:r>
        <w:rPr>
          <w:rFonts w:ascii="Georgia" w:hAnsi="Georgia" w:eastAsia="Georgia"/>
          <w:b/>
          <w:i w:val="0"/>
          <w:color w:val="1C1915"/>
          <w:sz w:val="32"/>
        </w:rPr>
        <w:t>Professional Liability</w:t>
      </w:r>
      <w:bookmarkEnd w:id="34"/>
    </w:p>
    <w:p>
      <w:bookmarkStart w:id="35" w:name="c_imi_section_pl_cover"/>
      <w:r>
        <w:rPr>
          <w:rFonts w:ascii="Georgia" w:hAnsi="Georgia" w:eastAsia="Georgia"/>
          <w:b/>
          <w:i w:val="0"/>
          <w:color w:val="1C1915"/>
          <w:sz w:val="32"/>
        </w:rPr>
        <w:t>What Is Covered — Professional Liability</w:t>
      </w:r>
      <w:bookmarkEnd w:id="35"/>
    </w:p>
    <w:p>
      <w:bookmarkStart w:id="36" w:name="c_imi_cover_financial_services_liability"/>
      <w:r>
        <w:rPr>
          <w:rFonts w:ascii="Georgia" w:hAnsi="Georgia" w:eastAsia="Georgia"/>
          <w:b/>
          <w:i w:val="0"/>
          <w:color w:val="2E5C4E"/>
          <w:sz w:val="25"/>
        </w:rPr>
        <w:t>Financial Services Liability</w:t>
      </w:r>
      <w:bookmarkEnd w:id="36"/>
    </w:p>
    <w:p>
      <w:r>
        <w:rPr>
          <w:b w:val="0"/>
          <w:i w:val="0"/>
        </w:rPr>
        <w:t>If a claim is first made against an insured during the policy period for a wrongful act in connection with financial services activities performed on or after the retroactive date, we will pay:</w:t>
      </w:r>
    </w:p>
    <w:p>
      <w:r>
        <w:rPr>
          <w:b w:val="0"/>
          <w:i w:val="0"/>
        </w:rPr>
        <w:t>(a) any amount the insured becomes legally liable to pay as compensation (including the claimant's costs); and</w:t>
      </w:r>
    </w:p>
    <w:p>
      <w:r>
        <w:rPr>
          <w:b w:val="0"/>
          <w:i w:val="0"/>
        </w:rPr>
        <w:t>(b) the insured's defence costs,</w:t>
      </w:r>
    </w:p>
    <w:p>
      <w:r>
        <w:rPr>
          <w:b w:val="0"/>
          <w:i w:val="0"/>
        </w:rPr>
        <w:t>for any actual or alleged:</w:t>
      </w:r>
    </w:p>
    <w:p>
      <w:r>
        <w:rPr>
          <w:b w:val="0"/>
          <w:i w:val="0"/>
        </w:rPr>
        <w:t>(i) negligence, breach of duty of care, or failure to exercise reasonable care and skill in providing financial services</w:t>
      </w:r>
    </w:p>
    <w:p>
      <w:r>
        <w:rPr>
          <w:b w:val="0"/>
          <w:i w:val="0"/>
        </w:rPr>
        <w:t>(ii) negligent misstatement, misrepresentation, or misleading advice about a financial product or investment</w:t>
      </w:r>
    </w:p>
    <w:p>
      <w:r>
        <w:rPr>
          <w:b w:val="0"/>
          <w:i w:val="0"/>
        </w:rPr>
        <w:t>(iii) breach of fiduciary duty or trustee duty (including the duty to act in the best interests of investors or members)</w:t>
      </w:r>
    </w:p>
    <w:p>
      <w:r>
        <w:rPr>
          <w:b w:val="0"/>
          <w:i w:val="0"/>
        </w:rPr>
        <w:t>(iv) breach of the Corporations Act 2001 (Cth), including AFSL obligations, the managed investments regime (Chapter 5C), design and distribution obligations (Part 7.8A), and the financial services conduct provisions</w:t>
      </w:r>
    </w:p>
    <w:p>
      <w:r>
        <w:rPr>
          <w:b w:val="0"/>
          <w:i w:val="0"/>
        </w:rPr>
        <w:t>(v) breach of the ASIC Act 2001 (Cth), including misleading or deceptive conduct (s 12DA) and unconscionable conduct (s 12CA–12CC)</w:t>
      </w:r>
    </w:p>
    <w:p>
      <w:r>
        <w:rPr>
          <w:b w:val="0"/>
          <w:i w:val="0"/>
        </w:rPr>
        <w:t>(vi) breach of the Australian Consumer Law in connection with financial services</w:t>
      </w:r>
    </w:p>
    <w:p>
      <w:r>
        <w:rPr>
          <w:b w:val="0"/>
          <w:i w:val="0"/>
        </w:rPr>
        <w:t>(vii) breach of the Superannuation Industry (Supervision) Act 1993 (Cth), including the best financial interests duty, the sole purpose test, and prudential standards (where you are a superannuation trustee)</w:t>
      </w:r>
    </w:p>
    <w:p>
      <w:r>
        <w:rPr>
          <w:b w:val="0"/>
          <w:i w:val="0"/>
        </w:rPr>
        <w:t>(viii) breach of the Financial Accountability Regime Act 2023 (Cth) (FAR), including accountability obligations of accountable persons</w:t>
      </w:r>
    </w:p>
    <w:p>
      <w:r>
        <w:rPr>
          <w:b w:val="0"/>
          <w:i w:val="0"/>
        </w:rPr>
        <w:t>(ix) failure to comply with anti-money laundering and counter-terrorism financing obligations under the AML/CTF Act 2006 (Cth), to the extent the failure arises from your financial services activities</w:t>
      </w:r>
    </w:p>
    <w:p>
      <w:r>
        <w:rPr>
          <w:b w:val="0"/>
          <w:i w:val="0"/>
        </w:rPr>
        <w:t>(x) breach of confidence, misuse of confidential information, or breach of privacy in connection with your financial services activities</w:t>
      </w:r>
    </w:p>
    <w:p>
      <w:r>
        <w:rPr>
          <w:b w:val="0"/>
          <w:i w:val="0"/>
        </w:rPr>
        <w:t>(xi) defamation arising from your research reports, investor communications, or marketing materials</w:t>
      </w:r>
    </w:p>
    <w:p>
      <w:r>
        <w:rPr>
          <w:b w:val="0"/>
          <w:i w:val="0"/>
        </w:rPr>
        <w:t>(xii) infringement of intellectual property (copyright, trademark) in your publications or marketing</w:t>
      </w:r>
    </w:p>
    <w:p>
      <w:r>
        <w:rPr>
          <w:b w:val="0"/>
          <w:i w:val="0"/>
        </w:rPr>
        <w:t>(xiii) any other civil liability arising from your financial services activities</w:t>
      </w:r>
    </w:p>
    <w:p>
      <w:bookmarkStart w:id="37" w:name="c_imi_cover_defence_of_regulatory_procee"/>
      <w:r>
        <w:rPr>
          <w:rFonts w:ascii="Georgia" w:hAnsi="Georgia" w:eastAsia="Georgia"/>
          <w:b/>
          <w:i w:val="0"/>
          <w:color w:val="2E5C4E"/>
          <w:sz w:val="25"/>
        </w:rPr>
        <w:t>Defence of Regulatory Proceedings</w:t>
      </w:r>
      <w:bookmarkEnd w:id="37"/>
    </w:p>
    <w:p>
      <w:r>
        <w:rPr>
          <w:b w:val="0"/>
          <w:i w:val="0"/>
        </w:rPr>
        <w:t>We will pay the insured's defence costs in responding to any regulatory proceeding, even before a claim has been made.</w:t>
      </w:r>
    </w:p>
    <w:p>
      <w:bookmarkStart w:id="38" w:name="c_imi_cover_afca_complaints"/>
      <w:r>
        <w:rPr>
          <w:rFonts w:ascii="Georgia" w:hAnsi="Georgia" w:eastAsia="Georgia"/>
          <w:b/>
          <w:i w:val="0"/>
          <w:color w:val="2E5C4E"/>
          <w:sz w:val="25"/>
        </w:rPr>
        <w:t>AFCA Complaints</w:t>
      </w:r>
      <w:bookmarkEnd w:id="38"/>
    </w:p>
    <w:p>
      <w:r>
        <w:rPr>
          <w:b w:val="0"/>
          <w:i w:val="0"/>
        </w:rPr>
        <w:t>We will pay the insured's defence costs in responding to complaints lodged with the Australian Financial Complaints Authority (AFCA) in connection with financial services activities. We will also pay any determination, award, or settlement made through the AFCA process.</w:t>
      </w:r>
    </w:p>
    <w:p>
      <w:bookmarkStart w:id="39" w:name="c_imi_cover_notification_of_circumstance"/>
      <w:r>
        <w:rPr>
          <w:rFonts w:ascii="Georgia" w:hAnsi="Georgia" w:eastAsia="Georgia"/>
          <w:b/>
          <w:i w:val="0"/>
          <w:color w:val="2E5C4E"/>
          <w:sz w:val="25"/>
        </w:rPr>
        <w:t>Notification of Circumstances</w:t>
      </w:r>
      <w:bookmarkEnd w:id="39"/>
    </w:p>
    <w:p>
      <w:r>
        <w:rPr>
          <w:b w:val="0"/>
          <w:i w:val="0"/>
        </w:rPr>
        <w:t xml:space="preserve">If during the policy period an insured becomes aware of any fact, matter, or circumstance that might reasonably be expected to give rise to a claim, and you notify us in writing during the policy period, any later claim arising from those circumstances will be treated as first made during this policy period. This clause implements s 40(3) of the Insurance Contracts Act 1984 (Cth) — see </w:t>
      </w:r>
      <w:hyperlink w:anchor="c_imi_obl_notify_circumstances">
        <w:r>
          <w:rPr>
            <w:color w:val="2E5C4E"/>
            <w:u w:val="single"/>
          </w:rPr>
          <w:t xml:space="preserve">the Notify Circumstances — Professional Liability and Directors' and Officers' Liability obligation</w:t>
        </w:r>
      </w:hyperlink>
      <w:r>
        <w:rPr>
          <w:b w:val="0"/>
          <w:i w:val="0"/>
        </w:rPr>
        <w:t xml:space="preserve"> for the corresponding obligation.</w:t>
      </w:r>
    </w:p>
    <w:p>
      <w:bookmarkStart w:id="40" w:name="c_imi_section_pl_extensions"/>
      <w:r>
        <w:rPr>
          <w:rFonts w:ascii="Georgia" w:hAnsi="Georgia" w:eastAsia="Georgia"/>
          <w:b/>
          <w:i w:val="0"/>
          <w:color w:val="1C1915"/>
          <w:sz w:val="32"/>
        </w:rPr>
        <w:t>Extensions — Professional Liability</w:t>
      </w:r>
      <w:bookmarkEnd w:id="40"/>
    </w:p>
    <w:p>
      <w:bookmarkStart w:id="41" w:name="c_imi_ext_loss_of_documents"/>
      <w:r>
        <w:rPr>
          <w:rFonts w:ascii="Georgia" w:hAnsi="Georgia" w:eastAsia="Georgia"/>
          <w:b/>
          <w:i w:val="0"/>
          <w:color w:val="2E5C4E"/>
          <w:sz w:val="25"/>
        </w:rPr>
        <w:t>Loss of Documents</w:t>
      </w:r>
      <w:bookmarkEnd w:id="41"/>
    </w:p>
    <w:p>
      <w:r>
        <w:rPr>
          <w:b w:val="0"/>
          <w:i w:val="0"/>
        </w:rPr>
        <w:t>Reasonable costs to restore or replace tangible or electronic documents necessary for your financial services activities, lost, damaged, or destroyed while in your possession.</w:t>
      </w:r>
    </w:p>
    <w:p>
      <w:bookmarkStart w:id="42" w:name="c_imi_ext_fund_assets_third_party_servic"/>
      <w:r>
        <w:rPr>
          <w:rFonts w:ascii="Georgia" w:hAnsi="Georgia" w:eastAsia="Georgia"/>
          <w:b/>
          <w:i w:val="0"/>
          <w:color w:val="2E5C4E"/>
          <w:sz w:val="25"/>
        </w:rPr>
        <w:t>Fund Assets — Third-Party Service Provider Failure</w:t>
      </w:r>
      <w:bookmarkEnd w:id="42"/>
    </w:p>
    <w:p>
      <w:r>
        <w:rPr>
          <w:b w:val="0"/>
          <w:i w:val="0"/>
        </w:rPr>
        <w:t>If a third-party service provider (such as a custodian, administrator, or prime broker) fails to perform its obligations under its contract with you or a fund, and a claim is made against you as a result, we will cover you as if you had performed the activity yourself — provided you exercised reasonable care in selecting, appointing, and monitoring the third-party service provider.</w:t>
      </w:r>
    </w:p>
    <w:p>
      <w:r>
        <w:rPr>
          <w:b w:val="0"/>
          <w:i w:val="0"/>
        </w:rPr>
        <w:t xml:space="preserve">This extension does not cover the insolvency of a </w:t>
      </w:r>
      <w:r>
        <w:rPr>
          <w:b/>
          <w:i w:val="0"/>
        </w:rPr>
        <w:t>third-party service provider</w:t>
      </w:r>
      <w:r>
        <w:rPr>
          <w:b w:val="0"/>
          <w:i w:val="0"/>
        </w:rPr>
        <w:t xml:space="preserve"> or the loss of </w:t>
      </w:r>
      <w:r>
        <w:rPr>
          <w:b/>
          <w:i w:val="0"/>
        </w:rPr>
        <w:t>fund assets</w:t>
      </w:r>
      <w:r>
        <w:rPr>
          <w:b w:val="0"/>
          <w:i w:val="0"/>
        </w:rPr>
        <w:t xml:space="preserve"> held by a custodian — unless the loss results from the custodian's fraud or dishonesty (which may be covered under </w:t>
      </w:r>
      <w:hyperlink w:anchor="c_imi_section_crime">
        <w:r>
          <w:rPr>
            <w:color w:val="2E5C4E"/>
            <w:u w:val="single"/>
          </w:rPr>
          <w:t xml:space="preserve">the Crime section</w:t>
        </w:r>
      </w:hyperlink>
      <w:r>
        <w:rPr>
          <w:b w:val="0"/>
          <w:i w:val="0"/>
        </w:rPr>
        <w:t>).</w:t>
      </w:r>
    </w:p>
    <w:p>
      <w:bookmarkStart w:id="43" w:name="c_imi_ext_mitigation_costs"/>
      <w:r>
        <w:rPr>
          <w:rFonts w:ascii="Georgia" w:hAnsi="Georgia" w:eastAsia="Georgia"/>
          <w:b/>
          <w:i w:val="0"/>
          <w:color w:val="2E5C4E"/>
          <w:sz w:val="25"/>
        </w:rPr>
        <w:t>Mitigation Costs</w:t>
      </w:r>
      <w:bookmarkEnd w:id="43"/>
    </w:p>
    <w:p>
      <w:r>
        <w:rPr>
          <w:b w:val="0"/>
          <w:i w:val="0"/>
        </w:rPr>
        <w:t>Reasonable costs incurred with our prior consent to prevent or reduce a loss that would otherwise be covered.</w:t>
      </w:r>
    </w:p>
    <w:p>
      <w:bookmarkStart w:id="44" w:name="c_imi_ext_continuous_cover"/>
      <w:r>
        <w:rPr>
          <w:rFonts w:ascii="Georgia" w:hAnsi="Georgia" w:eastAsia="Georgia"/>
          <w:b/>
          <w:i w:val="0"/>
          <w:color w:val="2E5C4E"/>
          <w:sz w:val="25"/>
        </w:rPr>
        <w:t>Continuous Cover</w:t>
      </w:r>
      <w:bookmarkEnd w:id="44"/>
    </w:p>
    <w:p>
      <w:r>
        <w:rPr>
          <w:b w:val="0"/>
          <w:i w:val="0"/>
        </w:rPr>
        <w:t xml:space="preserve">If a claim arises from a wrongful act that should have been notified under a previous policy and was not known, and continuous cover has been maintained, we will cover the claim under this policy's terms and limits — see </w:t>
      </w:r>
      <w:hyperlink w:anchor="c_imi_cond_continuous_cover">
        <w:r>
          <w:rPr>
            <w:color w:val="2E5C4E"/>
            <w:u w:val="single"/>
          </w:rPr>
          <w:t xml:space="preserve">the Continuous Cover condition</w:t>
        </w:r>
      </w:hyperlink>
      <w:r>
        <w:rPr>
          <w:b w:val="0"/>
          <w:i w:val="0"/>
        </w:rPr>
        <w:t xml:space="preserve"> for how this is capped.</w:t>
      </w:r>
    </w:p>
    <w:p>
      <w:bookmarkStart w:id="45" w:name="c_imi_ext_public_relations"/>
      <w:r>
        <w:rPr>
          <w:rFonts w:ascii="Georgia" w:hAnsi="Georgia" w:eastAsia="Georgia"/>
          <w:b/>
          <w:i w:val="0"/>
          <w:color w:val="2E5C4E"/>
          <w:sz w:val="25"/>
        </w:rPr>
        <w:t>Public Relations</w:t>
      </w:r>
      <w:bookmarkEnd w:id="45"/>
    </w:p>
    <w:p>
      <w:r>
        <w:rPr>
          <w:b w:val="0"/>
          <w:i w:val="0"/>
        </w:rPr>
        <w:t>Reasonable costs of a public relations consultant following a covered claim or regulatory proceeding.</w:t>
      </w:r>
    </w:p>
    <w:p>
      <w:bookmarkStart w:id="46" w:name="c_imi_ext_court_attendance"/>
      <w:r>
        <w:rPr>
          <w:rFonts w:ascii="Georgia" w:hAnsi="Georgia" w:eastAsia="Georgia"/>
          <w:b/>
          <w:i w:val="0"/>
          <w:color w:val="2E5C4E"/>
          <w:sz w:val="25"/>
        </w:rPr>
        <w:t>Court Attendance</w:t>
      </w:r>
      <w:bookmarkEnd w:id="46"/>
    </w:p>
    <w:p>
      <w:r>
        <w:rPr>
          <w:b w:val="0"/>
          <w:i w:val="0"/>
        </w:rPr>
        <w:t>$500 per day for an insured person or employee attending court, a tribunal, or an AFCA hearing as a witness in connection with a covered claim, subject to a maximum of $10,000 in total for any one claim.</w:t>
      </w:r>
    </w:p>
    <w:p>
      <w:bookmarkStart w:id="47" w:name="c_imi_ext_joint_venture_and_sub_advised_"/>
      <w:r>
        <w:rPr>
          <w:rFonts w:ascii="Georgia" w:hAnsi="Georgia" w:eastAsia="Georgia"/>
          <w:b/>
          <w:i w:val="0"/>
          <w:color w:val="2E5C4E"/>
          <w:sz w:val="25"/>
        </w:rPr>
        <w:t>Joint Venture and Sub-Advised Funds</w:t>
      </w:r>
      <w:bookmarkEnd w:id="47"/>
    </w:p>
    <w:p>
      <w:r>
        <w:rPr>
          <w:b w:val="0"/>
          <w:i w:val="0"/>
        </w:rPr>
        <w:t>If you provide investment management or sub-advisory services to a fund managed by another entity under a sub-advisory or joint venture arrangement, we will cover claims arising from your services under that arrangement as if the fund were your own fund. “Joint venture” means an incorporated or unincorporated arrangement between you and another entity to jointly provide investment management or sub-advisory services, and covers claims arising in connection with the scope of that arrangement.</w:t>
      </w:r>
    </w:p>
    <w:p>
      <w:bookmarkStart w:id="48" w:name="c_imi_ext_compliance_costs"/>
      <w:r>
        <w:rPr>
          <w:rFonts w:ascii="Georgia" w:hAnsi="Georgia" w:eastAsia="Georgia"/>
          <w:b/>
          <w:i w:val="0"/>
          <w:color w:val="2E5C4E"/>
          <w:sz w:val="25"/>
        </w:rPr>
        <w:t>Compliance Costs</w:t>
      </w:r>
      <w:bookmarkEnd w:id="48"/>
    </w:p>
    <w:p>
      <w:r>
        <w:rPr>
          <w:b w:val="0"/>
          <w:i w:val="0"/>
        </w:rPr>
        <w:t>We will pay compliance costs incurred by you in responding to a covered ASIC or APRA audit, review, or inquiry.</w:t>
      </w:r>
    </w:p>
    <w:p>
      <w:bookmarkStart w:id="49" w:name="c_imi_section_do"/>
      <w:r>
        <w:rPr>
          <w:rFonts w:ascii="Georgia" w:hAnsi="Georgia" w:eastAsia="Georgia"/>
          <w:b/>
          <w:i w:val="0"/>
          <w:color w:val="1C1915"/>
          <w:sz w:val="32"/>
        </w:rPr>
        <w:t>Directors' and Officers' Liability</w:t>
      </w:r>
      <w:bookmarkEnd w:id="49"/>
    </w:p>
    <w:p>
      <w:bookmarkStart w:id="50" w:name="c_imi_section_do_cover"/>
      <w:r>
        <w:rPr>
          <w:rFonts w:ascii="Georgia" w:hAnsi="Georgia" w:eastAsia="Georgia"/>
          <w:b/>
          <w:i w:val="0"/>
          <w:color w:val="1C1915"/>
          <w:sz w:val="32"/>
        </w:rPr>
        <w:t>What Is Covered — Directors' and Officers' Liability</w:t>
      </w:r>
      <w:bookmarkEnd w:id="50"/>
    </w:p>
    <w:p>
      <w:bookmarkStart w:id="51" w:name="c_imi_cover_personal_liability_non_indem"/>
      <w:r>
        <w:rPr>
          <w:rFonts w:ascii="Georgia" w:hAnsi="Georgia" w:eastAsia="Georgia"/>
          <w:b/>
          <w:i w:val="0"/>
          <w:color w:val="2E5C4E"/>
          <w:sz w:val="25"/>
        </w:rPr>
        <w:t>Personal Liability — Non-Indemnifiable Loss (Side A)</w:t>
      </w:r>
      <w:bookmarkEnd w:id="51"/>
    </w:p>
    <w:p>
      <w:r>
        <w:rPr>
          <w:b w:val="0"/>
          <w:i w:val="0"/>
        </w:rPr>
        <w:t>If a claim is first made against an insured person during the policy period for a wrongful act in their capacity as a director or officer of the company, committed on or after the retroactive date, and the loss is non-indemnifiable (because the company is legally prohibited, financially unable, or refuses to indemnify), we will pay the insured person directly.</w:t>
      </w:r>
    </w:p>
    <w:p>
      <w:r>
        <w:rPr>
          <w:b w:val="0"/>
          <w:i w:val="0"/>
        </w:rPr>
        <w:t>No excess applies to Side A.</w:t>
      </w:r>
    </w:p>
    <w:p>
      <w:bookmarkStart w:id="52" w:name="c_imi_cover_company_reimbursement_side_b"/>
      <w:r>
        <w:rPr>
          <w:rFonts w:ascii="Georgia" w:hAnsi="Georgia" w:eastAsia="Georgia"/>
          <w:b/>
          <w:i w:val="0"/>
          <w:color w:val="2E5C4E"/>
          <w:sz w:val="25"/>
        </w:rPr>
        <w:t>Company Reimbursement (Side B)</w:t>
      </w:r>
      <w:bookmarkEnd w:id="52"/>
    </w:p>
    <w:p>
      <w:r>
        <w:rPr>
          <w:b w:val="0"/>
          <w:i w:val="0"/>
        </w:rPr>
        <w:t>If the company has indemnified an insured person for indemnifiable loss, we will reimburse the company.</w:t>
      </w:r>
    </w:p>
    <w:p>
      <w:r>
        <w:rPr>
          <w:b w:val="0"/>
          <w:i w:val="0"/>
        </w:rPr>
        <w:t xml:space="preserve">The Side B </w:t>
      </w:r>
      <w:r>
        <w:rPr>
          <w:b/>
          <w:i w:val="0"/>
        </w:rPr>
        <w:t>excess</w:t>
      </w:r>
      <w:r>
        <w:rPr>
          <w:b w:val="0"/>
          <w:i w:val="0"/>
        </w:rPr>
        <w:t xml:space="preserve"> shown in the schedule applies.</w:t>
      </w:r>
    </w:p>
    <w:p>
      <w:bookmarkStart w:id="53" w:name="c_imi_section_do_extensions"/>
      <w:r>
        <w:rPr>
          <w:rFonts w:ascii="Georgia" w:hAnsi="Georgia" w:eastAsia="Georgia"/>
          <w:b/>
          <w:i w:val="0"/>
          <w:color w:val="1C1915"/>
          <w:sz w:val="32"/>
        </w:rPr>
        <w:t>Extensions — Directors' and Officers' Liability</w:t>
      </w:r>
      <w:bookmarkEnd w:id="53"/>
    </w:p>
    <w:p>
      <w:bookmarkStart w:id="54" w:name="c_imi_ext_retired_directors_and_officers"/>
      <w:r>
        <w:rPr>
          <w:rFonts w:ascii="Georgia" w:hAnsi="Georgia" w:eastAsia="Georgia"/>
          <w:b/>
          <w:i w:val="0"/>
          <w:color w:val="2E5C4E"/>
          <w:sz w:val="25"/>
        </w:rPr>
        <w:t>Retired Directors and Officers</w:t>
      </w:r>
      <w:bookmarkEnd w:id="54"/>
    </w:p>
    <w:p>
      <w:r>
        <w:rPr>
          <w:b w:val="0"/>
          <w:i w:val="0"/>
        </w:rPr>
        <w:t>Cover continues for claims against retired insured persons for 72 months after the end of the policy period, at no additional premium.</w:t>
      </w:r>
    </w:p>
    <w:p>
      <w:bookmarkStart w:id="55" w:name="c_imi_ext_spouse_estate_and_legal_repres"/>
      <w:r>
        <w:rPr>
          <w:rFonts w:ascii="Georgia" w:hAnsi="Georgia" w:eastAsia="Georgia"/>
          <w:b/>
          <w:i w:val="0"/>
          <w:color w:val="2E5C4E"/>
          <w:sz w:val="25"/>
        </w:rPr>
        <w:t>Spouse, Estate, and Legal Representative</w:t>
      </w:r>
      <w:bookmarkEnd w:id="55"/>
    </w:p>
    <w:p>
      <w:r>
        <w:rPr>
          <w:b w:val="0"/>
          <w:i w:val="0"/>
        </w:rPr>
        <w:t>Covered for claims arising from the insured person's wrongful acts, including jointly held assets at risk.</w:t>
      </w:r>
    </w:p>
    <w:p>
      <w:bookmarkStart w:id="56" w:name="c_imi_ext_asic_and_apra_investigation_co"/>
      <w:r>
        <w:rPr>
          <w:rFonts w:ascii="Georgia" w:hAnsi="Georgia" w:eastAsia="Georgia"/>
          <w:b/>
          <w:i w:val="0"/>
          <w:color w:val="2E5C4E"/>
          <w:sz w:val="25"/>
        </w:rPr>
        <w:t>ASIC and APRA Investigation Costs</w:t>
      </w:r>
      <w:bookmarkEnd w:id="56"/>
    </w:p>
    <w:p>
      <w:r>
        <w:rPr>
          <w:b w:val="0"/>
          <w:i w:val="0"/>
        </w:rPr>
        <w:t>Defence costs for formal ASIC and APRA investigations into the conduct of an insured person, even before a claim is made.</w:t>
      </w:r>
    </w:p>
    <w:p>
      <w:bookmarkStart w:id="57" w:name="c_imi_ext_far_proceeding_costs"/>
      <w:r>
        <w:rPr>
          <w:rFonts w:ascii="Georgia" w:hAnsi="Georgia" w:eastAsia="Georgia"/>
          <w:b/>
          <w:i w:val="0"/>
          <w:color w:val="2E5C4E"/>
          <w:sz w:val="25"/>
        </w:rPr>
        <w:t>FAR Proceeding Costs</w:t>
      </w:r>
      <w:bookmarkEnd w:id="57"/>
    </w:p>
    <w:p>
      <w:r>
        <w:rPr>
          <w:b w:val="0"/>
          <w:i w:val="0"/>
        </w:rPr>
        <w:t>Defence costs for proceedings under the Financial Accountability Regime Act 2023 (Cth) against an insured person as an accountable person.</w:t>
      </w:r>
    </w:p>
    <w:p>
      <w:r>
        <w:rPr>
          <w:b w:val="0"/>
          <w:i w:val="0"/>
        </w:rPr>
        <w:t>If the proceeding results in the forfeiture or clawback of the insured person's deferred remuneration, we will pay the forfeited amount — provided no final adjudication of dishonesty.</w:t>
      </w:r>
    </w:p>
    <w:p>
      <w:bookmarkStart w:id="58" w:name="c_imi_ext_preservation_of_assets_and_liv"/>
      <w:r>
        <w:rPr>
          <w:rFonts w:ascii="Georgia" w:hAnsi="Georgia" w:eastAsia="Georgia"/>
          <w:b/>
          <w:i w:val="0"/>
          <w:color w:val="2E5C4E"/>
          <w:sz w:val="25"/>
        </w:rPr>
        <w:t>Preservation of Assets and Living Expenses</w:t>
      </w:r>
      <w:bookmarkEnd w:id="58"/>
    </w:p>
    <w:p>
      <w:r>
        <w:rPr>
          <w:b w:val="0"/>
          <w:i w:val="0"/>
        </w:rPr>
        <w:t>Legal costs to vary or discharge a freezing order; reasonable living expenses during asset restraint.</w:t>
      </w:r>
    </w:p>
    <w:p>
      <w:bookmarkStart w:id="59" w:name="c_imi_ext_bail_and_civil_bond"/>
      <w:r>
        <w:rPr>
          <w:rFonts w:ascii="Georgia" w:hAnsi="Georgia" w:eastAsia="Georgia"/>
          <w:b/>
          <w:i w:val="0"/>
          <w:color w:val="2E5C4E"/>
          <w:sz w:val="25"/>
        </w:rPr>
        <w:t>Bail and Civil Bond</w:t>
      </w:r>
      <w:bookmarkEnd w:id="59"/>
    </w:p>
    <w:p>
      <w:r>
        <w:rPr>
          <w:b w:val="0"/>
          <w:i w:val="0"/>
        </w:rPr>
        <w:t>Reasonable costs of a bail bond or civil bond required to secure an insured person's release or to avoid a freezing order, in connection with a covered claim.</w:t>
      </w:r>
    </w:p>
    <w:p>
      <w:bookmarkStart w:id="60" w:name="c_imi_ext_extradition_defence"/>
      <w:r>
        <w:rPr>
          <w:rFonts w:ascii="Georgia" w:hAnsi="Georgia" w:eastAsia="Georgia"/>
          <w:b/>
          <w:i w:val="0"/>
          <w:color w:val="2E5C4E"/>
          <w:sz w:val="25"/>
        </w:rPr>
        <w:t>Extradition Defence</w:t>
      </w:r>
      <w:bookmarkEnd w:id="60"/>
    </w:p>
    <w:p>
      <w:r>
        <w:rPr>
          <w:b w:val="0"/>
          <w:i w:val="0"/>
        </w:rPr>
        <w:t>Defence costs in responding to an extradition proceeding against an insured person, in connection with a wrongful act.</w:t>
      </w:r>
    </w:p>
    <w:p>
      <w:bookmarkStart w:id="61" w:name="c_imi_ext_loss_of_earnings"/>
      <w:r>
        <w:rPr>
          <w:rFonts w:ascii="Georgia" w:hAnsi="Georgia" w:eastAsia="Georgia"/>
          <w:b/>
          <w:i w:val="0"/>
          <w:color w:val="2E5C4E"/>
          <w:sz w:val="25"/>
        </w:rPr>
        <w:t>Loss of Earnings</w:t>
      </w:r>
      <w:bookmarkEnd w:id="61"/>
    </w:p>
    <w:p>
      <w:r>
        <w:rPr>
          <w:b w:val="0"/>
          <w:i w:val="0"/>
        </w:rPr>
        <w:t>$1,000 per day for an insured person attending court, a tribunal, an AFCA hearing, or a regulatory proceeding at our request, in connection with a covered claim, subject to a maximum of $20,000 in total for any one claim.</w:t>
      </w:r>
    </w:p>
    <w:p>
      <w:bookmarkStart w:id="62" w:name="c_imi_section_crime"/>
      <w:r>
        <w:rPr>
          <w:rFonts w:ascii="Georgia" w:hAnsi="Georgia" w:eastAsia="Georgia"/>
          <w:b/>
          <w:i w:val="0"/>
          <w:color w:val="1C1915"/>
          <w:sz w:val="32"/>
        </w:rPr>
        <w:t>Crime</w:t>
      </w:r>
      <w:bookmarkEnd w:id="62"/>
    </w:p>
    <w:p>
      <w:bookmarkStart w:id="63" w:name="c_imi_section_crime_cover"/>
      <w:r>
        <w:rPr>
          <w:rFonts w:ascii="Georgia" w:hAnsi="Georgia" w:eastAsia="Georgia"/>
          <w:b/>
          <w:i w:val="0"/>
          <w:color w:val="1C1915"/>
          <w:sz w:val="32"/>
        </w:rPr>
        <w:t>What Is Covered — Crime</w:t>
      </w:r>
      <w:bookmarkEnd w:id="63"/>
    </w:p>
    <w:p>
      <w:bookmarkStart w:id="64" w:name="c_imi_cover_employee_dishonesty"/>
      <w:r>
        <w:rPr>
          <w:rFonts w:ascii="Georgia" w:hAnsi="Georgia" w:eastAsia="Georgia"/>
          <w:b/>
          <w:i w:val="0"/>
          <w:color w:val="2E5C4E"/>
          <w:sz w:val="25"/>
        </w:rPr>
        <w:t>Employee Dishonesty</w:t>
      </w:r>
      <w:bookmarkEnd w:id="64"/>
    </w:p>
    <w:p>
      <w:r>
        <w:rPr>
          <w:b w:val="0"/>
          <w:i w:val="0"/>
        </w:rPr>
        <w:t>You or a fund's direct financial loss caused by a dishonest act committed by an employee, first discovered during the policy period.</w:t>
      </w:r>
    </w:p>
    <w:p>
      <w:r>
        <w:rPr>
          <w:b w:val="0"/>
          <w:i w:val="0"/>
        </w:rPr>
        <w:t>This covers:</w:t>
      </w:r>
    </w:p>
    <w:p>
      <w:r>
        <w:rPr>
          <w:b w:val="0"/>
          <w:i w:val="0"/>
        </w:rPr>
        <w:t>(a) theft of money, securities, digital assets, cryptocurrency, or other fund assets;</w:t>
      </w:r>
    </w:p>
    <w:p>
      <w:r>
        <w:rPr>
          <w:b w:val="0"/>
          <w:i w:val="0"/>
        </w:rPr>
        <w:t>(b) fraudulent transfers from your accounts or fund accounts;</w:t>
      </w:r>
    </w:p>
    <w:p>
      <w:r>
        <w:rPr>
          <w:b w:val="0"/>
          <w:i w:val="0"/>
        </w:rPr>
        <w:t>(c) fraudulent alteration of records, valuations, or unit prices;</w:t>
      </w:r>
    </w:p>
    <w:p>
      <w:r>
        <w:rPr>
          <w:b w:val="0"/>
          <w:i w:val="0"/>
        </w:rPr>
        <w:t>(d) deliberate misallocation of trades or investments; and</w:t>
      </w:r>
    </w:p>
    <w:p>
      <w:r>
        <w:rPr>
          <w:b w:val="0"/>
          <w:i w:val="0"/>
        </w:rPr>
        <w:t>(e) embezzlement and misappropriation.</w:t>
      </w:r>
    </w:p>
    <w:p>
      <w:bookmarkStart w:id="65" w:name="c_imi_cover_third_party_service_provider"/>
      <w:r>
        <w:rPr>
          <w:rFonts w:ascii="Georgia" w:hAnsi="Georgia" w:eastAsia="Georgia"/>
          <w:b/>
          <w:i w:val="0"/>
          <w:color w:val="2E5C4E"/>
          <w:sz w:val="25"/>
        </w:rPr>
        <w:t>Third-Party Service Provider Dishonesty</w:t>
      </w:r>
      <w:bookmarkEnd w:id="65"/>
    </w:p>
    <w:p>
      <w:r>
        <w:rPr>
          <w:b w:val="0"/>
          <w:i w:val="0"/>
        </w:rPr>
        <w:t>You or a fund's direct financial loss caused by a dishonest act committed by an employee of a third-party service provider while performing services for you or the fund — provided the act was directed at you or the fund.</w:t>
      </w:r>
    </w:p>
    <w:p>
      <w:bookmarkStart w:id="66" w:name="c_imi_cover_forgery_and_alteration"/>
      <w:r>
        <w:rPr>
          <w:rFonts w:ascii="Georgia" w:hAnsi="Georgia" w:eastAsia="Georgia"/>
          <w:b/>
          <w:i w:val="0"/>
          <w:color w:val="2E5C4E"/>
          <w:sz w:val="25"/>
        </w:rPr>
        <w:t>Forgery and Alteration</w:t>
      </w:r>
      <w:bookmarkEnd w:id="66"/>
    </w:p>
    <w:p>
      <w:r>
        <w:rPr>
          <w:b w:val="0"/>
          <w:i w:val="0"/>
        </w:rPr>
        <w:t>Your loss from forgery of, or fraudulent alteration to, any financial instrument, instruction, or authorisation, resulting in a payment from your accounts or fund accounts.</w:t>
      </w:r>
    </w:p>
    <w:p>
      <w:bookmarkStart w:id="67" w:name="c_imi_cover_computer_crime"/>
      <w:r>
        <w:rPr>
          <w:rFonts w:ascii="Georgia" w:hAnsi="Georgia" w:eastAsia="Georgia"/>
          <w:b/>
          <w:i w:val="0"/>
          <w:color w:val="2E5C4E"/>
          <w:sz w:val="25"/>
        </w:rPr>
        <w:t>Computer Crime</w:t>
      </w:r>
      <w:bookmarkEnd w:id="67"/>
    </w:p>
    <w:p>
      <w:r>
        <w:rPr>
          <w:b w:val="0"/>
          <w:i w:val="0"/>
        </w:rPr>
        <w:t>Your loss from fraudulent entry, modification, or deletion of data in your computer system by a third party, resulting in the unauthorised transfer of money or fund assets.</w:t>
      </w:r>
    </w:p>
    <w:p>
      <w:bookmarkStart w:id="68" w:name="c_imi_cover_funds_transfer_fraud"/>
      <w:r>
        <w:rPr>
          <w:rFonts w:ascii="Georgia" w:hAnsi="Georgia" w:eastAsia="Georgia"/>
          <w:b/>
          <w:i w:val="0"/>
          <w:color w:val="2E5C4E"/>
          <w:sz w:val="25"/>
        </w:rPr>
        <w:t>Funds Transfer Fraud</w:t>
      </w:r>
      <w:bookmarkEnd w:id="68"/>
    </w:p>
    <w:p>
      <w:r>
        <w:rPr>
          <w:b w:val="0"/>
          <w:i w:val="0"/>
        </w:rPr>
        <w:t>Your loss from a fraudulent funds transfer instruction issued by a third party who has gained unauthorised access to your banking or communication systems.</w:t>
      </w:r>
    </w:p>
    <w:p>
      <w:bookmarkStart w:id="69" w:name="c_imi_cover_social_engineering_fraud"/>
      <w:r>
        <w:rPr>
          <w:rFonts w:ascii="Georgia" w:hAnsi="Georgia" w:eastAsia="Georgia"/>
          <w:b/>
          <w:i w:val="0"/>
          <w:color w:val="2E5C4E"/>
          <w:sz w:val="25"/>
        </w:rPr>
        <w:t>Social Engineering Fraud</w:t>
      </w:r>
      <w:bookmarkEnd w:id="69"/>
    </w:p>
    <w:p>
      <w:r>
        <w:rPr>
          <w:b w:val="0"/>
          <w:i w:val="0"/>
        </w:rPr>
        <w:t>Your loss from a funds transfer or delivery of money made in good faith as a result of a fraudulent communication impersonating a genuine person or entity. Whether reasonable verification steps were followed is a factor we take into account in assessing the claim; it is not a condition precedent to cover under this clause.</w:t>
      </w:r>
    </w:p>
    <w:p>
      <w:bookmarkStart w:id="70" w:name="c_imi_section_crime_extensions"/>
      <w:r>
        <w:rPr>
          <w:rFonts w:ascii="Georgia" w:hAnsi="Georgia" w:eastAsia="Georgia"/>
          <w:b/>
          <w:i w:val="0"/>
          <w:color w:val="1C1915"/>
          <w:sz w:val="32"/>
        </w:rPr>
        <w:t>Extensions — Crime</w:t>
      </w:r>
      <w:bookmarkEnd w:id="70"/>
    </w:p>
    <w:p>
      <w:bookmarkStart w:id="71" w:name="c_imi_ext_forensic_investigation_costs"/>
      <w:r>
        <w:rPr>
          <w:rFonts w:ascii="Georgia" w:hAnsi="Georgia" w:eastAsia="Georgia"/>
          <w:b/>
          <w:i w:val="0"/>
          <w:color w:val="2E5C4E"/>
          <w:sz w:val="25"/>
        </w:rPr>
        <w:t>Forensic Investigation Costs</w:t>
      </w:r>
      <w:bookmarkEnd w:id="71"/>
    </w:p>
    <w:p>
      <w:r>
        <w:rPr>
          <w:b w:val="0"/>
          <w:i w:val="0"/>
        </w:rPr>
        <w:t>Reasonable costs of forensic accountants or fraud investigators.</w:t>
      </w:r>
    </w:p>
    <w:p>
      <w:bookmarkStart w:id="72" w:name="c_imi_ext_reconstitution_of_records"/>
      <w:r>
        <w:rPr>
          <w:rFonts w:ascii="Georgia" w:hAnsi="Georgia" w:eastAsia="Georgia"/>
          <w:b/>
          <w:i w:val="0"/>
          <w:color w:val="2E5C4E"/>
          <w:sz w:val="25"/>
        </w:rPr>
        <w:t>Reconstitution of Records</w:t>
      </w:r>
      <w:bookmarkEnd w:id="72"/>
    </w:p>
    <w:p>
      <w:r>
        <w:rPr>
          <w:b w:val="0"/>
          <w:i w:val="0"/>
        </w:rPr>
        <w:t>Costs of reconstituting financial records destroyed to conceal a dishonest act.</w:t>
      </w:r>
    </w:p>
    <w:p>
      <w:bookmarkStart w:id="73" w:name="c_imi_ext_client_investor_notification_c"/>
      <w:r>
        <w:rPr>
          <w:rFonts w:ascii="Georgia" w:hAnsi="Georgia" w:eastAsia="Georgia"/>
          <w:b/>
          <w:i w:val="0"/>
          <w:color w:val="2E5C4E"/>
          <w:sz w:val="25"/>
        </w:rPr>
        <w:t>Client / Investor Notification Costs</w:t>
      </w:r>
      <w:bookmarkEnd w:id="73"/>
    </w:p>
    <w:p>
      <w:r>
        <w:rPr>
          <w:b w:val="0"/>
          <w:i w:val="0"/>
        </w:rPr>
        <w:t>If an employee's dishonest act affects fund investors or your clients, we will pay reasonable costs of notifying affected persons.</w:t>
      </w:r>
    </w:p>
    <w:p>
      <w:bookmarkStart w:id="74" w:name="c_imi_ext_payment_to_funds"/>
      <w:r>
        <w:rPr>
          <w:rFonts w:ascii="Georgia" w:hAnsi="Georgia" w:eastAsia="Georgia"/>
          <w:b/>
          <w:i w:val="0"/>
          <w:color w:val="2E5C4E"/>
          <w:sz w:val="25"/>
        </w:rPr>
        <w:t>Payment to Funds</w:t>
      </w:r>
      <w:bookmarkEnd w:id="74"/>
    </w:p>
    <w:p>
      <w:r>
        <w:rPr>
          <w:b w:val="0"/>
          <w:i w:val="0"/>
        </w:rPr>
        <w:t xml:space="preserve">Where this Section covers a fund's direct financial loss, we will pay you, for the benefit of the affected fund, unless we agree otherwise in writing with you and the fund. </w:t>
      </w:r>
      <w:hyperlink w:anchor="c_imi_def_insured">
        <w:r>
          <w:rPr>
            <w:color w:val="2E5C4E"/>
            <w:u w:val="single"/>
          </w:rPr>
          <w:t xml:space="preserve">The definition of Insured</w:t>
        </w:r>
      </w:hyperlink>
      <w:r>
        <w:rPr>
          <w:b w:val="0"/>
          <w:i w:val="0"/>
        </w:rPr>
        <w:t xml:space="preserve"> and </w:t>
      </w:r>
      <w:hyperlink w:anchor="c_imi_pay_other_insurance">
        <w:r>
          <w:rPr>
            <w:color w:val="2E5C4E"/>
            <w:u w:val="single"/>
          </w:rPr>
          <w:t xml:space="preserve">the Other Insurance provision</w:t>
        </w:r>
      </w:hyperlink>
      <w:r>
        <w:rPr>
          <w:b w:val="0"/>
          <w:i w:val="0"/>
        </w:rPr>
        <w:t xml:space="preserve"> (Other Insurance) state how this Section applies where the fund has separate insurance of its own.</w:t>
      </w:r>
    </w:p>
    <w:p>
      <w:bookmarkStart w:id="75" w:name="c_imi_ext_single_loss"/>
      <w:r>
        <w:rPr>
          <w:rFonts w:ascii="Georgia" w:hAnsi="Georgia" w:eastAsia="Georgia"/>
          <w:b/>
          <w:i w:val="0"/>
          <w:color w:val="2E5C4E"/>
          <w:sz w:val="25"/>
        </w:rPr>
        <w:t>Single Loss</w:t>
      </w:r>
      <w:bookmarkEnd w:id="75"/>
    </w:p>
    <w:p>
      <w:r>
        <w:rPr>
          <w:b w:val="0"/>
          <w:i w:val="0"/>
        </w:rPr>
        <w:t>All direct financial loss under this Section caused by, or involving, one dishonest act, or a series of dishonest acts that are the same, similar, or related, or that involve one or more employees acting alone or in collusion pursuant to a single scheme or course of conduct, is treated as one loss, first discovered when the earliest constituent act was discovered. A single loss that spans more than one policy period is treated as discovered in, and is subject to the limit, excess, and terms of, the policy period in which it was first discovered.</w:t>
      </w:r>
    </w:p>
    <w:p>
      <w:bookmarkStart w:id="76" w:name="c_imi_ext_digital_assets_and_cryptocurre"/>
      <w:r>
        <w:rPr>
          <w:rFonts w:ascii="Georgia" w:hAnsi="Georgia" w:eastAsia="Georgia"/>
          <w:b/>
          <w:i w:val="0"/>
          <w:color w:val="2E5C4E"/>
          <w:sz w:val="25"/>
        </w:rPr>
        <w:t>Digital Assets and Cryptocurrency</w:t>
      </w:r>
      <w:bookmarkEnd w:id="76"/>
    </w:p>
    <w:p>
      <w:hyperlink w:anchor="c_imi_def_fund_assets">
        <w:r>
          <w:rPr>
            <w:color w:val="2E5C4E"/>
            <w:u w:val="single"/>
          </w:rPr>
          <w:t xml:space="preserve">The definition of Fund assets</w:t>
        </w:r>
      </w:hyperlink>
      <w:r>
        <w:rPr>
          <w:b w:val="0"/>
          <w:i w:val="0"/>
        </w:rPr>
        <w:t xml:space="preserve"> includes digital assets and cryptocurrency. Loss of digital assets or cryptocurrency is covered under this Section on the same basis as other fund assets. Endorsement E13 (Cryptocurrency / Digital Asset Fund Management) provides enhanced terms — including custody, wallet-security, and valuation provisions — for funds with material digital-asset exposure; it does not remove or narrow the base-form cover in this clause.</w:t>
      </w:r>
    </w:p>
    <w:p>
      <w:bookmarkStart w:id="77" w:name="c_imi_section_exclusions"/>
      <w:r>
        <w:rPr>
          <w:rFonts w:ascii="Georgia" w:hAnsi="Georgia" w:eastAsia="Georgia"/>
          <w:b/>
          <w:i w:val="0"/>
          <w:color w:val="1C1915"/>
          <w:sz w:val="32"/>
        </w:rPr>
        <w:t>What Is Not Covered — All Sections</w:t>
      </w:r>
      <w:bookmarkEnd w:id="77"/>
    </w:p>
    <w:p>
      <w:bookmarkStart w:id="78" w:name="c_imi_excl_dishonesty_and_fraud"/>
      <w:r>
        <w:rPr>
          <w:rFonts w:ascii="Georgia" w:hAnsi="Georgia" w:eastAsia="Georgia"/>
          <w:b/>
          <w:i w:val="0"/>
          <w:color w:val="2E5C4E"/>
          <w:sz w:val="25"/>
        </w:rPr>
        <w:t>Dishonesty and Fraud — Professional Liability and Directors' and Officers' Liability</w:t>
      </w:r>
      <w:bookmarkEnd w:id="78"/>
    </w:p>
    <w:p>
      <w:r>
        <w:rPr>
          <w:b w:val="0"/>
          <w:i w:val="0"/>
        </w:rPr>
        <w:t xml:space="preserve">Claims arising from deliberately dishonest, fraudulent, or criminal conduct — but only after final adjudication (a judgment or finding after exhaustion of all appeal rights, or a formal admission by the insured person concerned). Defence costs advanced until then, repayable if there is final adjudication. Severability applies (see </w:t>
      </w:r>
      <w:hyperlink w:anchor="c_imi_cond_severability_and_non_imputati">
        <w:r>
          <w:rPr>
            <w:color w:val="2E5C4E"/>
            <w:u w:val="single"/>
          </w:rPr>
          <w:t xml:space="preserve">the Severability and Non-Imputation condition</w:t>
        </w:r>
      </w:hyperlink>
      <w:r>
        <w:rPr>
          <w:b w:val="0"/>
          <w:i w:val="0"/>
        </w:rPr>
        <w:t>).</w:t>
      </w:r>
    </w:p>
    <w:p>
      <w:bookmarkStart w:id="79" w:name="c_imi_excl_personal_profit"/>
      <w:r>
        <w:rPr>
          <w:rFonts w:ascii="Georgia" w:hAnsi="Georgia" w:eastAsia="Georgia"/>
          <w:b/>
          <w:i w:val="0"/>
          <w:color w:val="2E5C4E"/>
          <w:sz w:val="25"/>
        </w:rPr>
        <w:t>Personal Profit</w:t>
      </w:r>
      <w:bookmarkEnd w:id="79"/>
    </w:p>
    <w:p>
      <w:r>
        <w:rPr>
          <w:b w:val="0"/>
          <w:i w:val="0"/>
        </w:rPr>
        <w:t>Personal profit to which the insured person was not entitled — after final adjudication.</w:t>
      </w:r>
    </w:p>
    <w:p>
      <w:bookmarkStart w:id="80" w:name="c_imi_excl_insured_versus_insured"/>
      <w:r>
        <w:rPr>
          <w:rFonts w:ascii="Georgia" w:hAnsi="Georgia" w:eastAsia="Georgia"/>
          <w:b/>
          <w:i w:val="0"/>
          <w:color w:val="2E5C4E"/>
          <w:sz w:val="25"/>
        </w:rPr>
        <w:t>Insured Versus Insured</w:t>
      </w:r>
      <w:bookmarkEnd w:id="80"/>
    </w:p>
    <w:p>
      <w:r>
        <w:rPr>
          <w:b w:val="0"/>
          <w:i w:val="0"/>
        </w:rPr>
        <w:t>Claims by one insured against another — except: claims by a liquidator/administrator/receiver; derivative actions by unitholders or shareholders; whistleblower claims (within the meaning of Part 9.4AAA of the Corporations Act 2001 (Cth)); third-party-funded claims; employment claims; and cross-claims.</w:t>
      </w:r>
    </w:p>
    <w:p>
      <w:bookmarkStart w:id="81" w:name="c_imi_excl_prior_known_matters"/>
      <w:r>
        <w:rPr>
          <w:rFonts w:ascii="Georgia" w:hAnsi="Georgia" w:eastAsia="Georgia"/>
          <w:b/>
          <w:i w:val="0"/>
          <w:color w:val="2E5C4E"/>
          <w:sz w:val="25"/>
        </w:rPr>
        <w:t>Prior Known Matters</w:t>
      </w:r>
      <w:bookmarkEnd w:id="81"/>
    </w:p>
    <w:p>
      <w:r>
        <w:rPr>
          <w:b w:val="0"/>
          <w:i w:val="0"/>
        </w:rPr>
        <w:t xml:space="preserve">Claims arising from matters known before the retroactive date that the insured knew might lead to a claim. Knowledge assessed individually (see </w:t>
      </w:r>
      <w:hyperlink w:anchor="c_imi_cond_severability_and_non_imputati">
        <w:r>
          <w:rPr>
            <w:color w:val="2E5C4E"/>
            <w:u w:val="single"/>
          </w:rPr>
          <w:t xml:space="preserve">the Severability and Non-Imputation condition</w:t>
        </w:r>
      </w:hyperlink>
      <w:r>
        <w:rPr>
          <w:b w:val="0"/>
          <w:i w:val="0"/>
        </w:rPr>
        <w:t>).</w:t>
      </w:r>
    </w:p>
    <w:p>
      <w:bookmarkStart w:id="82" w:name="c_imi_excl_prior_and_pending_litigation"/>
      <w:r>
        <w:rPr>
          <w:rFonts w:ascii="Georgia" w:hAnsi="Georgia" w:eastAsia="Georgia"/>
          <w:b/>
          <w:i w:val="0"/>
          <w:color w:val="2E5C4E"/>
          <w:sz w:val="25"/>
        </w:rPr>
        <w:t>Prior and Pending Litigation</w:t>
      </w:r>
      <w:bookmarkEnd w:id="82"/>
    </w:p>
    <w:p>
      <w:r>
        <w:rPr>
          <w:b w:val="0"/>
          <w:i w:val="0"/>
        </w:rPr>
        <w:t>Claims arising from proceedings pending before the retroactive date, or from substantially the same facts.</w:t>
      </w:r>
    </w:p>
    <w:p>
      <w:bookmarkStart w:id="83" w:name="c_imi_excl_bodily_injury_and_property_da"/>
      <w:r>
        <w:rPr>
          <w:rFonts w:ascii="Georgia" w:hAnsi="Georgia" w:eastAsia="Georgia"/>
          <w:b/>
          <w:i w:val="0"/>
          <w:color w:val="2E5C4E"/>
          <w:sz w:val="25"/>
        </w:rPr>
        <w:t>Bodily Injury and Property Damage</w:t>
      </w:r>
      <w:bookmarkEnd w:id="83"/>
    </w:p>
    <w:p>
      <w:r>
        <w:rPr>
          <w:b w:val="0"/>
          <w:i w:val="0"/>
        </w:rPr>
        <w:t>Death, bodily injury, or physical damage — except mental injury in employment or regulatory claims, and defence costs in WHS proceedings. WHS fines and penalties are not insured to the extent insuring them is prohibited by law in the relevant State or Territory.</w:t>
      </w:r>
    </w:p>
    <w:p>
      <w:bookmarkStart w:id="84" w:name="c_imi_excl_fund_performance"/>
      <w:r>
        <w:rPr>
          <w:rFonts w:ascii="Georgia" w:hAnsi="Georgia" w:eastAsia="Georgia"/>
          <w:b/>
          <w:i w:val="0"/>
          <w:color w:val="2E5C4E"/>
          <w:sz w:val="25"/>
        </w:rPr>
        <w:t>Fund Performance</w:t>
      </w:r>
      <w:bookmarkEnd w:id="84"/>
    </w:p>
    <w:p>
      <w:r>
        <w:rPr>
          <w:b w:val="0"/>
          <w:i w:val="0"/>
        </w:rPr>
        <w:t>Any claim alleging that the performance or return of a fund or investment was inadequate, or that an investment decision resulted in a loss — unless the claim also alleges a breach of duty, negligence, misleading conduct, or another wrongful act.</w:t>
      </w:r>
    </w:p>
    <w:p>
      <w:r>
        <w:rPr>
          <w:b w:val="0"/>
          <w:i w:val="0"/>
        </w:rPr>
        <w:t>We do not guarantee investment performance. But if you breached your duty of care in making an investment decision, and an investor claims that breach caused their loss, that is covered.</w:t>
      </w:r>
    </w:p>
    <w:p>
      <w:bookmarkStart w:id="85" w:name="c_imi_excl_trading_losses_crime"/>
      <w:r>
        <w:rPr>
          <w:rFonts w:ascii="Georgia" w:hAnsi="Georgia" w:eastAsia="Georgia"/>
          <w:b/>
          <w:i w:val="0"/>
          <w:color w:val="2E5C4E"/>
          <w:sz w:val="25"/>
        </w:rPr>
        <w:t>Trading Losses — Crime</w:t>
      </w:r>
      <w:bookmarkEnd w:id="85"/>
    </w:p>
    <w:p>
      <w:r>
        <w:rPr>
          <w:b w:val="0"/>
          <w:i w:val="0"/>
        </w:rPr>
        <w:t xml:space="preserve">Direct investment or trading losses — whether authorised or unauthorised — except where the trading was conducted by an employee committing a dishonest act and qualifies under </w:t>
      </w:r>
      <w:hyperlink w:anchor="c_imi_cover_employee_dishonesty">
        <w:r>
          <w:rPr>
            <w:color w:val="2E5C4E"/>
            <w:u w:val="single"/>
          </w:rPr>
          <w:t xml:space="preserve">the Employee Dishonesty clause</w:t>
        </w:r>
      </w:hyperlink>
      <w:r>
        <w:rPr>
          <w:b w:val="0"/>
          <w:i w:val="0"/>
        </w:rPr>
        <w:t>.</w:t>
      </w:r>
    </w:p>
    <w:p>
      <w:bookmarkStart w:id="86" w:name="c_imi_excl_fees_and_commissions"/>
      <w:r>
        <w:rPr>
          <w:rFonts w:ascii="Georgia" w:hAnsi="Georgia" w:eastAsia="Georgia"/>
          <w:b/>
          <w:i w:val="0"/>
          <w:color w:val="2E5C4E"/>
          <w:sz w:val="25"/>
        </w:rPr>
        <w:t>Fees and Commissions</w:t>
      </w:r>
      <w:bookmarkEnd w:id="86"/>
    </w:p>
    <w:p>
      <w:r>
        <w:rPr>
          <w:b w:val="0"/>
          <w:i w:val="0"/>
        </w:rPr>
        <w:t>The return of management fees, performance fees, commissions, or other charges that you were not entitled to receive — except where the obligation to return fees arises directly from a covered claim and the return is ordered by a court, tribunal, or AFCA as part of a compensation award.</w:t>
      </w:r>
    </w:p>
    <w:p>
      <w:bookmarkStart w:id="87" w:name="c_imi_excl_product_design_and_distributi"/>
      <w:r>
        <w:rPr>
          <w:rFonts w:ascii="Georgia" w:hAnsi="Georgia" w:eastAsia="Georgia"/>
          <w:b/>
          <w:i w:val="0"/>
          <w:color w:val="2E5C4E"/>
          <w:sz w:val="25"/>
        </w:rPr>
        <w:t>Product Design and Distribution</w:t>
      </w:r>
      <w:bookmarkEnd w:id="87"/>
    </w:p>
    <w:p>
      <w:r>
        <w:rPr>
          <w:b w:val="0"/>
          <w:i w:val="0"/>
        </w:rPr>
        <w:t>Claims alleging that a financial product was inherently defective in its design, or that the product was distributed outside its target market in breach of the design and distribution obligations — except to the extent the claim alleges a wrongful act by an insured in the design, governance, or distribution process.</w:t>
      </w:r>
    </w:p>
    <w:p>
      <w:r>
        <w:rPr>
          <w:b w:val="0"/>
          <w:i w:val="0"/>
        </w:rPr>
        <w:t xml:space="preserve">ASIC stop orders and product intervention orders are covered as </w:t>
      </w:r>
      <w:r>
        <w:rPr>
          <w:b/>
          <w:i w:val="0"/>
        </w:rPr>
        <w:t>regulatory proceedings</w:t>
      </w:r>
      <w:r>
        <w:rPr>
          <w:b w:val="0"/>
          <w:i w:val="0"/>
        </w:rPr>
        <w:t xml:space="preserve"> under </w:t>
      </w:r>
      <w:hyperlink w:anchor="c_imi_cover_defence_of_regulatory_procee">
        <w:r>
          <w:rPr>
            <w:color w:val="2E5C4E"/>
            <w:u w:val="single"/>
          </w:rPr>
          <w:t xml:space="preserve">the Defence of Regulatory Proceedings clause</w:t>
        </w:r>
      </w:hyperlink>
      <w:r>
        <w:rPr>
          <w:b w:val="0"/>
          <w:i w:val="0"/>
        </w:rPr>
        <w:t>.</w:t>
      </w:r>
    </w:p>
    <w:p>
      <w:bookmarkStart w:id="88" w:name="c_imi_excl_war_terrorism_sanctions_nucle"/>
      <w:r>
        <w:rPr>
          <w:rFonts w:ascii="Georgia" w:hAnsi="Georgia" w:eastAsia="Georgia"/>
          <w:b/>
          <w:i w:val="0"/>
          <w:color w:val="2E5C4E"/>
          <w:sz w:val="25"/>
        </w:rPr>
        <w:t>War, Terrorism, Sanctions, Nuclear</w:t>
      </w:r>
      <w:bookmarkEnd w:id="88"/>
    </w:p>
    <w:p>
      <w:r>
        <w:rPr>
          <w:b w:val="0"/>
          <w:i w:val="0"/>
        </w:rPr>
        <w:t>War, terrorism, and nuclear risks: We do not cover any loss or liability arising directly or indirectly from (a) war (whether or not declared), invasion, hostilities, rebellion, revolution, insurrection, civil unrest, or the use or usurpation of military power, or any similar belligerent act; (b) any act of terrorism, meaning an act, or threat of an act, involving force, violence, or serious harm to people, property, or systems, committed for a political, religious, ideological, or similar purpose and intended to influence a government or to intimidate the public or a section of it; or (c) radioactivity, or radioactive, nuclear, or ionising-radiation material of any kind. This exclusion applies regardless of any other cause or event contributing concurrently or in any sequence to the loss.</w:t>
      </w:r>
    </w:p>
    <w:p>
      <w:r>
        <w:rPr>
          <w:b w:val="0"/>
          <w:i w:val="0"/>
        </w:rPr>
        <w:t>Sanctions: we are not required to provide cover, or to make any payment, to the extent that doing so would expose us to enforcement action under the Autonomous Sanctions Act 2011 (Cth), the Charter of the United Nations Act 1945 (Cth), or the trade or economic sanctions, laws, or regulations of the United States, the United Kingdom, the European Union, or Australia.</w:t>
      </w:r>
    </w:p>
    <w:p>
      <w:bookmarkStart w:id="89" w:name="c_imi_excl_cyber_event"/>
      <w:r>
        <w:rPr>
          <w:rFonts w:ascii="Georgia" w:hAnsi="Georgia" w:eastAsia="Georgia"/>
          <w:b/>
          <w:i w:val="0"/>
          <w:color w:val="2E5C4E"/>
          <w:sz w:val="25"/>
        </w:rPr>
        <w:t>Cyber Event</w:t>
      </w:r>
      <w:bookmarkEnd w:id="89"/>
    </w:p>
    <w:p>
      <w:r>
        <w:rPr>
          <w:b w:val="0"/>
          <w:i w:val="0"/>
        </w:rPr>
        <w:t>First-party cyber losses (data restoration, business interruption, incident response). Third-party cyber liability is excluded except to the extent it arises from a breach of duty in your financial services activities (e.g., failure to protect client data in the course of providing financial services).</w:t>
      </w:r>
    </w:p>
    <w:p>
      <w:bookmarkStart w:id="90" w:name="c_imi_excl_us_canada_jurisdiction"/>
      <w:r>
        <w:rPr>
          <w:rFonts w:ascii="Georgia" w:hAnsi="Georgia" w:eastAsia="Georgia"/>
          <w:b/>
          <w:i w:val="0"/>
          <w:color w:val="2E5C4E"/>
          <w:sz w:val="25"/>
        </w:rPr>
        <w:t>US / Canada Jurisdiction</w:t>
      </w:r>
      <w:bookmarkEnd w:id="90"/>
    </w:p>
    <w:p>
      <w:r>
        <w:rPr>
          <w:b w:val="0"/>
          <w:i w:val="0"/>
        </w:rPr>
        <w:t>Claims brought or maintained in the US or Canada — unless Endorsement E01 is operative.</w:t>
      </w:r>
    </w:p>
    <w:p>
      <w:bookmarkStart w:id="91" w:name="c_imi_excl_employers_liability"/>
      <w:r>
        <w:rPr>
          <w:rFonts w:ascii="Georgia" w:hAnsi="Georgia" w:eastAsia="Georgia"/>
          <w:b/>
          <w:i w:val="0"/>
          <w:color w:val="2E5C4E"/>
          <w:sz w:val="25"/>
        </w:rPr>
        <w:t>Employer's Liability</w:t>
      </w:r>
      <w:bookmarkEnd w:id="91"/>
    </w:p>
    <w:p>
      <w:r>
        <w:rPr>
          <w:b w:val="0"/>
          <w:i w:val="0"/>
        </w:rPr>
        <w:t>Employment-related claims (unfair dismissal, discrimination, harassment). Covered under management liability or EPL (see Endorsement E12).</w:t>
      </w:r>
    </w:p>
    <w:p>
      <w:bookmarkStart w:id="92" w:name="c_imi_section_payment"/>
      <w:r>
        <w:rPr>
          <w:rFonts w:ascii="Georgia" w:hAnsi="Georgia" w:eastAsia="Georgia"/>
          <w:b/>
          <w:i w:val="0"/>
          <w:color w:val="1C1915"/>
          <w:sz w:val="32"/>
        </w:rPr>
        <w:t>How Much We Will Pay</w:t>
      </w:r>
      <w:bookmarkEnd w:id="92"/>
    </w:p>
    <w:p>
      <w:bookmarkStart w:id="93" w:name="c_imi_pay_section_limits_and_overall_agg"/>
      <w:r>
        <w:rPr>
          <w:rFonts w:ascii="Georgia" w:hAnsi="Georgia" w:eastAsia="Georgia"/>
          <w:b/>
          <w:i w:val="0"/>
          <w:color w:val="2E5C4E"/>
          <w:sz w:val="25"/>
        </w:rPr>
        <w:t>Section Limits and Overall Aggregate</w:t>
      </w:r>
      <w:bookmarkEnd w:id="93"/>
    </w:p>
    <w:p>
      <w:r>
        <w:rPr>
          <w:b w:val="0"/>
          <w:i w:val="0"/>
        </w:rPr>
        <w:t>Each section has its own per-claim and aggregate limit. The overall aggregate is the most we will pay across all sections combined.</w:t>
      </w:r>
    </w:p>
    <w:p>
      <w:bookmarkStart w:id="94" w:name="c_imi_pay_priority_of_payment"/>
      <w:r>
        <w:rPr>
          <w:rFonts w:ascii="Georgia" w:hAnsi="Georgia" w:eastAsia="Georgia"/>
          <w:b/>
          <w:i w:val="0"/>
          <w:color w:val="2E5C4E"/>
          <w:sz w:val="25"/>
        </w:rPr>
        <w:t>Priority of Payment</w:t>
      </w:r>
      <w:bookmarkEnd w:id="94"/>
    </w:p>
    <w:p>
      <w:r>
        <w:rPr>
          <w:b w:val="0"/>
          <w:i w:val="0"/>
        </w:rPr>
        <w:t xml:space="preserve">First: </w:t>
      </w:r>
      <w:hyperlink w:anchor="c_imi_section_do">
        <w:r>
          <w:rPr>
            <w:color w:val="2E5C4E"/>
            <w:u w:val="single"/>
          </w:rPr>
          <w:t xml:space="preserve">the Directors' and Officers' Liability section</w:t>
        </w:r>
      </w:hyperlink>
      <w:r>
        <w:rPr>
          <w:b w:val="0"/>
          <w:i w:val="0"/>
        </w:rPr>
        <w:t xml:space="preserve"> Side A — personal non-indemnifiable loss and defence costs of insured persons.</w:t>
      </w:r>
    </w:p>
    <w:p>
      <w:r>
        <w:rPr>
          <w:b w:val="0"/>
          <w:i w:val="0"/>
        </w:rPr>
        <w:t xml:space="preserve">Second: </w:t>
      </w:r>
      <w:hyperlink w:anchor="c_imi_section_pl">
        <w:r>
          <w:rPr>
            <w:color w:val="2E5C4E"/>
            <w:u w:val="single"/>
          </w:rPr>
          <w:t xml:space="preserve">the Professional Liability section</w:t>
        </w:r>
      </w:hyperlink>
      <w:r>
        <w:rPr>
          <w:b w:val="0"/>
          <w:i w:val="0"/>
        </w:rPr>
        <w:t xml:space="preserve"> — professional liability claims and regulatory proceedings.</w:t>
      </w:r>
    </w:p>
    <w:p>
      <w:r>
        <w:rPr>
          <w:b w:val="0"/>
          <w:i w:val="0"/>
        </w:rPr>
        <w:t xml:space="preserve">Third: </w:t>
      </w:r>
      <w:hyperlink w:anchor="c_imi_section_do">
        <w:r>
          <w:rPr>
            <w:color w:val="2E5C4E"/>
            <w:u w:val="single"/>
          </w:rPr>
          <w:t xml:space="preserve">the Directors' and Officers' Liability section</w:t>
        </w:r>
      </w:hyperlink>
      <w:r>
        <w:rPr>
          <w:b w:val="0"/>
          <w:i w:val="0"/>
        </w:rPr>
        <w:t xml:space="preserve"> Side B — company reimbursement.</w:t>
      </w:r>
    </w:p>
    <w:p>
      <w:r>
        <w:rPr>
          <w:b w:val="0"/>
          <w:i w:val="0"/>
        </w:rPr>
        <w:t xml:space="preserve">Fourth: </w:t>
      </w:r>
      <w:hyperlink w:anchor="c_imi_section_crime">
        <w:r>
          <w:rPr>
            <w:color w:val="2E5C4E"/>
            <w:u w:val="single"/>
          </w:rPr>
          <w:t xml:space="preserve">the Crime section</w:t>
        </w:r>
      </w:hyperlink>
      <w:r>
        <w:rPr>
          <w:b w:val="0"/>
          <w:i w:val="0"/>
        </w:rPr>
        <w:t xml:space="preserve"> — crime losses.</w:t>
      </w:r>
    </w:p>
    <w:p>
      <w:bookmarkStart w:id="95" w:name="c_imi_pay_defence_costs"/>
      <w:r>
        <w:rPr>
          <w:rFonts w:ascii="Georgia" w:hAnsi="Georgia" w:eastAsia="Georgia"/>
          <w:b/>
          <w:i w:val="0"/>
          <w:color w:val="2E5C4E"/>
          <w:sz w:val="25"/>
        </w:rPr>
        <w:t>Defence Costs</w:t>
      </w:r>
      <w:bookmarkEnd w:id="95"/>
    </w:p>
    <w:p>
      <w:r>
        <w:rPr>
          <w:b w:val="0"/>
          <w:i w:val="0"/>
        </w:rPr>
        <w:t>Included within the limit of liability unless the schedule states otherwise. Advanced as incurred.</w:t>
      </w:r>
    </w:p>
    <w:p>
      <w:bookmarkStart w:id="96" w:name="c_imi_pay_allocation"/>
      <w:r>
        <w:rPr>
          <w:rFonts w:ascii="Georgia" w:hAnsi="Georgia" w:eastAsia="Georgia"/>
          <w:b/>
          <w:i w:val="0"/>
          <w:color w:val="2E5C4E"/>
          <w:sz w:val="25"/>
        </w:rPr>
        <w:t>Allocation</w:t>
      </w:r>
      <w:bookmarkEnd w:id="96"/>
    </w:p>
    <w:p>
      <w:r>
        <w:rPr>
          <w:b w:val="0"/>
          <w:i w:val="0"/>
        </w:rPr>
        <w:t>If a claim involves covered and uncovered matters or parties, we will agree a fair and reasonable allocation having regard to the relative legal and financial exposure of covered and uncovered matters and parties. If we cannot agree, a Senior Counsel, mutually agreed or, failing agreement, nominated by the President of the relevant State or Territory Bar Association, will determine the allocation, and that determination is binding on the allocation question only.</w:t>
      </w:r>
    </w:p>
    <w:p>
      <w:bookmarkStart w:id="97" w:name="c_imi_pay_no_excess_on_side_a"/>
      <w:r>
        <w:rPr>
          <w:rFonts w:ascii="Georgia" w:hAnsi="Georgia" w:eastAsia="Georgia"/>
          <w:b/>
          <w:i w:val="0"/>
          <w:color w:val="2E5C4E"/>
          <w:sz w:val="25"/>
        </w:rPr>
        <w:t>No Excess on Side A</w:t>
      </w:r>
      <w:bookmarkEnd w:id="97"/>
    </w:p>
    <w:p>
      <w:r>
        <w:rPr>
          <w:b w:val="0"/>
          <w:i w:val="0"/>
        </w:rPr>
        <w:t xml:space="preserve">No excess for insured persons under </w:t>
      </w:r>
      <w:hyperlink w:anchor="c_imi_section_do">
        <w:r>
          <w:rPr>
            <w:color w:val="2E5C4E"/>
            <w:u w:val="single"/>
          </w:rPr>
          <w:t xml:space="preserve">the Directors' and Officers' Liability section</w:t>
        </w:r>
      </w:hyperlink>
      <w:r>
        <w:rPr>
          <w:b w:val="0"/>
          <w:i w:val="0"/>
        </w:rPr>
        <w:t xml:space="preserve"> Side A.</w:t>
      </w:r>
    </w:p>
    <w:p>
      <w:bookmarkStart w:id="98" w:name="c_imi_pay_cross_section_application"/>
      <w:r>
        <w:rPr>
          <w:rFonts w:ascii="Georgia" w:hAnsi="Georgia" w:eastAsia="Georgia"/>
          <w:b/>
          <w:i w:val="0"/>
          <w:color w:val="2E5C4E"/>
          <w:sz w:val="25"/>
        </w:rPr>
        <w:t>Cross-Section Application</w:t>
      </w:r>
      <w:bookmarkEnd w:id="98"/>
    </w:p>
    <w:p>
      <w:r>
        <w:rPr>
          <w:b w:val="0"/>
          <w:i w:val="0"/>
        </w:rPr>
        <w:t xml:space="preserve">If a single event gives rise to losses under more than one section (for example, an employee commits fraud — </w:t>
      </w:r>
      <w:hyperlink w:anchor="c_imi_section_crime">
        <w:r>
          <w:rPr>
            <w:color w:val="2E5C4E"/>
            <w:u w:val="single"/>
          </w:rPr>
          <w:t xml:space="preserve">the Crime section</w:t>
        </w:r>
      </w:hyperlink>
      <w:r>
        <w:rPr>
          <w:b w:val="0"/>
          <w:i w:val="0"/>
        </w:rPr>
        <w:t xml:space="preserve"> — and investors bring a claim alleging negligent supervision — </w:t>
      </w:r>
      <w:hyperlink w:anchor="c_imi_section_pl">
        <w:r>
          <w:rPr>
            <w:color w:val="2E5C4E"/>
            <w:u w:val="single"/>
          </w:rPr>
          <w:t xml:space="preserve">the Professional Liability section</w:t>
        </w:r>
      </w:hyperlink>
      <w:r>
        <w:rPr>
          <w:b w:val="0"/>
          <w:i w:val="0"/>
        </w:rPr>
        <w:t>), each section responds to its own type of loss, but the overall aggregate limits the total we pay. Where the same loss is capable of being paid under more than one insuring clause, it is paid once, under the clause with the highest applicable limit, subject to one excess.</w:t>
      </w:r>
    </w:p>
    <w:p>
      <w:bookmarkStart w:id="99" w:name="c_imi_pay_other_insurance"/>
      <w:r>
        <w:rPr>
          <w:rFonts w:ascii="Georgia" w:hAnsi="Georgia" w:eastAsia="Georgia"/>
          <w:b/>
          <w:i w:val="0"/>
          <w:color w:val="2E5C4E"/>
          <w:sz w:val="25"/>
        </w:rPr>
        <w:t>Other Insurance</w:t>
      </w:r>
      <w:bookmarkEnd w:id="99"/>
    </w:p>
    <w:p>
      <w:r>
        <w:rPr>
          <w:b w:val="0"/>
          <w:i w:val="0"/>
        </w:rPr>
        <w:t xml:space="preserve">This policy is excess over other valid insurance responding to the same loss, except </w:t>
      </w:r>
      <w:hyperlink w:anchor="c_imi_section_do">
        <w:r>
          <w:rPr>
            <w:color w:val="2E5C4E"/>
            <w:u w:val="single"/>
          </w:rPr>
          <w:t xml:space="preserve">the Directors' and Officers' Liability section</w:t>
        </w:r>
      </w:hyperlink>
      <w:r>
        <w:rPr>
          <w:b w:val="0"/>
          <w:i w:val="0"/>
        </w:rPr>
        <w:t xml:space="preserve"> Side A, which is always primary for non-indemnifiable loss. This clause states a priority rule; it does not relieve us of liability merely because other insurance exists (see s 45 of the Insurance Contracts Act 1984 (Cth)).</w:t>
      </w:r>
    </w:p>
    <w:p>
      <w:bookmarkStart w:id="100" w:name="c_imi_pay_multiple_funds_limit_sharing"/>
      <w:r>
        <w:rPr>
          <w:rFonts w:ascii="Georgia" w:hAnsi="Georgia" w:eastAsia="Georgia"/>
          <w:b/>
          <w:i w:val="0"/>
          <w:color w:val="2E5C4E"/>
          <w:sz w:val="25"/>
        </w:rPr>
        <w:t>Multiple Funds — Limit Sharing</w:t>
      </w:r>
      <w:bookmarkEnd w:id="100"/>
    </w:p>
    <w:p>
      <w:r>
        <w:rPr>
          <w:b w:val="0"/>
          <w:i w:val="0"/>
        </w:rPr>
        <w:t>Where the schedule (Item 7) lists more than one fund, all funds share the section limits and the overall aggregate stated in Item 4 of the schedule; a loss involving, or a claim by or on behalf of, one fund reduces the limit available to every other fund insured under this policy. Item 7 of the schedule may instead state a per-fund sub-limit, or a stated sharing rule, for one or more named funds, in which case that sub-limit or rule applies to that fund in place of unrestricted sharing.</w:t>
      </w:r>
    </w:p>
    <w:p>
      <w:bookmarkStart w:id="101" w:name="c_imi_section_obligations"/>
      <w:r>
        <w:rPr>
          <w:rFonts w:ascii="Georgia" w:hAnsi="Georgia" w:eastAsia="Georgia"/>
          <w:b/>
          <w:i w:val="0"/>
          <w:color w:val="1C1915"/>
          <w:sz w:val="32"/>
        </w:rPr>
        <w:t>Your Obligations</w:t>
      </w:r>
      <w:bookmarkEnd w:id="101"/>
    </w:p>
    <w:p>
      <w:bookmarkStart w:id="102" w:name="c_imi_obl_notify_claims"/>
      <w:r>
        <w:rPr>
          <w:rFonts w:ascii="Georgia" w:hAnsi="Georgia" w:eastAsia="Georgia"/>
          <w:b/>
          <w:i w:val="0"/>
          <w:color w:val="2E5C4E"/>
          <w:sz w:val="25"/>
        </w:rPr>
        <w:t>Notify Claims — Professional Liability and Directors' and Officers' Liability</w:t>
      </w:r>
      <w:bookmarkEnd w:id="102"/>
    </w:p>
    <w:p>
      <w:r>
        <w:rPr>
          <w:b w:val="0"/>
          <w:i w:val="0"/>
        </w:rPr>
        <w:t>Tell us in writing as soon as reasonably practicable after a claim is made.</w:t>
      </w:r>
    </w:p>
    <w:p>
      <w:bookmarkStart w:id="103" w:name="c_imi_obl_notify_circumstances"/>
      <w:r>
        <w:rPr>
          <w:rFonts w:ascii="Georgia" w:hAnsi="Georgia" w:eastAsia="Georgia"/>
          <w:b/>
          <w:i w:val="0"/>
          <w:color w:val="2E5C4E"/>
          <w:sz w:val="25"/>
        </w:rPr>
        <w:t>Notify Circumstances — Professional Liability and Directors' and Officers' Liability</w:t>
      </w:r>
      <w:bookmarkEnd w:id="103"/>
    </w:p>
    <w:p>
      <w:r>
        <w:rPr>
          <w:b w:val="0"/>
          <w:i w:val="0"/>
        </w:rPr>
        <w:t xml:space="preserve">Tell us during the policy period of any circumstance that might reasonably give rise to a claim. Later claims from notified circumstances are treated as made during this policy period. This is the notification referred to in </w:t>
      </w:r>
      <w:hyperlink w:anchor="c_imi_cover_notification_of_circumstance">
        <w:r>
          <w:rPr>
            <w:color w:val="2E5C4E"/>
            <w:u w:val="single"/>
          </w:rPr>
          <w:t xml:space="preserve">the Notification of Circumstances clause</w:t>
        </w:r>
      </w:hyperlink>
      <w:r>
        <w:rPr>
          <w:b w:val="0"/>
          <w:i w:val="0"/>
        </w:rPr>
        <w:t xml:space="preserve"> and implements s 40(3) of the Insurance Contracts Act 1984 (Cth).</w:t>
      </w:r>
    </w:p>
    <w:p>
      <w:r>
        <w:rPr>
          <w:b w:val="0"/>
          <w:i w:val="0"/>
        </w:rPr>
        <w:t>Examples specific to investment management:</w:t>
      </w:r>
    </w:p>
    <w:p>
      <w:r>
        <w:rPr>
          <w:b w:val="0"/>
          <w:i w:val="0"/>
        </w:rPr>
        <w:t>• An investor or group of investors has complained about fund performance and engaged lawyers.</w:t>
      </w:r>
    </w:p>
    <w:p>
      <w:r>
        <w:rPr>
          <w:b w:val="0"/>
          <w:i w:val="0"/>
        </w:rPr>
        <w:t>• ASIC has issued a s912C direction or s33 notice relating to your AFSL obligations.</w:t>
      </w:r>
    </w:p>
    <w:p>
      <w:r>
        <w:rPr>
          <w:b w:val="0"/>
          <w:i w:val="0"/>
        </w:rPr>
        <w:t>• A material valuation error has been identified in a fund that may require unit price correction.</w:t>
      </w:r>
    </w:p>
    <w:p>
      <w:r>
        <w:rPr>
          <w:b w:val="0"/>
          <w:i w:val="0"/>
        </w:rPr>
        <w:t>• An authorised representative has provided advice outside the scope of their authority.</w:t>
      </w:r>
    </w:p>
    <w:p>
      <w:r>
        <w:rPr>
          <w:b w:val="0"/>
          <w:i w:val="0"/>
        </w:rPr>
        <w:t>• A compliance breach report has identified a systemic issue in product distribution.</w:t>
      </w:r>
    </w:p>
    <w:p>
      <w:r>
        <w:rPr>
          <w:b w:val="0"/>
          <w:i w:val="0"/>
        </w:rPr>
        <w:t>• APRA has commenced a targeted review of your prudential compliance (for superannuation trustees).</w:t>
      </w:r>
    </w:p>
    <w:p>
      <w:bookmarkStart w:id="104" w:name="c_imi_obl_notify_losses_crime"/>
      <w:r>
        <w:rPr>
          <w:rFonts w:ascii="Georgia" w:hAnsi="Georgia" w:eastAsia="Georgia"/>
          <w:b/>
          <w:i w:val="0"/>
          <w:color w:val="2E5C4E"/>
          <w:sz w:val="25"/>
        </w:rPr>
        <w:t>Notify Losses — Crime</w:t>
      </w:r>
      <w:bookmarkEnd w:id="104"/>
    </w:p>
    <w:p>
      <w:r>
        <w:rPr>
          <w:b w:val="0"/>
          <w:i w:val="0"/>
        </w:rPr>
        <w:t>Tell us within 60 days of discovery of a crime loss. Report to police.</w:t>
      </w:r>
    </w:p>
    <w:p>
      <w:bookmarkStart w:id="105" w:name="c_imi_obl_do_not_admit_liability"/>
      <w:r>
        <w:rPr>
          <w:rFonts w:ascii="Georgia" w:hAnsi="Georgia" w:eastAsia="Georgia"/>
          <w:b/>
          <w:i w:val="0"/>
          <w:color w:val="2E5C4E"/>
          <w:sz w:val="25"/>
        </w:rPr>
        <w:t>Do Not Admit Liability</w:t>
      </w:r>
      <w:bookmarkEnd w:id="105"/>
    </w:p>
    <w:p>
      <w:r>
        <w:rPr>
          <w:b w:val="0"/>
          <w:i w:val="0"/>
        </w:rPr>
        <w:t>Do not admit liability or settle without our consent. Consent not unreasonably withheld.</w:t>
      </w:r>
    </w:p>
    <w:p>
      <w:bookmarkStart w:id="106" w:name="c_imi_obl_cooperate"/>
      <w:r>
        <w:rPr>
          <w:rFonts w:ascii="Georgia" w:hAnsi="Georgia" w:eastAsia="Georgia"/>
          <w:b/>
          <w:i w:val="0"/>
          <w:color w:val="2E5C4E"/>
          <w:sz w:val="25"/>
        </w:rPr>
        <w:t>Cooperate</w:t>
      </w:r>
      <w:bookmarkEnd w:id="106"/>
    </w:p>
    <w:p>
      <w:r>
        <w:rPr>
          <w:b w:val="0"/>
          <w:i w:val="0"/>
        </w:rPr>
        <w:t>Provide all information and assistance. Allow us to associate in defence and settlement.</w:t>
      </w:r>
    </w:p>
    <w:p>
      <w:bookmarkStart w:id="107" w:name="c_imi_obl_duty_of_disclosure"/>
      <w:r>
        <w:rPr>
          <w:rFonts w:ascii="Georgia" w:hAnsi="Georgia" w:eastAsia="Georgia"/>
          <w:b/>
          <w:i w:val="0"/>
          <w:color w:val="2E5C4E"/>
          <w:sz w:val="25"/>
        </w:rPr>
        <w:t>Duty of Disclosure</w:t>
      </w:r>
      <w:bookmarkEnd w:id="107"/>
    </w:p>
    <w:p>
      <w:r>
        <w:rPr>
          <w:b w:val="0"/>
          <w:i w:val="0"/>
        </w:rPr>
        <w:t xml:space="preserve">The duty of disclosure under the Insurance Contracts Act 1984 (Cth) applies to the named insured as the party proposing this contract; this is a non-consumer contract. As between us and each insured person, disclosure and knowledge are assessed individually as a matter of contract, under </w:t>
      </w:r>
      <w:hyperlink w:anchor="c_imi_cond_severability_and_non_imputati">
        <w:r>
          <w:rPr>
            <w:color w:val="2E5C4E"/>
            <w:u w:val="single"/>
          </w:rPr>
          <w:t xml:space="preserve">the Severability and Non-Imputation condition</w:t>
        </w:r>
      </w:hyperlink>
      <w:r>
        <w:rPr>
          <w:b w:val="0"/>
          <w:i w:val="0"/>
        </w:rPr>
        <w:t xml:space="preserve"> (Severability and Non-Imputation).</w:t>
      </w:r>
    </w:p>
    <w:p>
      <w:bookmarkStart w:id="108" w:name="c_imi_section_conditions"/>
      <w:r>
        <w:rPr>
          <w:rFonts w:ascii="Georgia" w:hAnsi="Georgia" w:eastAsia="Georgia"/>
          <w:b/>
          <w:i w:val="0"/>
          <w:color w:val="1C1915"/>
          <w:sz w:val="32"/>
        </w:rPr>
        <w:t>General Conditions</w:t>
      </w:r>
      <w:bookmarkEnd w:id="108"/>
    </w:p>
    <w:p>
      <w:bookmarkStart w:id="109" w:name="c_imi_cond_severability_and_non_imputati"/>
      <w:r>
        <w:rPr>
          <w:rFonts w:ascii="Georgia" w:hAnsi="Georgia" w:eastAsia="Georgia"/>
          <w:b/>
          <w:i w:val="0"/>
          <w:color w:val="2E5C4E"/>
          <w:sz w:val="25"/>
        </w:rPr>
        <w:t>Severability and Non-Imputation</w:t>
      </w:r>
      <w:bookmarkEnd w:id="109"/>
    </w:p>
    <w:p>
      <w:r>
        <w:rPr>
          <w:b w:val="0"/>
          <w:i w:val="0"/>
        </w:rPr>
        <w:t xml:space="preserve">Each insured person is treated as if they had a separate policy. Knowledge and conduct are not attributed between insured persons. This severability applies to every knowledge-based or conduct-based provision of this policy, including </w:t>
      </w:r>
      <w:hyperlink w:anchor="c_imi_excl_dishonesty_and_fraud">
        <w:r>
          <w:rPr>
            <w:color w:val="2E5C4E"/>
            <w:u w:val="single"/>
          </w:rPr>
          <w:t xml:space="preserve">the Dishonesty and Fraud — Professional Liability and Directors' and Officers' Liability exclusion</w:t>
        </w:r>
      </w:hyperlink>
      <w:r>
        <w:rPr>
          <w:b w:val="0"/>
          <w:i w:val="0"/>
        </w:rPr>
        <w:t xml:space="preserve">, </w:t>
      </w:r>
      <w:hyperlink w:anchor="c_imi_excl_personal_profit">
        <w:r>
          <w:rPr>
            <w:color w:val="2E5C4E"/>
            <w:u w:val="single"/>
          </w:rPr>
          <w:t xml:space="preserve">the Personal Profit exclusion</w:t>
        </w:r>
      </w:hyperlink>
      <w:r>
        <w:rPr>
          <w:b w:val="0"/>
          <w:i w:val="0"/>
        </w:rPr>
        <w:t xml:space="preserve">, </w:t>
      </w:r>
      <w:hyperlink w:anchor="c_imi_excl_prior_known_matters">
        <w:r>
          <w:rPr>
            <w:color w:val="2E5C4E"/>
            <w:u w:val="single"/>
          </w:rPr>
          <w:t xml:space="preserve">the Prior Known Matters exclusion</w:t>
        </w:r>
      </w:hyperlink>
      <w:r>
        <w:rPr>
          <w:b w:val="0"/>
          <w:i w:val="0"/>
        </w:rPr>
        <w:t xml:space="preserve">, </w:t>
      </w:r>
      <w:hyperlink w:anchor="c_imi_excl_prior_and_pending_litigation">
        <w:r>
          <w:rPr>
            <w:color w:val="2E5C4E"/>
            <w:u w:val="single"/>
          </w:rPr>
          <w:t xml:space="preserve">the Prior and Pending Litigation exclusion</w:t>
        </w:r>
      </w:hyperlink>
      <w:r>
        <w:rPr>
          <w:b w:val="0"/>
          <w:i w:val="0"/>
        </w:rPr>
        <w:t xml:space="preserve">, </w:t>
      </w:r>
      <w:hyperlink w:anchor="c_imi_obl_duty_of_disclosure">
        <w:r>
          <w:rPr>
            <w:color w:val="2E5C4E"/>
            <w:u w:val="single"/>
          </w:rPr>
          <w:t xml:space="preserve">the Duty of Disclosure obligation</w:t>
        </w:r>
      </w:hyperlink>
      <w:r>
        <w:rPr>
          <w:b w:val="0"/>
          <w:i w:val="0"/>
        </w:rPr>
        <w:t xml:space="preserve">, and </w:t>
      </w:r>
      <w:hyperlink w:anchor="c_imi_cond_non_rescindable_side_a">
        <w:r>
          <w:rPr>
            <w:color w:val="2E5C4E"/>
            <w:u w:val="single"/>
          </w:rPr>
          <w:t xml:space="preserve">the Non-Rescindable — Side A condition</w:t>
        </w:r>
      </w:hyperlink>
      <w:r>
        <w:rPr>
          <w:b w:val="0"/>
          <w:i w:val="0"/>
        </w:rPr>
        <w:t>.</w:t>
      </w:r>
    </w:p>
    <w:p>
      <w:bookmarkStart w:id="110" w:name="c_imi_cond_non_rescindable_side_a"/>
      <w:r>
        <w:rPr>
          <w:rFonts w:ascii="Georgia" w:hAnsi="Georgia" w:eastAsia="Georgia"/>
          <w:b/>
          <w:i w:val="0"/>
          <w:color w:val="2E5C4E"/>
          <w:sz w:val="25"/>
        </w:rPr>
        <w:t>Non-Rescindable — Side A</w:t>
      </w:r>
      <w:bookmarkEnd w:id="110"/>
    </w:p>
    <w:p>
      <w:r>
        <w:rPr>
          <w:b w:val="0"/>
          <w:i w:val="0"/>
        </w:rPr>
        <w:t>Side A will not be avoided for any reason, except personal misrepresentation with intent to deceive by the specific insured person seeking cover, and we waive our right under s 28(3) of the Insurance Contracts Act 1984 (Cth) to reduce our liability to any other insured person for that misrepresentation.</w:t>
      </w:r>
    </w:p>
    <w:p>
      <w:bookmarkStart w:id="111" w:name="c_imi_cond_continuous_cover"/>
      <w:r>
        <w:rPr>
          <w:rFonts w:ascii="Georgia" w:hAnsi="Georgia" w:eastAsia="Georgia"/>
          <w:b/>
          <w:i w:val="0"/>
          <w:color w:val="2E5C4E"/>
          <w:sz w:val="25"/>
        </w:rPr>
        <w:t>Continuous Cover</w:t>
      </w:r>
      <w:bookmarkEnd w:id="111"/>
    </w:p>
    <w:p>
      <w:r>
        <w:rPr>
          <w:b w:val="0"/>
          <w:i w:val="0"/>
        </w:rPr>
        <w:t xml:space="preserve">As per </w:t>
      </w:r>
      <w:hyperlink w:anchor="c_imi_ext_continuous_cover">
        <w:r>
          <w:rPr>
            <w:color w:val="2E5C4E"/>
            <w:u w:val="single"/>
          </w:rPr>
          <w:t xml:space="preserve">the Continuous Cover extension</w:t>
        </w:r>
      </w:hyperlink>
      <w:r>
        <w:rPr>
          <w:b w:val="0"/>
          <w:i w:val="0"/>
        </w:rPr>
        <w:t>, capped at the lower of this policy's limit and the prior policy's limit, and otherwise on the terms of whichever of the two policies is less favourable to you.</w:t>
      </w:r>
    </w:p>
    <w:p>
      <w:bookmarkStart w:id="112" w:name="c_imi_cond_extended_reporting_period"/>
      <w:r>
        <w:rPr>
          <w:rFonts w:ascii="Georgia" w:hAnsi="Georgia" w:eastAsia="Georgia"/>
          <w:b/>
          <w:i w:val="0"/>
          <w:color w:val="2E5C4E"/>
          <w:sz w:val="25"/>
        </w:rPr>
        <w:t>Extended Reporting Period</w:t>
      </w:r>
      <w:bookmarkEnd w:id="112"/>
    </w:p>
    <w:p>
      <w:r>
        <w:rPr>
          <w:b w:val="0"/>
          <w:i w:val="0"/>
        </w:rPr>
        <w:t>Automatic 90 days if this policy is not renewed or is cancelled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w:t>
      </w:r>
      <w:hyperlink w:anchor="c_imi_section_crime">
        <w:r>
          <w:rPr>
            <w:color w:val="2E5C4E"/>
            <w:u w:val="single"/>
          </w:rPr>
          <w:t xml:space="preserve">The Crime section</w:t>
        </w:r>
      </w:hyperlink>
      <w:r>
        <w:rPr>
          <w:b w:val="0"/>
          <w:i w:val="0"/>
        </w:rPr>
        <w:t xml:space="preserve"> has its own 60-day post-discovery notification period under </w:t>
      </w:r>
      <w:hyperlink w:anchor="c_imi_obl_notify_losses_crime">
        <w:r>
          <w:rPr>
            <w:color w:val="2E5C4E"/>
            <w:u w:val="single"/>
          </w:rPr>
          <w:t xml:space="preserve">the Notify Losses — Crime obligation</w:t>
        </w:r>
      </w:hyperlink>
      <w:r>
        <w:rPr>
          <w:b w:val="0"/>
          <w:i w:val="0"/>
        </w:rPr>
        <w:t xml:space="preserve">. Extended periods 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xml:space="preserve"> beyond the automatic 90 days are available for purchase under Endorsement E08, for the durations shown in the schedule when that endorsement is operative.</w:t>
      </w:r>
    </w:p>
    <w:p>
      <w:bookmarkStart w:id="113" w:name="c_imi_cond_cancellation"/>
      <w:r>
        <w:rPr>
          <w:rFonts w:ascii="Georgia" w:hAnsi="Georgia" w:eastAsia="Georgia"/>
          <w:b/>
          <w:i w:val="0"/>
          <w:color w:val="2E5C4E"/>
          <w:sz w:val="25"/>
        </w:rPr>
        <w:t>Cancellation</w:t>
      </w:r>
      <w:bookmarkEnd w:id="113"/>
    </w:p>
    <w:p>
      <w:r>
        <w:rPr>
          <w:b w:val="0"/>
          <w:i w:val="0"/>
        </w:rPr>
        <w:t>By you: any time in writing. By us: we may only cancel this policy on grounds permitted by s 60 of the Insurance Contracts Act 1984 (Cth). Where we are entitled to cancel, we will give written notice as required by s 59, and will refund the premium proportionally. Cancellation does not affect a claim or circumstance already notified.</w:t>
      </w:r>
    </w:p>
    <w:p>
      <w:bookmarkStart w:id="114" w:name="c_imi_cond_change_of_control"/>
      <w:r>
        <w:rPr>
          <w:rFonts w:ascii="Georgia" w:hAnsi="Georgia" w:eastAsia="Georgia"/>
          <w:b/>
          <w:i w:val="0"/>
          <w:color w:val="2E5C4E"/>
          <w:sz w:val="25"/>
        </w:rPr>
        <w:t>Change of Control</w:t>
      </w:r>
      <w:bookmarkEnd w:id="114"/>
    </w:p>
    <w:p>
      <w:r>
        <w:rPr>
          <w:b w:val="0"/>
          <w:i w:val="0"/>
        </w:rPr>
        <w:t>If any person acquires more than 50% of the company's voting rights, this policy continues for the remainder of the policy period for pre-change-of-control wrongful acts only.</w:t>
      </w:r>
    </w:p>
    <w:p>
      <w:bookmarkStart w:id="115" w:name="c_imi_cond_newly_acquired_subsidiaries"/>
      <w:r>
        <w:rPr>
          <w:rFonts w:ascii="Georgia" w:hAnsi="Georgia" w:eastAsia="Georgia"/>
          <w:b/>
          <w:i w:val="0"/>
          <w:color w:val="2E5C4E"/>
          <w:sz w:val="25"/>
        </w:rPr>
        <w:t>Newly Acquired Subsidiaries</w:t>
      </w:r>
      <w:bookmarkEnd w:id="115"/>
    </w:p>
    <w:p>
      <w:r>
        <w:rPr>
          <w:b w:val="0"/>
          <w:i w:val="0"/>
        </w:rPr>
        <w:t>Automatic cover for 90 days from acquisition (revenue up to $10M; similar activities). Notify within 90 days.</w:t>
      </w:r>
    </w:p>
    <w:p>
      <w:bookmarkStart w:id="116" w:name="c_imi_cond_governing_law_jurisdiction_gs"/>
      <w:r>
        <w:rPr>
          <w:rFonts w:ascii="Georgia" w:hAnsi="Georgia" w:eastAsia="Georgia"/>
          <w:b/>
          <w:i w:val="0"/>
          <w:color w:val="2E5C4E"/>
          <w:sz w:val="25"/>
        </w:rPr>
        <w:t>Governing Law, Jurisdiction, GST, Privacy, Disputes</w:t>
      </w:r>
      <w:bookmarkEnd w:id="116"/>
    </w:p>
    <w:p>
      <w:r>
        <w:rPr>
          <w:b w:val="0"/>
          <w:i w:val="0"/>
        </w:rPr>
        <w:t>Governing law: the law of the state or territory shown in Item 10 of the schedule, fixed as at the inception of the policy period.</w:t>
      </w:r>
    </w:p>
    <w:p>
      <w:r>
        <w:rPr>
          <w:b w:val="0"/>
          <w:i w:val="0"/>
        </w:rPr>
        <w:t>Jurisdiction: each party submits to the non-exclusive jurisdiction of the courts of that state or territory, and courts competent to hear appeals from them.</w:t>
      </w:r>
    </w:p>
    <w:p>
      <w:r>
        <w:rPr>
          <w:b w:val="0"/>
          <w:i w:val="0"/>
        </w:rPr>
        <w:t>GST: amounts payable under this policy are reduced by any input tax credit entitlement under A New Tax System (Goods and Services Tax) Act 1999 (Cth), and are grossed up for GST where required.</w:t>
      </w:r>
    </w:p>
    <w:p>
      <w:r>
        <w:rPr>
          <w:b w:val="0"/>
          <w:i w:val="0"/>
        </w:rPr>
        <w:t>Privacy: information is handled in accordance with the Privacy Act 1988 (Cth).</w:t>
      </w:r>
    </w:p>
    <w:p>
      <w:r>
        <w:rPr>
          <w:b w:val="0"/>
          <w:i w:val="0"/>
        </w:rPr>
        <w:t>Disputes: if you are not satisfied with a decision we make, you may access our internal dispute resolution (IDR) process — details are available on request or in our Financial Services Guide. If you remain unsatisfied after IDR, you may lodge a complaint with the Australian Financial Complaints Authority (AFCA) — www.afca.org.au | 1800 931 678.</w:t>
      </w:r>
    </w:p>
    <w:p>
      <w:bookmarkStart w:id="117" w:name="c_imi_cond_insurance_contracts_act_savin"/>
      <w:r>
        <w:rPr>
          <w:rFonts w:ascii="Georgia" w:hAnsi="Georgia" w:eastAsia="Georgia"/>
          <w:b/>
          <w:i w:val="0"/>
          <w:color w:val="2E5C4E"/>
          <w:sz w:val="25"/>
        </w:rPr>
        <w:t>Insurance Contracts Act — Savings</w:t>
      </w:r>
      <w:bookmarkEnd w:id="117"/>
    </w:p>
    <w:p>
      <w:r>
        <w:rPr>
          <w:b w:val="0"/>
          <w:i w:val="0"/>
        </w:rPr>
        <w:t>Nothing in this policy excludes, restricts, or modifies the operation of the Insurance Contracts Act 1984 (Cth) (the Act). Where any provision of this policy is inconsistent with the Act, the Act prevails. Without limiting the foregoing, s 54 of the Act applies to any act or omission by an insured after this policy's inception in relation to a claim or circumstance, so that we may not refuse to pay, or reduce our liability in respect of, a claim by reason of that act or omission except to the extent permitted by s 54.</w:t>
      </w:r>
    </w:p>
    <w:p>
      <w:bookmarkStart w:id="118" w:name="c_imi_cond_fund_wind_up_run_off"/>
      <w:r>
        <w:rPr>
          <w:rFonts w:ascii="Georgia" w:hAnsi="Georgia" w:eastAsia="Georgia"/>
          <w:b/>
          <w:i w:val="0"/>
          <w:color w:val="2E5C4E"/>
          <w:sz w:val="25"/>
        </w:rPr>
        <w:t>Fund Wind-Up Run-Off</w:t>
      </w:r>
      <w:bookmarkEnd w:id="118"/>
    </w:p>
    <w:p>
      <w:r>
        <w:rPr>
          <w:b w:val="0"/>
          <w:i w:val="0"/>
        </w:rPr>
        <w:t xml:space="preserve">If a fund named in the schedule (or established during the policy period) winds up, terminates, or is transferred to another responsible entity or trustee during the policy period, cover under </w:t>
      </w:r>
      <w:hyperlink w:anchor="c_imi_section_pl">
        <w:r>
          <w:rPr>
            <w:color w:val="2E5C4E"/>
            <w:u w:val="single"/>
          </w:rPr>
          <w:t xml:space="preserve">the Professional Liability section</w:t>
        </w:r>
      </w:hyperlink>
      <w:r>
        <w:rPr>
          <w:b w:val="0"/>
          <w:i w:val="0"/>
        </w:rPr>
        <w:t xml:space="preserve">, </w:t>
      </w:r>
      <w:hyperlink w:anchor="c_imi_section_do">
        <w:r>
          <w:rPr>
            <w:color w:val="2E5C4E"/>
            <w:u w:val="single"/>
          </w:rPr>
          <w:t xml:space="preserve">the Directors' and Officers' Liability section</w:t>
        </w:r>
      </w:hyperlink>
      <w:r>
        <w:rPr>
          <w:b w:val="0"/>
          <w:i w:val="0"/>
        </w:rPr>
        <w:t xml:space="preserve">, and </w:t>
      </w:r>
      <w:hyperlink w:anchor="c_imi_section_crime">
        <w:r>
          <w:rPr>
            <w:color w:val="2E5C4E"/>
            <w:u w:val="single"/>
          </w:rPr>
          <w:t xml:space="preserve">the Crime section</w:t>
        </w:r>
      </w:hyperlink>
      <w:r>
        <w:rPr>
          <w:b w:val="0"/>
          <w:i w:val="0"/>
        </w:rPr>
        <w:t xml:space="preserve"> continues in respect of that fund, on this policy's terms and within its limits, for wrongful acts and dishonest acts occurring before the wind-up, termination, or transfer, until the earlier of: (a) the expiry of the policy period (including any Extended Reporting Period under </w:t>
      </w:r>
      <w:hyperlink w:anchor="c_imi_cond_extended_reporting_period">
        <w:r>
          <w:rPr>
            <w:color w:val="2E5C4E"/>
            <w:u w:val="single"/>
          </w:rPr>
          <w:t xml:space="preserve">the Extended Reporting Period condition</w:t>
        </w:r>
      </w:hyperlink>
      <w:r>
        <w:rPr>
          <w:b w:val="0"/>
          <w:i w:val="0"/>
        </w:rPr>
        <w:t xml:space="preserve"> or discovery notification period under </w:t>
      </w:r>
      <w:hyperlink w:anchor="c_imi_obl_notify_losses_crime">
        <w:r>
          <w:rPr>
            <w:color w:val="2E5C4E"/>
            <w:u w:val="single"/>
          </w:rPr>
          <w:t xml:space="preserve">the Notify Losses — Crime obligation</w:t>
        </w:r>
      </w:hyperlink>
      <w:r>
        <w:rPr>
          <w:b w:val="0"/>
          <w:i w:val="0"/>
        </w:rPr>
        <w:t xml:space="preserve"> that applies); or (b) the fund obtaining its own separate insurance covering the same period.</w:t>
      </w:r>
    </w:p>
    <w:p>
      <w:r>
        <w:rPr>
          <w:b w:val="0"/>
          <w:i w:val="0"/>
        </w:rPr>
        <w:t xml:space="preserve">This clause does not extend the policy period or create a separate limit for the affected fund; </w:t>
      </w:r>
      <w:hyperlink w:anchor="c_imi_pay_multiple_funds_limit_sharing">
        <w:r>
          <w:rPr>
            <w:color w:val="2E5C4E"/>
            <w:u w:val="single"/>
          </w:rPr>
          <w:t xml:space="preserve">the Multiple Funds — Limit Sharing provision</w:t>
        </w:r>
      </w:hyperlink>
      <w:r>
        <w:rPr>
          <w:b w:val="0"/>
          <w:i w:val="0"/>
        </w:rPr>
        <w:t xml:space="preserve"> (Multiple Funds — Limit Sharing) continues to apply.</w:t>
      </w:r>
    </w:p>
    <w:p>
      <w:bookmarkStart w:id="119" w:name="c_imi_section_appendix_guide"/>
      <w:r>
        <w:rPr>
          <w:rFonts w:ascii="Georgia" w:hAnsi="Georgia" w:eastAsia="Georgia"/>
          <w:b/>
          <w:i w:val="0"/>
          <w:color w:val="1C1915"/>
          <w:sz w:val="32"/>
        </w:rPr>
        <w:t>Appendix A — Investment Managers: A Practical Guide</w:t>
      </w:r>
      <w:bookmarkEnd w:id="119"/>
    </w:p>
    <w:p>
      <w:r>
        <w:rPr>
          <w:b w:val="0"/>
          <w:i w:val="0"/>
        </w:rPr>
        <w:t>This appendix is provided for context and is not part of the operative policy wording. It does not form part of the contract of insurance, does not change any cover, exclusion, condition, or limit stated in the operative sections of this policy, and is not to be used to interpret them. Where anything in this appendix conflicts with the operative sections of this policy, the operative sections of this policy govern.</w:t>
      </w:r>
    </w:p>
    <w:p>
      <w:bookmarkStart w:id="120" w:name="c_imi_guide_why_integrated"/>
      <w:r>
        <w:rPr>
          <w:rFonts w:ascii="Georgia" w:hAnsi="Georgia" w:eastAsia="Georgia"/>
          <w:b/>
          <w:i w:val="0"/>
          <w:color w:val="1C1915"/>
          <w:sz w:val="32"/>
        </w:rPr>
        <w:t>Why an integrated policy, not separate covers?</w:t>
      </w:r>
      <w:bookmarkEnd w:id="120"/>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Scenario</w:t>
            </w:r>
          </w:p>
        </w:tc>
        <w:tc>
          <w:tcPr>
            <w:tcW w:type="dxa" w:w="3249"/>
          </w:tcPr>
          <w:p>
            <w:r/>
            <w:r>
              <w:rPr>
                <w:b/>
                <w:i w:val="0"/>
              </w:rPr>
              <w:t>Separate PI + D&amp;O + Crime</w:t>
            </w:r>
          </w:p>
        </w:tc>
        <w:tc>
          <w:tcPr>
            <w:tcW w:type="dxa" w:w="3249"/>
          </w:tcPr>
          <w:p>
            <w:r/>
            <w:r>
              <w:rPr>
                <w:b/>
                <w:i w:val="0"/>
              </w:rPr>
              <w:t>Meridian IMI</w:t>
            </w:r>
          </w:p>
        </w:tc>
      </w:tr>
      <w:tr>
        <w:tc>
          <w:tcPr>
            <w:tcW w:type="dxa" w:w="3249"/>
          </w:tcPr>
          <w:p>
            <w:r/>
            <w:r>
              <w:rPr>
                <w:b w:val="0"/>
                <w:i w:val="0"/>
              </w:rPr>
              <w:t>Employee commits fraud, investors sue for negligent supervision</w:t>
            </w:r>
          </w:p>
        </w:tc>
        <w:tc>
          <w:tcPr>
            <w:tcW w:type="dxa" w:w="3249"/>
          </w:tcPr>
          <w:p>
            <w:r/>
            <w:r>
              <w:rPr>
                <w:b w:val="0"/>
                <w:i w:val="0"/>
              </w:rPr>
              <w:t>Two policies respond. Allocation disputes between PI and D&amp;O insurers. Two excesses.</w:t>
            </w:r>
          </w:p>
        </w:tc>
        <w:tc>
          <w:tcPr>
            <w:tcW w:type="dxa" w:w="3249"/>
          </w:tcPr>
          <w:p>
            <w:r/>
            <w:r>
              <w:rPr>
                <w:b w:val="0"/>
                <w:i w:val="0"/>
              </w:rPr>
              <w:t>One policy. One claims team. One excess. Clear cross-section application (</w:t>
            </w:r>
            <w:hyperlink w:anchor="c_imi_pay_cross_section_application">
              <w:r>
                <w:rPr>
                  <w:color w:val="2E5C4E"/>
                  <w:u w:val="single"/>
                </w:rPr>
                <w:t xml:space="preserve">the Cross-Section Application provision</w:t>
              </w:r>
            </w:hyperlink>
            <w:r>
              <w:rPr>
                <w:b w:val="0"/>
                <w:i w:val="0"/>
              </w:rPr>
              <w:t>).</w:t>
            </w:r>
          </w:p>
        </w:tc>
      </w:tr>
      <w:tr>
        <w:tc>
          <w:tcPr>
            <w:tcW w:type="dxa" w:w="3249"/>
          </w:tcPr>
          <w:p>
            <w:r/>
            <w:r>
              <w:rPr>
                <w:b w:val="0"/>
                <w:i w:val="0"/>
              </w:rPr>
              <w:t>ASIC investigates your compliance. Is it PI or D&amp;O?</w:t>
            </w:r>
          </w:p>
        </w:tc>
        <w:tc>
          <w:tcPr>
            <w:tcW w:type="dxa" w:w="3249"/>
          </w:tcPr>
          <w:p>
            <w:r/>
            <w:r>
              <w:rPr>
                <w:b w:val="0"/>
                <w:i w:val="0"/>
              </w:rPr>
              <w:t>Coverage depends on how the claim is characterised. Risk of gap.</w:t>
            </w:r>
          </w:p>
        </w:tc>
        <w:tc>
          <w:tcPr>
            <w:tcW w:type="dxa" w:w="3249"/>
          </w:tcPr>
          <w:p>
            <w:r/>
            <w:hyperlink w:anchor="c_imi_section_pl">
              <w:r>
                <w:rPr>
                  <w:color w:val="2E5C4E"/>
                  <w:u w:val="single"/>
                </w:rPr>
                <w:t xml:space="preserve">The Professional Liability section</w:t>
              </w:r>
            </w:hyperlink>
            <w:r>
              <w:rPr>
                <w:b w:val="0"/>
                <w:i w:val="0"/>
              </w:rPr>
              <w:t xml:space="preserve"> covers regulatory proceedings regardless of characterisation.</w:t>
            </w:r>
          </w:p>
        </w:tc>
      </w:tr>
      <w:tr>
        <w:tc>
          <w:tcPr>
            <w:tcW w:type="dxa" w:w="3249"/>
          </w:tcPr>
          <w:p>
            <w:r/>
            <w:r>
              <w:rPr>
                <w:b w:val="0"/>
                <w:i w:val="0"/>
              </w:rPr>
              <w:t>Portfolio manager deliberately misallocates trades. Is it crime or PI?</w:t>
            </w:r>
          </w:p>
        </w:tc>
        <w:tc>
          <w:tcPr>
            <w:tcW w:type="dxa" w:w="3249"/>
          </w:tcPr>
          <w:p>
            <w:r/>
            <w:r>
              <w:rPr>
                <w:b w:val="0"/>
                <w:i w:val="0"/>
              </w:rPr>
              <w:t>Crime insurer says it's a PI claim (professional services). PI insurer says it's crime (dishonest act).</w:t>
            </w:r>
          </w:p>
        </w:tc>
        <w:tc>
          <w:tcPr>
            <w:tcW w:type="dxa" w:w="3249"/>
          </w:tcPr>
          <w:p>
            <w:r/>
            <w:hyperlink w:anchor="c_imi_section_crime">
              <w:r>
                <w:rPr>
                  <w:color w:val="2E5C4E"/>
                  <w:u w:val="single"/>
                </w:rPr>
                <w:t xml:space="preserve">The Crime section</w:t>
              </w:r>
            </w:hyperlink>
            <w:r>
              <w:rPr>
                <w:b w:val="0"/>
                <w:i w:val="0"/>
              </w:rPr>
              <w:t xml:space="preserve"> covers the theft. </w:t>
            </w:r>
            <w:hyperlink w:anchor="c_imi_section_pl">
              <w:r>
                <w:rPr>
                  <w:color w:val="2E5C4E"/>
                  <w:u w:val="single"/>
                </w:rPr>
                <w:t xml:space="preserve">The Professional Liability section</w:t>
              </w:r>
            </w:hyperlink>
            <w:r>
              <w:rPr>
                <w:b w:val="0"/>
                <w:i w:val="0"/>
              </w:rPr>
              <w:t xml:space="preserve"> covers the investor's negligent supervision claim. Both respond.</w:t>
            </w:r>
          </w:p>
        </w:tc>
      </w:tr>
      <w:tr>
        <w:tc>
          <w:tcPr>
            <w:tcW w:type="dxa" w:w="3249"/>
          </w:tcPr>
          <w:p>
            <w:r/>
            <w:r>
              <w:rPr>
                <w:b w:val="0"/>
                <w:i w:val="0"/>
              </w:rPr>
              <w:t>AFCA complaint about advice quality. Who pays?</w:t>
            </w:r>
          </w:p>
        </w:tc>
        <w:tc>
          <w:tcPr>
            <w:tcW w:type="dxa" w:w="3249"/>
          </w:tcPr>
          <w:p>
            <w:r/>
            <w:r>
              <w:rPr>
                <w:b w:val="0"/>
                <w:i w:val="0"/>
              </w:rPr>
              <w:t>May fall between PI and D&amp;O.</w:t>
            </w:r>
          </w:p>
        </w:tc>
        <w:tc>
          <w:tcPr>
            <w:tcW w:type="dxa" w:w="3249"/>
          </w:tcPr>
          <w:p>
            <w:r/>
            <w:hyperlink w:anchor="c_imi_cover_afca_complaints">
              <w:r>
                <w:rPr>
                  <w:color w:val="2E5C4E"/>
                  <w:u w:val="single"/>
                </w:rPr>
                <w:t xml:space="preserve">The AFCA Complaints clause</w:t>
              </w:r>
            </w:hyperlink>
            <w:r>
              <w:rPr>
                <w:b w:val="0"/>
                <w:i w:val="0"/>
              </w:rPr>
              <w:t xml:space="preserve"> explicitly covers AFCA complaints.</w:t>
            </w:r>
          </w:p>
        </w:tc>
      </w:tr>
    </w:tbl>
    <w:p>
      <w:bookmarkStart w:id="121" w:name="c_imi_guide_regulatory_obligations"/>
      <w:r>
        <w:rPr>
          <w:rFonts w:ascii="Georgia" w:hAnsi="Georgia" w:eastAsia="Georgia"/>
          <w:b/>
          <w:i w:val="0"/>
          <w:color w:val="1C1915"/>
          <w:sz w:val="32"/>
        </w:rPr>
        <w:t>Key regulatory obligations for investment managers</w:t>
      </w:r>
      <w:bookmarkEnd w:id="121"/>
    </w:p>
    <w:tbl>
      <w:tblPr>
        <w:tblStyle w:val="TableGrid"/>
        <w:tblW w:type="auto" w:w="0"/>
        <w:tblLook w:firstColumn="1" w:firstRow="1" w:lastColumn="0" w:lastRow="0" w:noHBand="0" w:noVBand="1" w:val="04A0"/>
      </w:tblPr>
      <w:tblGrid>
        <w:gridCol w:w="3249"/>
        <w:gridCol w:w="3249"/>
        <w:gridCol w:w="3249"/>
      </w:tblGrid>
      <w:tr>
        <w:tc>
          <w:tcPr>
            <w:tcW w:type="dxa" w:w="3249"/>
          </w:tcPr>
          <w:p>
            <w:r/>
            <w:r>
              <w:rPr>
                <w:b/>
                <w:i w:val="0"/>
              </w:rPr>
              <w:t>Obligation</w:t>
            </w:r>
          </w:p>
        </w:tc>
        <w:tc>
          <w:tcPr>
            <w:tcW w:type="dxa" w:w="3249"/>
          </w:tcPr>
          <w:p>
            <w:r/>
            <w:r>
              <w:rPr>
                <w:b/>
                <w:i w:val="0"/>
              </w:rPr>
              <w:t>Source</w:t>
            </w:r>
          </w:p>
        </w:tc>
        <w:tc>
          <w:tcPr>
            <w:tcW w:type="dxa" w:w="3249"/>
          </w:tcPr>
          <w:p>
            <w:r/>
            <w:r>
              <w:rPr>
                <w:b/>
                <w:i w:val="0"/>
              </w:rPr>
              <w:t>How this policy helps</w:t>
            </w:r>
          </w:p>
        </w:tc>
      </w:tr>
      <w:tr>
        <w:tc>
          <w:tcPr>
            <w:tcW w:type="dxa" w:w="3249"/>
          </w:tcPr>
          <w:p>
            <w:r/>
            <w:r>
              <w:rPr>
                <w:b w:val="0"/>
                <w:i w:val="0"/>
              </w:rPr>
              <w:t>Best interests duty</w:t>
            </w:r>
          </w:p>
        </w:tc>
        <w:tc>
          <w:tcPr>
            <w:tcW w:type="dxa" w:w="3249"/>
          </w:tcPr>
          <w:p>
            <w:r/>
            <w:r>
              <w:rPr>
                <w:b w:val="0"/>
                <w:i w:val="0"/>
              </w:rPr>
              <w:t>s 961B Corporations Act</w:t>
            </w:r>
          </w:p>
        </w:tc>
        <w:tc>
          <w:tcPr>
            <w:tcW w:type="dxa" w:w="3249"/>
          </w:tcPr>
          <w:p>
            <w:r/>
            <w:hyperlink w:anchor="c_imi_section_pl">
              <w:r>
                <w:rPr>
                  <w:color w:val="2E5C4E"/>
                  <w:u w:val="single"/>
                </w:rPr>
                <w:t xml:space="preserve">The Professional Liability section</w:t>
              </w:r>
            </w:hyperlink>
            <w:r>
              <w:rPr>
                <w:b w:val="0"/>
                <w:i w:val="0"/>
              </w:rPr>
              <w:t xml:space="preserve"> covers claims alleging breach</w:t>
            </w:r>
          </w:p>
        </w:tc>
      </w:tr>
      <w:tr>
        <w:tc>
          <w:tcPr>
            <w:tcW w:type="dxa" w:w="3249"/>
          </w:tcPr>
          <w:p>
            <w:r/>
            <w:r>
              <w:rPr>
                <w:b w:val="0"/>
                <w:i w:val="0"/>
              </w:rPr>
              <w:t>Responsible entity duties</w:t>
            </w:r>
          </w:p>
        </w:tc>
        <w:tc>
          <w:tcPr>
            <w:tcW w:type="dxa" w:w="3249"/>
          </w:tcPr>
          <w:p>
            <w:r/>
            <w:r>
              <w:rPr>
                <w:b w:val="0"/>
                <w:i w:val="0"/>
              </w:rPr>
              <w:t>Chapter 5C Corporations Act</w:t>
            </w:r>
          </w:p>
        </w:tc>
        <w:tc>
          <w:tcPr>
            <w:tcW w:type="dxa" w:w="3249"/>
          </w:tcPr>
          <w:p>
            <w:r/>
            <w:hyperlink w:anchor="c_imi_section_pl">
              <w:r>
                <w:rPr>
                  <w:color w:val="2E5C4E"/>
                  <w:u w:val="single"/>
                </w:rPr>
                <w:t xml:space="preserve">The Professional Liability section</w:t>
              </w:r>
            </w:hyperlink>
            <w:r>
              <w:rPr>
                <w:b w:val="0"/>
                <w:i w:val="0"/>
              </w:rPr>
              <w:t xml:space="preserve"> — fiduciary duty cover</w:t>
            </w:r>
          </w:p>
        </w:tc>
      </w:tr>
      <w:tr>
        <w:tc>
          <w:tcPr>
            <w:tcW w:type="dxa" w:w="3249"/>
          </w:tcPr>
          <w:p>
            <w:r/>
            <w:r>
              <w:rPr>
                <w:b w:val="0"/>
                <w:i w:val="0"/>
              </w:rPr>
              <w:t>Best financial interests (super)</w:t>
            </w:r>
          </w:p>
        </w:tc>
        <w:tc>
          <w:tcPr>
            <w:tcW w:type="dxa" w:w="3249"/>
          </w:tcPr>
          <w:p>
            <w:r/>
            <w:r>
              <w:rPr>
                <w:b w:val="0"/>
                <w:i w:val="0"/>
              </w:rPr>
              <w:t>s 52(2)(c) SIS Act</w:t>
            </w:r>
          </w:p>
        </w:tc>
        <w:tc>
          <w:tcPr>
            <w:tcW w:type="dxa" w:w="3249"/>
          </w:tcPr>
          <w:p>
            <w:r/>
            <w:hyperlink w:anchor="c_imi_cover_financial_services_liability">
              <w:r>
                <w:rPr>
                  <w:color w:val="2E5C4E"/>
                  <w:u w:val="single"/>
                </w:rPr>
                <w:t xml:space="preserve">The Financial Services Liability clause</w:t>
              </w:r>
            </w:hyperlink>
            <w:r>
              <w:rPr>
                <w:b w:val="0"/>
                <w:i w:val="0"/>
              </w:rPr>
              <w:t>(vii) — express coverage</w:t>
            </w:r>
          </w:p>
        </w:tc>
      </w:tr>
      <w:tr>
        <w:tc>
          <w:tcPr>
            <w:tcW w:type="dxa" w:w="3249"/>
          </w:tcPr>
          <w:p>
            <w:r/>
            <w:r>
              <w:rPr>
                <w:b w:val="0"/>
                <w:i w:val="0"/>
              </w:rPr>
              <w:t>Design and distribution</w:t>
            </w:r>
          </w:p>
        </w:tc>
        <w:tc>
          <w:tcPr>
            <w:tcW w:type="dxa" w:w="3249"/>
          </w:tcPr>
          <w:p>
            <w:r/>
            <w:r>
              <w:rPr>
                <w:b w:val="0"/>
                <w:i w:val="0"/>
              </w:rPr>
              <w:t>Part 7.8A Corporations Act</w:t>
            </w:r>
          </w:p>
        </w:tc>
        <w:tc>
          <w:tcPr>
            <w:tcW w:type="dxa" w:w="3249"/>
          </w:tcPr>
          <w:p>
            <w:r/>
            <w:hyperlink w:anchor="c_imi_section_pl">
              <w:r>
                <w:rPr>
                  <w:color w:val="2E5C4E"/>
                  <w:u w:val="single"/>
                </w:rPr>
                <w:t xml:space="preserve">The Professional Liability section</w:t>
              </w:r>
            </w:hyperlink>
            <w:r>
              <w:rPr>
                <w:b w:val="0"/>
                <w:i w:val="0"/>
              </w:rPr>
              <w:t xml:space="preserve"> — DDO coverage including ASIC enforcement</w:t>
            </w:r>
          </w:p>
        </w:tc>
      </w:tr>
      <w:tr>
        <w:tc>
          <w:tcPr>
            <w:tcW w:type="dxa" w:w="3249"/>
          </w:tcPr>
          <w:p>
            <w:r/>
            <w:r>
              <w:rPr>
                <w:b w:val="0"/>
                <w:i w:val="0"/>
              </w:rPr>
              <w:t>FAR accountability</w:t>
            </w:r>
          </w:p>
        </w:tc>
        <w:tc>
          <w:tcPr>
            <w:tcW w:type="dxa" w:w="3249"/>
          </w:tcPr>
          <w:p>
            <w:r/>
            <w:r>
              <w:rPr>
                <w:b w:val="0"/>
                <w:i w:val="0"/>
              </w:rPr>
              <w:t>FAR Act 2023</w:t>
            </w:r>
          </w:p>
        </w:tc>
        <w:tc>
          <w:tcPr>
            <w:tcW w:type="dxa" w:w="3249"/>
          </w:tcPr>
          <w:p>
            <w:r/>
            <w:hyperlink w:anchor="c_imi_ext_far_proceeding_costs">
              <w:r>
                <w:rPr>
                  <w:color w:val="2E5C4E"/>
                  <w:u w:val="single"/>
                </w:rPr>
                <w:t xml:space="preserve">The FAR Proceeding Costs extension</w:t>
              </w:r>
            </w:hyperlink>
            <w:r>
              <w:rPr>
                <w:b w:val="0"/>
                <w:i w:val="0"/>
              </w:rPr>
              <w:t xml:space="preserve"> — FAR proceeding costs + deferred remuneration</w:t>
            </w:r>
          </w:p>
        </w:tc>
      </w:tr>
      <w:tr>
        <w:tc>
          <w:tcPr>
            <w:tcW w:type="dxa" w:w="3249"/>
          </w:tcPr>
          <w:p>
            <w:r/>
            <w:r>
              <w:rPr>
                <w:b w:val="0"/>
                <w:i w:val="0"/>
              </w:rPr>
              <w:t>AML/CTF compliance</w:t>
            </w:r>
          </w:p>
        </w:tc>
        <w:tc>
          <w:tcPr>
            <w:tcW w:type="dxa" w:w="3249"/>
          </w:tcPr>
          <w:p>
            <w:r/>
            <w:r>
              <w:rPr>
                <w:b w:val="0"/>
                <w:i w:val="0"/>
              </w:rPr>
              <w:t>AML/CTF Act 2006</w:t>
            </w:r>
          </w:p>
        </w:tc>
        <w:tc>
          <w:tcPr>
            <w:tcW w:type="dxa" w:w="3249"/>
          </w:tcPr>
          <w:p>
            <w:r/>
            <w:hyperlink w:anchor="c_imi_cover_financial_services_liability">
              <w:r>
                <w:rPr>
                  <w:color w:val="2E5C4E"/>
                  <w:u w:val="single"/>
                </w:rPr>
                <w:t xml:space="preserve">The Financial Services Liability clause</w:t>
              </w:r>
            </w:hyperlink>
            <w:r>
              <w:rPr>
                <w:b w:val="0"/>
                <w:i w:val="0"/>
              </w:rPr>
              <w:t>(ix) — AUSTRAC investigations</w:t>
            </w:r>
          </w:p>
        </w:tc>
      </w:tr>
      <w:tr>
        <w:tc>
          <w:tcPr>
            <w:tcW w:type="dxa" w:w="3249"/>
          </w:tcPr>
          <w:p>
            <w:r/>
            <w:r>
              <w:rPr>
                <w:b w:val="0"/>
                <w:i w:val="0"/>
              </w:rPr>
              <w:t>Continuous disclosure (listed funds)</w:t>
            </w:r>
          </w:p>
        </w:tc>
        <w:tc>
          <w:tcPr>
            <w:tcW w:type="dxa" w:w="3249"/>
          </w:tcPr>
          <w:p>
            <w:r/>
            <w:r>
              <w:rPr>
                <w:b w:val="0"/>
                <w:i w:val="0"/>
              </w:rPr>
              <w:t>ASX Listing Rules / s 674</w:t>
            </w:r>
          </w:p>
        </w:tc>
        <w:tc>
          <w:tcPr>
            <w:tcW w:type="dxa" w:w="3249"/>
          </w:tcPr>
          <w:p>
            <w:r/>
            <w:hyperlink w:anchor="c_imi_section_pl">
              <w:r>
                <w:rPr>
                  <w:color w:val="2E5C4E"/>
                  <w:u w:val="single"/>
                </w:rPr>
                <w:t xml:space="preserve">The Professional Liability section</w:t>
              </w:r>
            </w:hyperlink>
            <w:r>
              <w:rPr>
                <w:b w:val="0"/>
                <w:i w:val="0"/>
              </w:rPr>
              <w:t xml:space="preserve"> — continuous disclosure breach</w:t>
            </w:r>
          </w:p>
        </w:tc>
      </w:tr>
      <w:tr>
        <w:tc>
          <w:tcPr>
            <w:tcW w:type="dxa" w:w="3249"/>
          </w:tcPr>
          <w:p>
            <w:r/>
            <w:r>
              <w:rPr>
                <w:b w:val="0"/>
                <w:i w:val="0"/>
              </w:rPr>
              <w:t>Unit pricing and valuations</w:t>
            </w:r>
          </w:p>
        </w:tc>
        <w:tc>
          <w:tcPr>
            <w:tcW w:type="dxa" w:w="3249"/>
          </w:tcPr>
          <w:p>
            <w:r/>
            <w:r>
              <w:rPr>
                <w:b w:val="0"/>
                <w:i w:val="0"/>
              </w:rPr>
              <w:t>ASIC RG 134</w:t>
            </w:r>
          </w:p>
        </w:tc>
        <w:tc>
          <w:tcPr>
            <w:tcW w:type="dxa" w:w="3249"/>
          </w:tcPr>
          <w:p>
            <w:r/>
            <w:hyperlink w:anchor="c_imi_section_pl">
              <w:r>
                <w:rPr>
                  <w:color w:val="2E5C4E"/>
                  <w:u w:val="single"/>
                </w:rPr>
                <w:t xml:space="preserve">The Professional Liability section</w:t>
              </w:r>
            </w:hyperlink>
            <w:r>
              <w:rPr>
                <w:b w:val="0"/>
                <w:i w:val="0"/>
              </w:rPr>
              <w:t xml:space="preserve"> — errors in unit pricing</w:t>
            </w:r>
          </w:p>
        </w:tc>
      </w:tr>
    </w:tbl>
    <w:p>
      <w:bookmarkStart w:id="122" w:name="c_imi_endorsement_library"/>
      <w:r>
        <w:rPr>
          <w:rFonts w:ascii="Georgia" w:hAnsi="Georgia" w:eastAsia="Georgia"/>
          <w:b/>
          <w:i w:val="0"/>
          <w:color w:val="1C1915"/>
          <w:sz w:val="32"/>
        </w:rPr>
        <w:t>Endorsement Library</w:t>
      </w:r>
      <w:bookmarkEnd w:id="122"/>
    </w:p>
    <w:p>
      <w:r>
        <w:rPr>
          <w:b w:val="0"/>
          <w:i w:val="0"/>
        </w:rPr>
        <w:t>An endorsement applies only if its code is shown in the schedule. Each endorsement changes this policy only as it states, and is read together with the variables (sub-limits, excesses, periods, named sections, funds and parties) shown for it in the schedule. Where an endorsement and the rest of this policy conflict, the endorsement applies to the extent of the conflict. If a variable an endorsement needs is not shown in the schedule, the endorsement does not apply until we show the variable in the schedule. These endorsements are for use with version 1.3.x of this wording.</w:t>
      </w:r>
    </w:p>
    <w:tbl>
      <w:tblPr>
        <w:tblStyle w:val="TableGrid"/>
        <w:tblW w:type="auto" w:w="0"/>
        <w:tblLook w:firstColumn="1" w:firstRow="1" w:lastColumn="0" w:lastRow="0" w:noHBand="0" w:noVBand="1" w:val="04A0"/>
      </w:tblPr>
      <w:tblGrid>
        <w:gridCol w:w="3249"/>
        <w:gridCol w:w="3249"/>
        <w:gridCol w:w="3249"/>
      </w:tblGrid>
      <w:tr>
        <w:tc>
          <w:tcPr>
            <w:tcW w:type="dxa" w:w="3249"/>
          </w:tcPr>
          <w:p>
            <w:r/>
            <w:r>
              <w:rPr>
                <w:b w:val="0"/>
                <w:i w:val="0"/>
              </w:rPr>
              <w:t>Code</w:t>
            </w:r>
          </w:p>
        </w:tc>
        <w:tc>
          <w:tcPr>
            <w:tcW w:type="dxa" w:w="3249"/>
          </w:tcPr>
          <w:p>
            <w:r/>
            <w:r>
              <w:rPr>
                <w:b w:val="0"/>
                <w:i w:val="0"/>
              </w:rPr>
              <w:t>Endorsement</w:t>
            </w:r>
          </w:p>
        </w:tc>
        <w:tc>
          <w:tcPr>
            <w:tcW w:type="dxa" w:w="3249"/>
          </w:tcPr>
          <w:p>
            <w:r/>
            <w:r>
              <w:rPr>
                <w:b w:val="0"/>
                <w:i w:val="0"/>
              </w:rPr>
              <w:t>Effect</w:t>
            </w:r>
          </w:p>
        </w:tc>
      </w:tr>
      <w:tr>
        <w:tc>
          <w:tcPr>
            <w:tcW w:type="dxa" w:w="3249"/>
          </w:tcPr>
          <w:p>
            <w:r/>
            <w:r>
              <w:rPr>
                <w:b w:val="0"/>
                <w:i w:val="0"/>
              </w:rPr>
              <w:t>E01</w:t>
            </w:r>
          </w:p>
        </w:tc>
        <w:tc>
          <w:tcPr>
            <w:tcW w:type="dxa" w:w="3249"/>
          </w:tcPr>
          <w:p>
            <w:r/>
            <w:r>
              <w:rPr>
                <w:b w:val="0"/>
                <w:i w:val="0"/>
              </w:rPr>
              <w:t>US and Canada Jurisdiction Extension</w:t>
            </w:r>
          </w:p>
        </w:tc>
        <w:tc>
          <w:tcPr>
            <w:tcW w:type="dxa" w:w="3249"/>
          </w:tcPr>
          <w:p>
            <w:r/>
            <w:r>
              <w:rPr>
                <w:b w:val="0"/>
                <w:i w:val="0"/>
              </w:rPr>
              <w:t>Writes back the US / Canada Jurisdiction exclusion for the sections and subsidiaries named</w:t>
            </w:r>
          </w:p>
        </w:tc>
      </w:tr>
      <w:tr>
        <w:tc>
          <w:tcPr>
            <w:tcW w:type="dxa" w:w="3249"/>
          </w:tcPr>
          <w:p>
            <w:r/>
            <w:r>
              <w:rPr>
                <w:b w:val="0"/>
                <w:i w:val="0"/>
              </w:rPr>
              <w:t>E02</w:t>
            </w:r>
          </w:p>
        </w:tc>
        <w:tc>
          <w:tcPr>
            <w:tcW w:type="dxa" w:w="3249"/>
          </w:tcPr>
          <w:p>
            <w:r/>
            <w:r>
              <w:rPr>
                <w:b w:val="0"/>
                <w:i w:val="0"/>
              </w:rPr>
              <w:t>Superannuation Trustee — Enhanced</w:t>
            </w:r>
          </w:p>
        </w:tc>
        <w:tc>
          <w:tcPr>
            <w:tcW w:type="dxa" w:w="3249"/>
          </w:tcPr>
          <w:p>
            <w:r/>
            <w:r>
              <w:rPr>
                <w:b w:val="0"/>
                <w:i w:val="0"/>
              </w:rPr>
              <w:t>Extends the superannuation cover for RSE licensees</w:t>
            </w:r>
          </w:p>
        </w:tc>
      </w:tr>
      <w:tr>
        <w:tc>
          <w:tcPr>
            <w:tcW w:type="dxa" w:w="3249"/>
          </w:tcPr>
          <w:p>
            <w:r/>
            <w:r>
              <w:rPr>
                <w:b w:val="0"/>
                <w:i w:val="0"/>
              </w:rPr>
              <w:t>E03</w:t>
            </w:r>
          </w:p>
        </w:tc>
        <w:tc>
          <w:tcPr>
            <w:tcW w:type="dxa" w:w="3249"/>
          </w:tcPr>
          <w:p>
            <w:r/>
            <w:r>
              <w:rPr>
                <w:b w:val="0"/>
                <w:i w:val="0"/>
              </w:rPr>
              <w:t>Responsible Entity — Enhanced</w:t>
            </w:r>
          </w:p>
        </w:tc>
        <w:tc>
          <w:tcPr>
            <w:tcW w:type="dxa" w:w="3249"/>
          </w:tcPr>
          <w:p>
            <w:r/>
            <w:r>
              <w:rPr>
                <w:b w:val="0"/>
                <w:i w:val="0"/>
              </w:rPr>
              <w:t>Extends the cover for responsible entity duties, continuous disclosure and related party transactions</w:t>
            </w:r>
          </w:p>
        </w:tc>
      </w:tr>
      <w:tr>
        <w:tc>
          <w:tcPr>
            <w:tcW w:type="dxa" w:w="3249"/>
          </w:tcPr>
          <w:p>
            <w:r/>
            <w:r>
              <w:rPr>
                <w:b w:val="0"/>
                <w:i w:val="0"/>
              </w:rPr>
              <w:t>E04</w:t>
            </w:r>
          </w:p>
        </w:tc>
        <w:tc>
          <w:tcPr>
            <w:tcW w:type="dxa" w:w="3249"/>
          </w:tcPr>
          <w:p>
            <w:r/>
            <w:r>
              <w:rPr>
                <w:b w:val="0"/>
                <w:i w:val="0"/>
              </w:rPr>
              <w:t>Alternative Strategies</w:t>
            </w:r>
          </w:p>
        </w:tc>
        <w:tc>
          <w:tcPr>
            <w:tcW w:type="dxa" w:w="3249"/>
          </w:tcPr>
          <w:p>
            <w:r/>
            <w:r>
              <w:rPr>
                <w:b w:val="0"/>
                <w:i w:val="0"/>
              </w:rPr>
              <w:t>Extends the cover for performance-fee clawback, side pockets, gates and redemption suspension</w:t>
            </w:r>
          </w:p>
        </w:tc>
      </w:tr>
      <w:tr>
        <w:tc>
          <w:tcPr>
            <w:tcW w:type="dxa" w:w="3249"/>
          </w:tcPr>
          <w:p>
            <w:r/>
            <w:r>
              <w:rPr>
                <w:b w:val="0"/>
                <w:i w:val="0"/>
              </w:rPr>
              <w:t>E05</w:t>
            </w:r>
          </w:p>
        </w:tc>
        <w:tc>
          <w:tcPr>
            <w:tcW w:type="dxa" w:w="3249"/>
          </w:tcPr>
          <w:p>
            <w:r/>
            <w:r>
              <w:rPr>
                <w:b w:val="0"/>
                <w:i w:val="0"/>
              </w:rPr>
              <w:t>Custodian Failure — Enhanced</w:t>
            </w:r>
          </w:p>
        </w:tc>
        <w:tc>
          <w:tcPr>
            <w:tcW w:type="dxa" w:w="3249"/>
          </w:tcPr>
          <w:p>
            <w:r/>
            <w:r>
              <w:rPr>
                <w:b w:val="0"/>
                <w:i w:val="0"/>
              </w:rPr>
              <w:t>Covers claims arising from custodian insolvency or commingling of fund assets, to a sub-limit</w:t>
            </w:r>
          </w:p>
        </w:tc>
      </w:tr>
      <w:tr>
        <w:tc>
          <w:tcPr>
            <w:tcW w:type="dxa" w:w="3249"/>
          </w:tcPr>
          <w:p>
            <w:r/>
            <w:r>
              <w:rPr>
                <w:b w:val="0"/>
                <w:i w:val="0"/>
              </w:rPr>
              <w:t>E06</w:t>
            </w:r>
          </w:p>
        </w:tc>
        <w:tc>
          <w:tcPr>
            <w:tcW w:type="dxa" w:w="3249"/>
          </w:tcPr>
          <w:p>
            <w:r/>
            <w:r>
              <w:rPr>
                <w:b w:val="0"/>
                <w:i w:val="0"/>
              </w:rPr>
              <w:t>ESG and Greenwashing</w:t>
            </w:r>
          </w:p>
        </w:tc>
        <w:tc>
          <w:tcPr>
            <w:tcW w:type="dxa" w:w="3249"/>
          </w:tcPr>
          <w:p>
            <w:r/>
            <w:r>
              <w:rPr>
                <w:b w:val="0"/>
                <w:i w:val="0"/>
              </w:rPr>
              <w:t>Extends the cover for claims about sustainability-related statements and disclosures</w:t>
            </w:r>
          </w:p>
        </w:tc>
      </w:tr>
      <w:tr>
        <w:tc>
          <w:tcPr>
            <w:tcW w:type="dxa" w:w="3249"/>
          </w:tcPr>
          <w:p>
            <w:r/>
            <w:r>
              <w:rPr>
                <w:b w:val="0"/>
                <w:i w:val="0"/>
              </w:rPr>
              <w:t>E07</w:t>
            </w:r>
          </w:p>
        </w:tc>
        <w:tc>
          <w:tcPr>
            <w:tcW w:type="dxa" w:w="3249"/>
          </w:tcPr>
          <w:p>
            <w:r/>
            <w:r>
              <w:rPr>
                <w:b w:val="0"/>
                <w:i w:val="0"/>
              </w:rPr>
              <w:t>Defence Costs in Addition to the Limit</w:t>
            </w:r>
          </w:p>
        </w:tc>
        <w:tc>
          <w:tcPr>
            <w:tcW w:type="dxa" w:w="3249"/>
          </w:tcPr>
          <w:p>
            <w:r/>
            <w:r>
              <w:rPr>
                <w:b w:val="0"/>
                <w:i w:val="0"/>
              </w:rPr>
              <w:t>Pays defence costs in addition to the limit of liability, to a separate defence costs limit</w:t>
            </w:r>
          </w:p>
        </w:tc>
      </w:tr>
      <w:tr>
        <w:tc>
          <w:tcPr>
            <w:tcW w:type="dxa" w:w="3249"/>
          </w:tcPr>
          <w:p>
            <w:r/>
            <w:r>
              <w:rPr>
                <w:b w:val="0"/>
                <w:i w:val="0"/>
              </w:rPr>
              <w:t>E08</w:t>
            </w:r>
          </w:p>
        </w:tc>
        <w:tc>
          <w:tcPr>
            <w:tcW w:type="dxa" w:w="3249"/>
          </w:tcPr>
          <w:p>
            <w:r/>
            <w:r>
              <w:rPr>
                <w:b w:val="0"/>
                <w:i w:val="0"/>
              </w:rPr>
              <w:t>Extended Reporting Period</w:t>
            </w:r>
          </w:p>
        </w:tc>
        <w:tc>
          <w:tcPr>
            <w:tcW w:type="dxa" w:w="3249"/>
          </w:tcPr>
          <w:p>
            <w:r/>
            <w:r>
              <w:rPr>
                <w:b w:val="0"/>
                <w:i w:val="0"/>
              </w:rPr>
              <w:t>Sets a purchased extended reporting period of 12, 24, 36 or 72 months for the liability sections</w:t>
            </w:r>
          </w:p>
        </w:tc>
      </w:tr>
      <w:tr>
        <w:tc>
          <w:tcPr>
            <w:tcW w:type="dxa" w:w="3249"/>
          </w:tcPr>
          <w:p>
            <w:r/>
            <w:r>
              <w:rPr>
                <w:b w:val="0"/>
                <w:i w:val="0"/>
              </w:rPr>
              <w:t>E09</w:t>
            </w:r>
          </w:p>
        </w:tc>
        <w:tc>
          <w:tcPr>
            <w:tcW w:type="dxa" w:w="3249"/>
          </w:tcPr>
          <w:p>
            <w:r/>
            <w:r>
              <w:rPr>
                <w:b w:val="0"/>
                <w:i w:val="0"/>
              </w:rPr>
              <w:t>Run-off Following Change of Control or Cessation of AFSL</w:t>
            </w:r>
          </w:p>
        </w:tc>
        <w:tc>
          <w:tcPr>
            <w:tcW w:type="dxa" w:w="3249"/>
          </w:tcPr>
          <w:p>
            <w:r/>
            <w:r>
              <w:rPr>
                <w:b w:val="0"/>
                <w:i w:val="0"/>
              </w:rPr>
              <w:t>Gives run-off cover for wrongful acts before a change of control or the cessation of the AFSL</w:t>
            </w:r>
          </w:p>
        </w:tc>
      </w:tr>
      <w:tr>
        <w:tc>
          <w:tcPr>
            <w:tcW w:type="dxa" w:w="3249"/>
          </w:tcPr>
          <w:p>
            <w:r/>
            <w:r>
              <w:rPr>
                <w:b w:val="0"/>
                <w:i w:val="0"/>
              </w:rPr>
              <w:t>E10</w:t>
            </w:r>
          </w:p>
        </w:tc>
        <w:tc>
          <w:tcPr>
            <w:tcW w:type="dxa" w:w="3249"/>
          </w:tcPr>
          <w:p>
            <w:r/>
            <w:r>
              <w:rPr>
                <w:b w:val="0"/>
                <w:i w:val="0"/>
              </w:rPr>
              <w:t>Prospectus and PDS Liability — Enhanced</w:t>
            </w:r>
          </w:p>
        </w:tc>
        <w:tc>
          <w:tcPr>
            <w:tcW w:type="dxa" w:w="3249"/>
          </w:tcPr>
          <w:p>
            <w:r/>
            <w:r>
              <w:rPr>
                <w:b w:val="0"/>
                <w:i w:val="0"/>
              </w:rPr>
              <w:t>Extends the cover for claims about disclosure documents for the offers named</w:t>
            </w:r>
          </w:p>
        </w:tc>
      </w:tr>
      <w:tr>
        <w:tc>
          <w:tcPr>
            <w:tcW w:type="dxa" w:w="3249"/>
          </w:tcPr>
          <w:p>
            <w:r/>
            <w:r>
              <w:rPr>
                <w:b w:val="0"/>
                <w:i w:val="0"/>
              </w:rPr>
              <w:t>E11</w:t>
            </w:r>
          </w:p>
        </w:tc>
        <w:tc>
          <w:tcPr>
            <w:tcW w:type="dxa" w:w="3249"/>
          </w:tcPr>
          <w:p>
            <w:r/>
            <w:r>
              <w:rPr>
                <w:b w:val="0"/>
                <w:i w:val="0"/>
              </w:rPr>
              <w:t>Excess Layer</w:t>
            </w:r>
          </w:p>
        </w:tc>
        <w:tc>
          <w:tcPr>
            <w:tcW w:type="dxa" w:w="3249"/>
          </w:tcPr>
          <w:p>
            <w:r/>
            <w:r>
              <w:rPr>
                <w:b w:val="0"/>
                <w:i w:val="0"/>
              </w:rPr>
              <w:t>Attaches this policy excess of an underlying limit shown in the schedule</w:t>
            </w:r>
          </w:p>
        </w:tc>
      </w:tr>
      <w:tr>
        <w:tc>
          <w:tcPr>
            <w:tcW w:type="dxa" w:w="3249"/>
          </w:tcPr>
          <w:p>
            <w:r/>
            <w:r>
              <w:rPr>
                <w:b w:val="0"/>
                <w:i w:val="0"/>
              </w:rPr>
              <w:t>E12</w:t>
            </w:r>
          </w:p>
        </w:tc>
        <w:tc>
          <w:tcPr>
            <w:tcW w:type="dxa" w:w="3249"/>
          </w:tcPr>
          <w:p>
            <w:r/>
            <w:r>
              <w:rPr>
                <w:b w:val="0"/>
                <w:i w:val="0"/>
              </w:rPr>
              <w:t>Employment Practices Liability</w:t>
            </w:r>
          </w:p>
        </w:tc>
        <w:tc>
          <w:tcPr>
            <w:tcW w:type="dxa" w:w="3249"/>
          </w:tcPr>
          <w:p>
            <w:r/>
            <w:r>
              <w:rPr>
                <w:b w:val="0"/>
                <w:i w:val="0"/>
              </w:rPr>
              <w:t>Adds cover for claims by employees about employment practices, to a separate limit</w:t>
            </w:r>
          </w:p>
        </w:tc>
      </w:tr>
      <w:tr>
        <w:tc>
          <w:tcPr>
            <w:tcW w:type="dxa" w:w="3249"/>
          </w:tcPr>
          <w:p>
            <w:r/>
            <w:r>
              <w:rPr>
                <w:b w:val="0"/>
                <w:i w:val="0"/>
              </w:rPr>
              <w:t>E13</w:t>
            </w:r>
          </w:p>
        </w:tc>
        <w:tc>
          <w:tcPr>
            <w:tcW w:type="dxa" w:w="3249"/>
          </w:tcPr>
          <w:p>
            <w:r/>
            <w:r>
              <w:rPr>
                <w:b w:val="0"/>
                <w:i w:val="0"/>
              </w:rPr>
              <w:t>Cryptocurrency and Digital Asset Fund Management</w:t>
            </w:r>
          </w:p>
        </w:tc>
        <w:tc>
          <w:tcPr>
            <w:tcW w:type="dxa" w:w="3249"/>
          </w:tcPr>
          <w:p>
            <w:r/>
            <w:r>
              <w:rPr>
                <w:b w:val="0"/>
                <w:i w:val="0"/>
              </w:rPr>
              <w:t>Sets custody, wallet-security and valuation terms for funds with material digital-asset exposure</w:t>
            </w:r>
          </w:p>
        </w:tc>
      </w:tr>
      <w:tr>
        <w:tc>
          <w:tcPr>
            <w:tcW w:type="dxa" w:w="3249"/>
          </w:tcPr>
          <w:p>
            <w:r/>
            <w:r>
              <w:rPr>
                <w:b w:val="0"/>
                <w:i w:val="0"/>
              </w:rPr>
              <w:t>E14</w:t>
            </w:r>
          </w:p>
        </w:tc>
        <w:tc>
          <w:tcPr>
            <w:tcW w:type="dxa" w:w="3249"/>
          </w:tcPr>
          <w:p>
            <w:r/>
            <w:r>
              <w:rPr>
                <w:b w:val="0"/>
                <w:i w:val="0"/>
              </w:rPr>
              <w:t>Side A Difference in Conditions</w:t>
            </w:r>
          </w:p>
        </w:tc>
        <w:tc>
          <w:tcPr>
            <w:tcW w:type="dxa" w:w="3249"/>
          </w:tcPr>
          <w:p>
            <w:r/>
            <w:r>
              <w:rPr>
                <w:b w:val="0"/>
                <w:i w:val="0"/>
              </w:rPr>
              <w:t>Gives insured persons a separate Side A limit that pays when other insurance does not</w:t>
            </w:r>
          </w:p>
        </w:tc>
      </w:tr>
    </w:tbl>
    <w:p>
      <w:bookmarkStart w:id="123" w:name="c_imi_end_e01"/>
      <w:r>
        <w:rPr>
          <w:rFonts w:ascii="Georgia" w:hAnsi="Georgia" w:eastAsia="Georgia"/>
          <w:b/>
          <w:i w:val="0"/>
          <w:color w:val="2E5C4E"/>
          <w:sz w:val="25"/>
        </w:rPr>
        <w:t>E01 US and Canada Jurisdiction Extension</w:t>
      </w:r>
      <w:bookmarkEnd w:id="123"/>
    </w:p>
    <w:p>
      <w:hyperlink w:anchor="c_imi_excl_us_canada_jurisdiction">
        <w:r>
          <w:rPr>
            <w:color w:val="2E5C4E"/>
            <w:u w:val="single"/>
          </w:rPr>
          <w:t xml:space="preserve">The US / Canada Jurisdiction exclusion</w:t>
        </w:r>
      </w:hyperlink>
      <w:r>
        <w:rPr>
          <w:b w:val="0"/>
          <w:i w:val="0"/>
        </w:rPr>
        <w:t xml:space="preserve"> does not apply to claims brought or maintained in the United States of America or Canada, but only for the sections and subsidiaries shown in the schedule for this endorsement, and only for wrongful acts committed on or after the retroactive date.</w:t>
      </w:r>
    </w:p>
    <w:p>
      <w:r>
        <w:rPr>
          <w:b w:val="0"/>
          <w:i w:val="0"/>
        </w:rPr>
        <w:t>Defence costs for those claims are included within the limit of liability and reduce it, unless Endorsement E07 is operative. Any sub-limit shown in the schedule for this endorsement is the most we will pay for all claims brought or maintained in the United States of America or Canada. It forms part of, and is not in addition to, the limit of liability for the section. Any additional excess shown in the schedule applies to those claims in place of the excess otherwise shown.</w:t>
      </w:r>
    </w:p>
    <w:p>
      <w:r>
        <w:rPr>
          <w:b w:val="0"/>
          <w:i w:val="0"/>
        </w:rPr>
        <w:t>This endorsement does not cover fines, penalties, or punitive, exemplary or multiplied damages that are not insurable at law. [WP REVIEW: whether punitive and exemplary damages awarded in the United States should be excluded outright or only to the extent uninsurable in the jurisdiction of the award]</w:t>
      </w:r>
    </w:p>
    <w:p>
      <w:r>
        <w:rPr>
          <w:b w:val="0"/>
          <w:i w:val="0"/>
        </w:rPr>
        <w:t>Schedule variables: sections and subsidiaries; sub-limit (optional); additional excess (optional).</w:t>
      </w:r>
    </w:p>
    <w:p>
      <w:bookmarkStart w:id="124" w:name="c_imi_end_e02"/>
      <w:r>
        <w:rPr>
          <w:rFonts w:ascii="Georgia" w:hAnsi="Georgia" w:eastAsia="Georgia"/>
          <w:b/>
          <w:i w:val="0"/>
          <w:color w:val="2E5C4E"/>
          <w:sz w:val="25"/>
        </w:rPr>
        <w:t>E02 Superannuation Trustee — Enhanced</w:t>
      </w:r>
      <w:bookmarkEnd w:id="124"/>
    </w:p>
    <w:p>
      <w:r>
        <w:rPr>
          <w:b w:val="0"/>
          <w:i w:val="0"/>
        </w:rPr>
        <w:t xml:space="preserve">This endorsement applies only if the schedule shows an RSE licence number. </w:t>
      </w:r>
      <w:hyperlink w:anchor="c_imi_cover_financial_services_liability">
        <w:r>
          <w:rPr>
            <w:color w:val="2E5C4E"/>
            <w:u w:val="single"/>
          </w:rPr>
          <w:t xml:space="preserve">The Financial Services Liability clause</w:t>
        </w:r>
      </w:hyperlink>
      <w:r>
        <w:rPr>
          <w:b w:val="0"/>
          <w:i w:val="0"/>
        </w:rPr>
        <w:t xml:space="preserve"> extends to any actual or alleged breach by you, as trustee of a registrable superannuation entity shown in the schedule, of:</w:t>
      </w:r>
    </w:p>
    <w:p>
      <w:r>
        <w:rPr>
          <w:b w:val="0"/>
          <w:i w:val="0"/>
        </w:rPr>
        <w:t>(a) the best financial interests duty, the sole purpose test, and the other covenants and duties that apply to a trustee under the Superannuation Industry (Supervision) Act 1993 (Cth);</w:t>
      </w:r>
    </w:p>
    <w:p>
      <w:r>
        <w:rPr>
          <w:b w:val="0"/>
          <w:i w:val="0"/>
        </w:rPr>
        <w:t>(b) the obligations that apply to a MySuper product, including the annual assessment of outcomes for members and the performance test;</w:t>
      </w:r>
    </w:p>
    <w:p>
      <w:r>
        <w:rPr>
          <w:b w:val="0"/>
          <w:i w:val="0"/>
        </w:rPr>
        <w:t>(c) the obligations that apply to a choice product, including the obligations to compare and report on its performance; and</w:t>
      </w:r>
    </w:p>
    <w:p>
      <w:r>
        <w:rPr>
          <w:b w:val="0"/>
          <w:i w:val="0"/>
        </w:rPr>
        <w:t>(d) the obligations that apply on the transfer of a stapled member's account.</w:t>
      </w:r>
    </w:p>
    <w:p>
      <w:r>
        <w:rPr>
          <w:b w:val="0"/>
          <w:i w:val="0"/>
        </w:rPr>
        <w:t>Cover under this endorsement is for loss that is not paid or reimbursed from the assets of the fund. This endorsement does not cover any amount that a trustee is prohibited by law from paying or being reimbursed from the assets of a fund, or any fine or civil penalty that is not insurable at law. [WP REVIEW: the trustee indemnity and insurance restrictions in the Superannuation Industry (Supervision) Act 1993 (Cth), and whether the cover should be limited to defence costs for any civil penalty proceeding]</w:t>
      </w:r>
    </w:p>
    <w:p>
      <w:r>
        <w:rPr>
          <w:b w:val="0"/>
          <w:i w:val="0"/>
        </w:rPr>
        <w:t>Schedule variables: RSE licence number; registrable superannuation entities and MySuper products covered; sub-limit (optional).</w:t>
      </w:r>
    </w:p>
    <w:p>
      <w:bookmarkStart w:id="125" w:name="c_imi_end_e03"/>
      <w:r>
        <w:rPr>
          <w:rFonts w:ascii="Georgia" w:hAnsi="Georgia" w:eastAsia="Georgia"/>
          <w:b/>
          <w:i w:val="0"/>
          <w:color w:val="2E5C4E"/>
          <w:sz w:val="25"/>
        </w:rPr>
        <w:t>E03 Responsible Entity — Enhanced</w:t>
      </w:r>
      <w:bookmarkEnd w:id="125"/>
    </w:p>
    <w:p>
      <w:hyperlink w:anchor="c_imi_cover_financial_services_liability">
        <w:r>
          <w:rPr>
            <w:color w:val="2E5C4E"/>
            <w:u w:val="single"/>
          </w:rPr>
          <w:t xml:space="preserve">The Financial Services Liability clause</w:t>
        </w:r>
      </w:hyperlink>
      <w:r>
        <w:rPr>
          <w:b w:val="0"/>
          <w:i w:val="0"/>
        </w:rPr>
        <w:t xml:space="preserve"> extends to any actual or alleged breach by you, as responsible entity of a registered scheme shown in the schedule for this endorsement, of:</w:t>
      </w:r>
    </w:p>
    <w:p>
      <w:r>
        <w:rPr>
          <w:b w:val="0"/>
          <w:i w:val="0"/>
        </w:rPr>
        <w:t>(a) the duties of a responsible entity under Chapter 5C of the Corporations Act 2001 (Cth), including the duty to act in the best interests of members and to give priority to the interests of members over your own;</w:t>
      </w:r>
    </w:p>
    <w:p>
      <w:r>
        <w:rPr>
          <w:b w:val="0"/>
          <w:i w:val="0"/>
        </w:rPr>
        <w:t>(b) the scheme's constitution and compliance plan;</w:t>
      </w:r>
    </w:p>
    <w:p>
      <w:r>
        <w:rPr>
          <w:b w:val="0"/>
          <w:i w:val="0"/>
        </w:rPr>
        <w:t>(c) the continuous disclosure obligations that apply to a scheme that is a disclosing entity; and</w:t>
      </w:r>
    </w:p>
    <w:p>
      <w:r>
        <w:rPr>
          <w:b w:val="0"/>
          <w:i w:val="0"/>
        </w:rPr>
        <w:t>(d) the requirements that apply to a financial benefit given to you or to a related party of yours from scheme assets.</w:t>
      </w:r>
    </w:p>
    <w:p>
      <w:r>
        <w:rPr>
          <w:b w:val="0"/>
          <w:i w:val="0"/>
        </w:rPr>
        <w:t xml:space="preserve">This endorsement does not cover the return or restitution of any financial benefit that you or a related party received. </w:t>
      </w:r>
      <w:hyperlink w:anchor="c_imi_excl_personal_profit">
        <w:r>
          <w:rPr>
            <w:color w:val="2E5C4E"/>
            <w:u w:val="single"/>
          </w:rPr>
          <w:t xml:space="preserve">The Personal Profit exclusion</w:t>
        </w:r>
      </w:hyperlink>
      <w:r>
        <w:rPr>
          <w:b w:val="0"/>
          <w:i w:val="0"/>
        </w:rPr>
        <w:t xml:space="preserve"> continues to apply.</w:t>
      </w:r>
    </w:p>
    <w:p>
      <w:r>
        <w:rPr>
          <w:b w:val="0"/>
          <w:i w:val="0"/>
        </w:rPr>
        <w:t>Schedule variables: registered schemes covered; sub-limit (optional).</w:t>
      </w:r>
    </w:p>
    <w:p>
      <w:bookmarkStart w:id="126" w:name="c_imi_end_e04"/>
      <w:r>
        <w:rPr>
          <w:rFonts w:ascii="Georgia" w:hAnsi="Georgia" w:eastAsia="Georgia"/>
          <w:b/>
          <w:i w:val="0"/>
          <w:color w:val="2E5C4E"/>
          <w:sz w:val="25"/>
        </w:rPr>
        <w:t>E04 Alternative Strategies</w:t>
      </w:r>
      <w:bookmarkEnd w:id="126"/>
    </w:p>
    <w:p>
      <w:hyperlink w:anchor="c_imi_cover_financial_services_liability">
        <w:r>
          <w:rPr>
            <w:color w:val="2E5C4E"/>
            <w:u w:val="single"/>
          </w:rPr>
          <w:t xml:space="preserve">The Financial Services Liability clause</w:t>
        </w:r>
      </w:hyperlink>
      <w:r>
        <w:rPr>
          <w:b w:val="0"/>
          <w:i w:val="0"/>
        </w:rPr>
        <w:t xml:space="preserve"> extends to any actual or alleged wrongful act in:</w:t>
      </w:r>
    </w:p>
    <w:p>
      <w:r>
        <w:rPr>
          <w:b w:val="0"/>
          <w:i w:val="0"/>
        </w:rPr>
        <w:t>(a) calculating, charging, or recovering a performance fee, including a clawback of a performance fee;</w:t>
      </w:r>
    </w:p>
    <w:p>
      <w:r>
        <w:rPr>
          <w:b w:val="0"/>
          <w:i w:val="0"/>
        </w:rPr>
        <w:t>(b) creating, valuing, or operating a side pocket;</w:t>
      </w:r>
    </w:p>
    <w:p>
      <w:r>
        <w:rPr>
          <w:b w:val="0"/>
          <w:i w:val="0"/>
        </w:rPr>
        <w:t>(c) imposing a gate on redemptions, or suspending redemptions or applications, in a fund shown in the schedule for this endorsement; and</w:t>
      </w:r>
    </w:p>
    <w:p>
      <w:r>
        <w:rPr>
          <w:b w:val="0"/>
          <w:i w:val="0"/>
        </w:rPr>
        <w:t>(d) valuing unlisted assets held by a fund shown in the schedule for this endorsement.</w:t>
      </w:r>
    </w:p>
    <w:p>
      <w:hyperlink w:anchor="c_imi_excl_fund_performance">
        <w:r>
          <w:rPr>
            <w:color w:val="2E5C4E"/>
            <w:u w:val="single"/>
          </w:rPr>
          <w:t xml:space="preserve">The Fund Performance exclusion</w:t>
        </w:r>
      </w:hyperlink>
      <w:r>
        <w:rPr>
          <w:b w:val="0"/>
          <w:i w:val="0"/>
        </w:rPr>
        <w:t xml:space="preserve"> continues to apply, but a claim that alleges a wrongful act of the kind described in (a) to (d) is not a claim that only alleges inadequate performance or return. </w:t>
      </w:r>
      <w:hyperlink w:anchor="c_imi_excl_fees_and_commissions">
        <w:r>
          <w:rPr>
            <w:color w:val="2E5C4E"/>
            <w:u w:val="single"/>
          </w:rPr>
          <w:t xml:space="preserve">The Fees and Commissions exclusion</w:t>
        </w:r>
      </w:hyperlink>
      <w:r>
        <w:rPr>
          <w:b w:val="0"/>
          <w:i w:val="0"/>
        </w:rPr>
        <w:t xml:space="preserve"> continues to apply, except that it does not exclude defence costs.</w:t>
      </w:r>
    </w:p>
    <w:p>
      <w:r>
        <w:rPr>
          <w:b w:val="0"/>
          <w:i w:val="0"/>
        </w:rPr>
        <w:t>Schedule variables: funds covered; sub-limit (optional).</w:t>
      </w:r>
    </w:p>
    <w:p>
      <w:bookmarkStart w:id="127" w:name="c_imi_end_e05"/>
      <w:r>
        <w:rPr>
          <w:rFonts w:ascii="Georgia" w:hAnsi="Georgia" w:eastAsia="Georgia"/>
          <w:b/>
          <w:i w:val="0"/>
          <w:color w:val="2E5C4E"/>
          <w:sz w:val="25"/>
        </w:rPr>
        <w:t>E05 Custodian Failure — Enhanced</w:t>
      </w:r>
      <w:bookmarkEnd w:id="127"/>
    </w:p>
    <w:p>
      <w:r>
        <w:rPr>
          <w:b w:val="0"/>
          <w:i w:val="0"/>
        </w:rPr>
        <w:t xml:space="preserve">The last paragraph of </w:t>
      </w:r>
      <w:hyperlink w:anchor="c_imi_ext_fund_assets_third_party_servic">
        <w:r>
          <w:rPr>
            <w:color w:val="2E5C4E"/>
            <w:u w:val="single"/>
          </w:rPr>
          <w:t xml:space="preserve">the Fund Assets — Third-Party Service Provider Failure extension</w:t>
        </w:r>
      </w:hyperlink>
      <w:r>
        <w:rPr>
          <w:b w:val="0"/>
          <w:i w:val="0"/>
        </w:rPr>
        <w:t xml:space="preserve"> is amended so that it does not exclude a claim made against you arising from the insolvency of a custodian shown in the schedule for this endorsement, or from the commingling by that custodian of fund assets with its own assets or the assets of its other clients. We will pay the amounts described in </w:t>
      </w:r>
      <w:hyperlink w:anchor="c_imi_cover_financial_services_liability">
        <w:r>
          <w:rPr>
            <w:color w:val="2E5C4E"/>
            <w:u w:val="single"/>
          </w:rPr>
          <w:t xml:space="preserve">the Financial Services Liability clause</w:t>
        </w:r>
      </w:hyperlink>
      <w:r>
        <w:rPr>
          <w:b w:val="0"/>
          <w:i w:val="0"/>
        </w:rPr>
        <w:t xml:space="preserve"> for that claim, up to the sub-limit shown in the schedule for this endorsement.</w:t>
      </w:r>
    </w:p>
    <w:p>
      <w:r>
        <w:rPr>
          <w:b w:val="0"/>
          <w:i w:val="0"/>
        </w:rPr>
        <w:t xml:space="preserve">This endorsement applies only if the custodian is engaged under a written contract and you exercised reasonable care in selecting, appointing, and monitoring the custodian. It does not cover the loss of fund assets as such. That loss is covered only to the extent </w:t>
      </w:r>
      <w:hyperlink w:anchor="c_imi_section_crime">
        <w:r>
          <w:rPr>
            <w:color w:val="2E5C4E"/>
            <w:u w:val="single"/>
          </w:rPr>
          <w:t xml:space="preserve">the Crime section</w:t>
        </w:r>
      </w:hyperlink>
      <w:r>
        <w:rPr>
          <w:b w:val="0"/>
          <w:i w:val="0"/>
        </w:rPr>
        <w:t xml:space="preserve"> applies.</w:t>
      </w:r>
    </w:p>
    <w:p>
      <w:r>
        <w:rPr>
          <w:b w:val="0"/>
          <w:i w:val="0"/>
        </w:rPr>
        <w:t>The sub-limit forms part of, and is not in addition to, the limit of liability for the section.</w:t>
      </w:r>
    </w:p>
    <w:p>
      <w:r>
        <w:rPr>
          <w:b w:val="0"/>
          <w:i w:val="0"/>
        </w:rPr>
        <w:t>Schedule variables: custodians covered; sub-limit; additional excess (optional).</w:t>
      </w:r>
    </w:p>
    <w:p>
      <w:bookmarkStart w:id="128" w:name="c_imi_end_e06"/>
      <w:r>
        <w:rPr>
          <w:rFonts w:ascii="Georgia" w:hAnsi="Georgia" w:eastAsia="Georgia"/>
          <w:b/>
          <w:i w:val="0"/>
          <w:color w:val="2E5C4E"/>
          <w:sz w:val="25"/>
        </w:rPr>
        <w:t>E06 ESG and Greenwashing</w:t>
      </w:r>
      <w:bookmarkEnd w:id="128"/>
    </w:p>
    <w:p>
      <w:hyperlink w:anchor="c_imi_cover_financial_services_liability">
        <w:r>
          <w:rPr>
            <w:color w:val="2E5C4E"/>
            <w:u w:val="single"/>
          </w:rPr>
          <w:t xml:space="preserve">The Financial Services Liability clause</w:t>
        </w:r>
      </w:hyperlink>
      <w:r>
        <w:rPr>
          <w:b w:val="0"/>
          <w:i w:val="0"/>
        </w:rPr>
        <w:t xml:space="preserve"> extends to any actual or alleged misleading or deceptive conduct, or negligent misstatement, in a statement or disclosure about the sustainability, environmental, social, governance or climate-related characteristics of a fund shown in the schedule for this endorsement, including a statement in a product disclosure statement, an investor communication, or marketing material.</w:t>
      </w:r>
    </w:p>
    <w:p>
      <w:hyperlink w:anchor="c_imi_cover_defence_of_regulatory_procee">
        <w:r>
          <w:rPr>
            <w:color w:val="2E5C4E"/>
            <w:u w:val="single"/>
          </w:rPr>
          <w:t xml:space="preserve">The Defence of Regulatory Proceedings clause</w:t>
        </w:r>
      </w:hyperlink>
      <w:r>
        <w:rPr>
          <w:b w:val="0"/>
          <w:i w:val="0"/>
        </w:rPr>
        <w:t xml:space="preserve"> applies to an ASIC investigation or proceeding about a statement or disclosure of that kind.</w:t>
      </w:r>
    </w:p>
    <w:p>
      <w:r>
        <w:rPr>
          <w:b w:val="0"/>
          <w:i w:val="0"/>
        </w:rPr>
        <w:t xml:space="preserve">This endorsement does not cover a fine or civil penalty that is not insurable at law. </w:t>
      </w:r>
      <w:hyperlink w:anchor="c_imi_excl_dishonesty_and_fraud">
        <w:r>
          <w:rPr>
            <w:color w:val="2E5C4E"/>
            <w:u w:val="single"/>
          </w:rPr>
          <w:t xml:space="preserve">The Dishonesty and Fraud — Professional Liability and Directors' and Officers' Liability exclusion</w:t>
        </w:r>
      </w:hyperlink>
      <w:r>
        <w:rPr>
          <w:b w:val="0"/>
          <w:i w:val="0"/>
        </w:rPr>
        <w:t xml:space="preserve"> continues to apply. [WP REVIEW: whether civil penalty proceedings for greenwashing are insurable beyond defence costs]</w:t>
      </w:r>
    </w:p>
    <w:p>
      <w:r>
        <w:rPr>
          <w:b w:val="0"/>
          <w:i w:val="0"/>
        </w:rPr>
        <w:t>Schedule variables: funds covered; sub-limit (optional).</w:t>
      </w:r>
    </w:p>
    <w:p>
      <w:bookmarkStart w:id="129" w:name="c_imi_end_e07"/>
      <w:r>
        <w:rPr>
          <w:rFonts w:ascii="Georgia" w:hAnsi="Georgia" w:eastAsia="Georgia"/>
          <w:b/>
          <w:i w:val="0"/>
          <w:color w:val="2E5C4E"/>
          <w:sz w:val="25"/>
        </w:rPr>
        <w:t>E07 Defence Costs in Addition to the Limit</w:t>
      </w:r>
      <w:bookmarkEnd w:id="129"/>
    </w:p>
    <w:p>
      <w:hyperlink w:anchor="c_imi_pay_defence_costs">
        <w:r>
          <w:rPr>
            <w:color w:val="2E5C4E"/>
            <w:u w:val="single"/>
          </w:rPr>
          <w:t xml:space="preserve">The Defence Costs provision</w:t>
        </w:r>
      </w:hyperlink>
      <w:r>
        <w:rPr>
          <w:b w:val="0"/>
          <w:i w:val="0"/>
        </w:rPr>
        <w:t xml:space="preserve"> is replaced by the following for the sections shown in the schedule for this endorsement. Defence costs are paid in addition to the limit of liability, up to the defence costs limit shown in the schedule. We advance defence costs as they are incurred. Payment of defence costs does not reduce the limit of liability available for compensation.</w:t>
      </w:r>
    </w:p>
    <w:p>
      <w:r>
        <w:rPr>
          <w:b w:val="0"/>
          <w:i w:val="0"/>
        </w:rPr>
        <w:t>The defence costs limit is the most we will pay for defence costs for all claims under the section. Once it is exhausted we have no further obligation to pay defence costs. Amounts paid as compensation reduce only the limit of liability.</w:t>
      </w:r>
    </w:p>
    <w:p>
      <w:r>
        <w:rPr>
          <w:b w:val="0"/>
          <w:i w:val="0"/>
        </w:rPr>
        <w:t>Schedule variables: sections; defence costs limit.</w:t>
      </w:r>
    </w:p>
    <w:p>
      <w:bookmarkStart w:id="130" w:name="c_imi_end_e08"/>
      <w:r>
        <w:rPr>
          <w:rFonts w:ascii="Georgia" w:hAnsi="Georgia" w:eastAsia="Georgia"/>
          <w:b/>
          <w:i w:val="0"/>
          <w:color w:val="2E5C4E"/>
          <w:sz w:val="25"/>
        </w:rPr>
        <w:t>E08 Extended Reporting Period</w:t>
      </w:r>
      <w:bookmarkEnd w:id="130"/>
    </w:p>
    <w:p>
      <w:r>
        <w:rPr>
          <w:b w:val="0"/>
          <w:i w:val="0"/>
        </w:rPr>
        <w:t xml:space="preserve">The automatic period in </w:t>
      </w:r>
      <w:hyperlink w:anchor="c_imi_cond_extended_reporting_period">
        <w:r>
          <w:rPr>
            <w:color w:val="2E5C4E"/>
            <w:u w:val="single"/>
          </w:rPr>
          <w:t xml:space="preserve">the Extended Reporting Period condition</w:t>
        </w:r>
      </w:hyperlink>
      <w:r>
        <w:rPr>
          <w:b w:val="0"/>
          <w:i w:val="0"/>
        </w:rPr>
        <w:t xml:space="preserve"> is replaced, for </w:t>
      </w:r>
      <w:hyperlink w:anchor="c_imi_section_pl">
        <w:r>
          <w:rPr>
            <w:color w:val="2E5C4E"/>
            <w:u w:val="single"/>
          </w:rPr>
          <w:t xml:space="preserve">the Professional Liability section</w:t>
        </w:r>
      </w:hyperlink>
      <w:r>
        <w:rPr>
          <w:b w:val="0"/>
          <w:i w:val="0"/>
        </w:rPr>
        <w:t xml:space="preserve"> and </w:t>
      </w:r>
      <w:hyperlink w:anchor="c_imi_section_do">
        <w:r>
          <w:rPr>
            <w:color w:val="2E5C4E"/>
            <w:u w:val="single"/>
          </w:rPr>
          <w:t xml:space="preserve">the Directors' and Officers' Liability section</w:t>
        </w:r>
      </w:hyperlink>
      <w:r>
        <w:rPr>
          <w:b w:val="0"/>
          <w:i w:val="0"/>
        </w:rPr>
        <w:t>, by the extended reporting period shown in the schedule for this endorsement, which must be 12, 24, 36 or 72 months. The period starts at the end of the policy period.</w:t>
      </w:r>
    </w:p>
    <w:p>
      <w:r>
        <w:rPr>
          <w:b w:val="0"/>
          <w:i w:val="0"/>
        </w:rPr>
        <w:t>The extended reporting period applies only if this policy is not renewed for any reason other than replacement by another policy that gives equivalent cover, or is cancelled by you or by us, and the non-renewal or cancellation is not caused by non-payment of premium. You must ask for it, and pay the additional premium shown in the schedule, within 30 days of the end of the policy period.</w:t>
      </w:r>
    </w:p>
    <w:p>
      <w:r>
        <w:rPr>
          <w:b w:val="0"/>
          <w:i w:val="0"/>
        </w:rPr>
        <w:t xml:space="preserve">During the extended reporting period we cover claims first made against an insured, and circumstances notified, in that period, but only for wrongful acts committed before the end of the policy period. The limits of liability that applied at the end of the policy period apply, and are not reinstated. The additional premium is fully earned when the endorsement is attached. </w:t>
      </w:r>
      <w:hyperlink w:anchor="c_imi_section_crime">
        <w:r>
          <w:rPr>
            <w:color w:val="2E5C4E"/>
            <w:u w:val="single"/>
          </w:rPr>
          <w:t xml:space="preserve">The Crime section</w:t>
        </w:r>
      </w:hyperlink>
      <w:r>
        <w:rPr>
          <w:b w:val="0"/>
          <w:i w:val="0"/>
        </w:rPr>
        <w:t xml:space="preserve"> is not affected. It continues to operate under </w:t>
      </w:r>
      <w:hyperlink w:anchor="c_imi_obl_notify_losses_crime">
        <w:r>
          <w:rPr>
            <w:color w:val="2E5C4E"/>
            <w:u w:val="single"/>
          </w:rPr>
          <w:t xml:space="preserve">the Notify Losses — Crime obligation</w:t>
        </w:r>
      </w:hyperlink>
      <w:r>
        <w:rPr>
          <w:b w:val="0"/>
          <w:i w:val="0"/>
        </w:rPr>
        <w:t>.</w:t>
      </w:r>
    </w:p>
    <w:p>
      <w:r>
        <w:rPr>
          <w:b w:val="0"/>
          <w:i w:val="0"/>
        </w:rPr>
        <w:t>Schedule variables: extended reporting period (12, 24, 36 or 72 months); additional premium.</w:t>
      </w:r>
    </w:p>
    <w:p>
      <w:bookmarkStart w:id="131" w:name="c_imi_end_e09"/>
      <w:r>
        <w:rPr>
          <w:rFonts w:ascii="Georgia" w:hAnsi="Georgia" w:eastAsia="Georgia"/>
          <w:b/>
          <w:i w:val="0"/>
          <w:color w:val="2E5C4E"/>
          <w:sz w:val="25"/>
        </w:rPr>
        <w:t>E09 Run-off Following Change of Control or Cessation of AFSL</w:t>
      </w:r>
      <w:bookmarkEnd w:id="131"/>
    </w:p>
    <w:p>
      <w:r>
        <w:rPr>
          <w:b w:val="0"/>
          <w:i w:val="0"/>
        </w:rPr>
        <w:t xml:space="preserve">If a person acquires more than 50% of the company's voting rights, or the company's AFSL ceases, </w:t>
      </w:r>
      <w:hyperlink w:anchor="c_imi_cond_change_of_control">
        <w:r>
          <w:rPr>
            <w:color w:val="2E5C4E"/>
            <w:u w:val="single"/>
          </w:rPr>
          <w:t xml:space="preserve">the Change of Control condition</w:t>
        </w:r>
      </w:hyperlink>
      <w:r>
        <w:rPr>
          <w:b w:val="0"/>
          <w:i w:val="0"/>
        </w:rPr>
        <w:t xml:space="preserve"> is extended for the run-off period shown in the schedule for this endorsement. During the run-off period we cover claims first made against an insured, and circumstances notified, but only for wrongful acts committed before the event.</w:t>
      </w:r>
    </w:p>
    <w:p>
      <w:r>
        <w:rPr>
          <w:b w:val="0"/>
          <w:i w:val="0"/>
        </w:rPr>
        <w:t>The run-off period starts on the date of the event. The additional premium shown in the schedule is fully earned when the endorsement is attached. The limits of liability that applied at the date of the event apply and are not reinstated.</w:t>
      </w:r>
    </w:p>
    <w:p>
      <w:hyperlink w:anchor="c_imi_cond_fund_wind_up_run_off">
        <w:r>
          <w:rPr>
            <w:color w:val="2E5C4E"/>
            <w:u w:val="single"/>
          </w:rPr>
          <w:t xml:space="preserve">The Fund Wind-Up Run-Off condition</w:t>
        </w:r>
      </w:hyperlink>
      <w:r>
        <w:rPr>
          <w:b w:val="0"/>
          <w:i w:val="0"/>
        </w:rPr>
        <w:t xml:space="preserve"> applies to a fund-level wind-up, termination or transfer without this endorsement.</w:t>
      </w:r>
    </w:p>
    <w:p>
      <w:r>
        <w:rPr>
          <w:b w:val="0"/>
          <w:i w:val="0"/>
        </w:rPr>
        <w:t>Schedule variables: run-off period; additional premium.</w:t>
      </w:r>
    </w:p>
    <w:p>
      <w:bookmarkStart w:id="132" w:name="c_imi_end_e10"/>
      <w:r>
        <w:rPr>
          <w:rFonts w:ascii="Georgia" w:hAnsi="Georgia" w:eastAsia="Georgia"/>
          <w:b/>
          <w:i w:val="0"/>
          <w:color w:val="2E5C4E"/>
          <w:sz w:val="25"/>
        </w:rPr>
        <w:t>E10 Prospectus and PDS Liability — Enhanced</w:t>
      </w:r>
      <w:bookmarkEnd w:id="132"/>
    </w:p>
    <w:p>
      <w:hyperlink w:anchor="c_imi_cover_financial_services_liability">
        <w:r>
          <w:rPr>
            <w:color w:val="2E5C4E"/>
            <w:u w:val="single"/>
          </w:rPr>
          <w:t xml:space="preserve">The Financial Services Liability clause</w:t>
        </w:r>
      </w:hyperlink>
      <w:r>
        <w:rPr>
          <w:b w:val="0"/>
          <w:i w:val="0"/>
        </w:rPr>
        <w:t xml:space="preserve"> extends to any actual or alleged misleading or deceptive statement in, or omission from, a prospectus, product disclosure statement or other offer document for an offer shown in the schedule for this endorsement, including a claim by a person who acquired a financial product under the offer.</w:t>
      </w:r>
    </w:p>
    <w:p>
      <w:r>
        <w:rPr>
          <w:b w:val="0"/>
          <w:i w:val="0"/>
        </w:rPr>
        <w:t xml:space="preserve">This endorsement does not cover a statement or omission in a document first issued before the retroactive date, or an offer made outside Australia unless Endorsement E01 is operative for that offer. </w:t>
      </w:r>
      <w:hyperlink w:anchor="c_imi_excl_fund_performance">
        <w:r>
          <w:rPr>
            <w:color w:val="2E5C4E"/>
            <w:u w:val="single"/>
          </w:rPr>
          <w:t xml:space="preserve">The Fund Performance exclusion</w:t>
        </w:r>
      </w:hyperlink>
      <w:r>
        <w:rPr>
          <w:b w:val="0"/>
          <w:i w:val="0"/>
        </w:rPr>
        <w:t xml:space="preserve"> continues to apply.</w:t>
      </w:r>
    </w:p>
    <w:p>
      <w:r>
        <w:rPr>
          <w:b w:val="0"/>
          <w:i w:val="0"/>
        </w:rPr>
        <w:t>Schedule variables: offers covered (fund, document, date, offer size); sub-limit (optional).</w:t>
      </w:r>
    </w:p>
    <w:p>
      <w:bookmarkStart w:id="133" w:name="c_imi_end_e11"/>
      <w:r>
        <w:rPr>
          <w:rFonts w:ascii="Georgia" w:hAnsi="Georgia" w:eastAsia="Georgia"/>
          <w:b/>
          <w:i w:val="0"/>
          <w:color w:val="2E5C4E"/>
          <w:sz w:val="25"/>
        </w:rPr>
        <w:t>E11 Excess Layer</w:t>
      </w:r>
      <w:bookmarkEnd w:id="133"/>
    </w:p>
    <w:p>
      <w:r>
        <w:rPr>
          <w:b w:val="0"/>
          <w:i w:val="0"/>
        </w:rPr>
        <w:t>We pay covered loss under this policy only after the underlying limit shown in the schedule for this endorsement has been exhausted by the payment of covered loss. The underlying limit is exhausted only by payment of loss by the underlying insurers or by you. This policy does not drop down if an underlying insurer is unable or refuses to pay, and you bear that part of the loss.</w:t>
      </w:r>
    </w:p>
    <w:p>
      <w:r>
        <w:rPr>
          <w:b w:val="0"/>
          <w:i w:val="0"/>
        </w:rPr>
        <w:t xml:space="preserve">Our limit of liability under this endorsement is the amount shown in the schedule, excess of the underlying limit. Subject to this endorsement, this policy applies to the layer on its own terms. </w:t>
      </w:r>
      <w:hyperlink w:anchor="c_imi_pay_other_insurance">
        <w:r>
          <w:rPr>
            <w:color w:val="2E5C4E"/>
            <w:u w:val="single"/>
          </w:rPr>
          <w:t xml:space="preserve">The Other Insurance provision</w:t>
        </w:r>
      </w:hyperlink>
      <w:r>
        <w:rPr>
          <w:b w:val="0"/>
          <w:i w:val="0"/>
        </w:rPr>
        <w:t xml:space="preserve"> does not apply to the underlying insurance. [WP REVIEW: whether the layer should follow the terms of the underlying policy, as is usual for an excess layer, rather than apply this policy's own terms]</w:t>
      </w:r>
    </w:p>
    <w:p>
      <w:r>
        <w:rPr>
          <w:b w:val="0"/>
          <w:i w:val="0"/>
        </w:rPr>
        <w:t>Schedule variables: underlying insurer and policy; underlying limit; limit of liability of the layer.</w:t>
      </w:r>
    </w:p>
    <w:p>
      <w:bookmarkStart w:id="134" w:name="c_imi_end_e12"/>
      <w:r>
        <w:rPr>
          <w:rFonts w:ascii="Georgia" w:hAnsi="Georgia" w:eastAsia="Georgia"/>
          <w:b/>
          <w:i w:val="0"/>
          <w:color w:val="2E5C4E"/>
          <w:sz w:val="25"/>
        </w:rPr>
        <w:t>E12 Employment Practices Liability</w:t>
      </w:r>
      <w:bookmarkEnd w:id="134"/>
    </w:p>
    <w:p>
      <w:r>
        <w:rPr>
          <w:b w:val="0"/>
          <w:i w:val="0"/>
        </w:rPr>
        <w:t>If a claim is first made against an insured during the policy period by or on behalf of an employee, or a person who applied to be an employee, for an employment practices wrongful act committed on or after the retroactive date, we will pay the amount the insured becomes legally liable to pay as compensation and the insured's defence costs, up to the employment practices limit shown in the schedule for this endorsement.</w:t>
      </w:r>
    </w:p>
    <w:p>
      <w:r>
        <w:rPr>
          <w:b w:val="0"/>
          <w:i w:val="0"/>
        </w:rPr>
        <w:t>An employment practices wrongful act is any actual or alleged unfair or wrongful dismissal, discrimination, harassment, bullying, or breach of an employment contract in the employment of a person.</w:t>
      </w:r>
    </w:p>
    <w:p>
      <w:hyperlink w:anchor="c_imi_excl_employers_liability">
        <w:r>
          <w:rPr>
            <w:color w:val="2E5C4E"/>
            <w:u w:val="single"/>
          </w:rPr>
          <w:t xml:space="preserve">The Employer's Liability exclusion</w:t>
        </w:r>
      </w:hyperlink>
      <w:r>
        <w:rPr>
          <w:b w:val="0"/>
          <w:i w:val="0"/>
        </w:rPr>
        <w:t xml:space="preserve"> does not apply to the extent of this endorsement. This endorsement does not cover: workers compensation benefits or premiums; wages, superannuation contributions, leave or other entitlements that are owed under a contract, an award or the law; the cost of complying with an order to employ or reinstate a person; fines or penalties that are not insurable at law; or any claim arising from industrial action. The employment practices limit forms part of, and is not in addition to, the overall aggregate. [WP REVIEW: whether the employment practices section needs its own definitions, extensions and exclusions as in the Management Liability wording]</w:t>
      </w:r>
    </w:p>
    <w:p>
      <w:r>
        <w:rPr>
          <w:b w:val="0"/>
          <w:i w:val="0"/>
        </w:rPr>
        <w:t>Schedule variables: employment practices limit; excess; number of employees.</w:t>
      </w:r>
    </w:p>
    <w:p>
      <w:bookmarkStart w:id="135" w:name="c_imi_end_e13"/>
      <w:r>
        <w:rPr>
          <w:rFonts w:ascii="Georgia" w:hAnsi="Georgia" w:eastAsia="Georgia"/>
          <w:b/>
          <w:i w:val="0"/>
          <w:color w:val="2E5C4E"/>
          <w:sz w:val="25"/>
        </w:rPr>
        <w:t>E13 Cryptocurrency and Digital Asset Fund Management</w:t>
      </w:r>
      <w:bookmarkEnd w:id="135"/>
    </w:p>
    <w:p>
      <w:hyperlink w:anchor="c_imi_ext_digital_assets_and_cryptocurre">
        <w:r>
          <w:rPr>
            <w:color w:val="2E5C4E"/>
            <w:u w:val="single"/>
          </w:rPr>
          <w:t xml:space="preserve">The Digital Assets and Cryptocurrency extension</w:t>
        </w:r>
      </w:hyperlink>
      <w:r>
        <w:rPr>
          <w:b w:val="0"/>
          <w:i w:val="0"/>
        </w:rPr>
        <w:t xml:space="preserve"> applies to the funds shown in the schedule for this endorsement on the following terms, which apply in addition to that extension and do not remove or narrow it.</w:t>
      </w:r>
    </w:p>
    <w:p>
      <w:r>
        <w:rPr>
          <w:b w:val="0"/>
          <w:i w:val="0"/>
        </w:rPr>
        <w:t>The custody and wallet-security arrangements shown in the schedule apply. If you do not comply with an arrangement, we may reduce what we pay only to the extent that our interests were prejudiced by the non-compliance, as the Insurance Contracts Act 1984 (Cth) allows.</w:t>
      </w:r>
    </w:p>
    <w:p>
      <w:r>
        <w:rPr>
          <w:b w:val="0"/>
          <w:i w:val="0"/>
        </w:rPr>
        <w:t xml:space="preserve">Digital assets are valued at the market price at the time the loss is discovered, taken from the price source shown in the schedule. A fall in the market price of a digital asset is not a loss. </w:t>
      </w:r>
      <w:hyperlink w:anchor="c_imi_excl_trading_losses_crime">
        <w:r>
          <w:rPr>
            <w:color w:val="2E5C4E"/>
            <w:u w:val="single"/>
          </w:rPr>
          <w:t xml:space="preserve">The Trading Losses — Crime exclusion</w:t>
        </w:r>
      </w:hyperlink>
      <w:r>
        <w:rPr>
          <w:b w:val="0"/>
          <w:i w:val="0"/>
        </w:rPr>
        <w:t xml:space="preserve"> continues to apply.</w:t>
      </w:r>
    </w:p>
    <w:p>
      <w:r>
        <w:rPr>
          <w:b w:val="0"/>
          <w:i w:val="0"/>
        </w:rPr>
        <w:t>The sub-limit shown in the schedule is the most we will pay under this endorsement. It forms part of, and is not in addition to, the limit of liability for the section.</w:t>
      </w:r>
    </w:p>
    <w:p>
      <w:r>
        <w:rPr>
          <w:b w:val="0"/>
          <w:i w:val="0"/>
        </w:rPr>
        <w:t>Schedule variables: funds covered; custody and wallet-security arrangements; price source; sub-limit; additional excess (optional).</w:t>
      </w:r>
    </w:p>
    <w:p>
      <w:bookmarkStart w:id="136" w:name="c_imi_end_e14"/>
      <w:r>
        <w:rPr>
          <w:rFonts w:ascii="Georgia" w:hAnsi="Georgia" w:eastAsia="Georgia"/>
          <w:b/>
          <w:i w:val="0"/>
          <w:color w:val="2E5C4E"/>
          <w:sz w:val="25"/>
        </w:rPr>
        <w:t>E14 Side A Difference in Conditions</w:t>
      </w:r>
      <w:bookmarkEnd w:id="136"/>
    </w:p>
    <w:p>
      <w:r>
        <w:rPr>
          <w:b w:val="0"/>
          <w:i w:val="0"/>
        </w:rPr>
        <w:t xml:space="preserve">We will pay an insured person's non-indemnifiable loss, as described in </w:t>
      </w:r>
      <w:hyperlink w:anchor="c_imi_cover_personal_liability_non_indem">
        <w:r>
          <w:rPr>
            <w:color w:val="2E5C4E"/>
            <w:u w:val="single"/>
          </w:rPr>
          <w:t xml:space="preserve">the Personal Liability — Non-Indemnifiable Loss (Side A) clause</w:t>
        </w:r>
      </w:hyperlink>
      <w:r>
        <w:rPr>
          <w:b w:val="0"/>
          <w:i w:val="0"/>
        </w:rPr>
        <w:t>, up to the Side A limit shown in the schedule for this endorsement, if the loss is not paid under this policy because the limit of liability of the section has been exhausted, or is not paid under other insurance that applies to it.</w:t>
      </w:r>
    </w:p>
    <w:p>
      <w:r>
        <w:rPr>
          <w:b w:val="0"/>
          <w:i w:val="0"/>
        </w:rPr>
        <w:t xml:space="preserve">The Side A limit is in addition to the limit of liability of the section. It is reduced only by payments under this endorsement. No excess applies. </w:t>
      </w:r>
      <w:hyperlink w:anchor="c_imi_pay_priority_of_payment">
        <w:r>
          <w:rPr>
            <w:color w:val="2E5C4E"/>
            <w:u w:val="single"/>
          </w:rPr>
          <w:t xml:space="preserve">The Priority of Payment provision</w:t>
        </w:r>
      </w:hyperlink>
      <w:r>
        <w:rPr>
          <w:b w:val="0"/>
          <w:i w:val="0"/>
        </w:rPr>
        <w:t xml:space="preserve"> applies, and payments under this endorsement are made first. [WP REVIEW: how the Side A limit interacts with the overall aggregate in the Section Limits and Overall Aggregate provision]</w:t>
      </w:r>
    </w:p>
    <w:p>
      <w:r>
        <w:rPr>
          <w:b w:val="0"/>
          <w:i w:val="0"/>
        </w:rPr>
        <w:t>Schedule variables: Side A limit.</w:t>
      </w:r>
    </w:p>
    <w:p>
      <w:bookmarkStart w:id="137" w:name="c_imi_licence_notice"/>
      <w:r>
        <w:rPr>
          <w:rFonts w:ascii="Georgia" w:hAnsi="Georgia" w:eastAsia="Georgia"/>
          <w:b/>
          <w:i w:val="0"/>
          <w:color w:val="1C1915"/>
          <w:sz w:val="32"/>
        </w:rPr>
        <w:t>Licence and Trademark Notice</w:t>
      </w:r>
      <w:bookmarkEnd w:id="137"/>
    </w:p>
    <w:p>
      <w:r>
        <w:rPr>
          <w:b w:val="0"/>
          <w:i w:val="0"/>
        </w:rPr>
        <w:t>Meridian Commons — Open Source Insurance Wording. This wording's TEXT is licensed under Creative Commons BY 4.0. The licence applies to the wording text only: the Cuttleflow name, the Meridian name, the bearing mark, and other Cuttleflow brand assets are excluded from the licence and may not be used by adopters without separate permission. An adopter's own schedules and endorsements built on top of this wording are that adopter's work product; CC BY 4.0 requires only that you attribute the wording text you use.</w:t>
      </w:r>
    </w:p>
    <w:p>
      <w:r>
        <w:rPr>
          <w:b w:val="0"/>
          <w:i w:val="0"/>
        </w:rPr>
        <w:t>Document ref: 2026/IMI/0001 · v1.3.0-DRAFT · November 2026. The version of this wording current at a policy's inception governs that policy for its duration.</w:t>
      </w:r>
    </w:p>
    <w:p>
      <w:r>
        <w:rPr>
          <w:b w:val="0"/>
          <w:i w:val="0"/>
        </w:rPr>
        <w:t>Adopters must obtain their own legal advice before use, must confirm use is approved by their capacity provider, and must not represent this wording as reviewed or approved by Cuttleflow Systems' Wording Partner for their use — the Wording Partner's review letter runs to Cuttleflow Pty Ltd t/a Cuttleflow Systems only.</w:t>
      </w:r>
    </w:p>
    <w:p>
      <w:r>
        <w:rPr>
          <w:b w:val="0"/>
          <w:i w:val="0"/>
        </w:rPr>
        <w:t>Designed for the Australian market under the Insurance Contracts Act 1984 (Cth), Corporations Act 2001 (Cth), and ASIC Act 2001 (Cth). Users are responsible for their own legal review, regulatory compliance, and reinsurance alignment.</w:t>
      </w:r>
    </w:p>
    <w:p>
      <w:r>
        <w:rPr>
          <w:rFonts w:ascii="Georgia" w:hAnsi="Georgia" w:eastAsia="Georgia"/>
          <w:b/>
          <w:i w:val="0"/>
          <w:sz w:val="32"/>
        </w:rPr>
        <w:t>Changes From the Previous Version</w:t>
      </w:r>
    </w:p>
    <w:p>
      <w:r>
        <w:t>Recorded in accordance with the Cuttleflow open wording library versioning requirements.</w:t>
      </w:r>
    </w:p>
    <w:p>
      <w:r>
        <w:rPr>
          <w:b w:val="0"/>
          <w:i w:val="0"/>
        </w:rPr>
        <w:t>This is the first release of the Meridian Investment Managers Indemnity Insurance wording built from clause source in the Commons. It replaces version 1.2.0 (July 2026). Changes from version 1.2.0:</w:t>
      </w:r>
    </w:p>
    <w:p>
      <w:pPr>
        <w:pStyle w:val="ListBullet"/>
      </w:pPr>
      <w:r>
        <w:rPr>
          <w:b w:val="0"/>
          <w:i w:val="0"/>
        </w:rPr>
        <w:t>Clause numbers are removed. Each clause is identified by its heading, and every cross-reference is a link to the clause it names. The cover, exclusions, limits and conditions of version 1.2.0 are unchanged.</w:t>
      </w:r>
    </w:p>
    <w:p>
      <w:pPr>
        <w:pStyle w:val="ListBullet"/>
      </w:pPr>
      <w:r>
        <w:rPr>
          <w:b w:val="0"/>
          <w:i w:val="0"/>
        </w:rPr>
        <w:t>Four clauses with headings that named a section now say so in the heading: Dishonesty and Fraud, Notify Claims, Notify Circumstances and Trading Losses each name the sections to which they apply.</w:t>
      </w:r>
    </w:p>
    <w:p>
      <w:pPr>
        <w:pStyle w:val="ListBullet"/>
      </w:pPr>
      <w:r>
        <w:rPr>
          <w:b w:val="0"/>
          <w:i w:val="0"/>
        </w:rPr>
        <w:t>The endorsement library has 14 endorsements, each with operative text, schedule variables and a platform trigger. Version 1.2.0 listed titles only, and several titles described endorsements as not yet available.</w:t>
      </w:r>
    </w:p>
    <w:p>
      <w:pPr>
        <w:pStyle w:val="ListBullet"/>
      </w:pPr>
      <w:r>
        <w:rPr>
          <w:b w:val="0"/>
          <w:i w:val="0"/>
        </w:rPr>
        <w:t>The guide in Appendix A is unchanged. It is not part of the contract.</w:t>
      </w:r>
    </w:p>
    <w:p>
      <w:pPr>
        <w:pStyle w:val="ListBullet"/>
      </w:pPr>
      <w:r>
        <w:rPr>
          <w:b w:val="0"/>
          <w:i w:val="0"/>
        </w:rPr>
        <w:t>Six points are marked [WP REVIEW] for the Wording Partner. They are all in the new endorsement text.</w:t>
      </w:r>
    </w:p>
    <w:p>
      <w:r>
        <w:rPr>
          <w:b w:val="0"/>
          <w:i/>
          <w:sz w:val="18"/>
        </w:rPr>
        <w:t>Cuttleflow Systems — Open Source Insurance Wording</w:t>
      </w:r>
    </w:p>
    <w:p>
      <w:r>
        <w:rPr>
          <w:rFonts w:ascii="Consolas" w:hAnsi="Consolas" w:eastAsia="Consolas"/>
          <w:b w:val="0"/>
          <w:i w:val="0"/>
          <w:sz w:val="16"/>
        </w:rPr>
        <w:t>2026/IMI/0001 · v1.3.0-DRAFT · November 2026 · © 2026 Cuttleflow Pty Ltd trading as Cuttleflow Systems</w:t>
      </w:r>
    </w:p>
    <w:p>
      <w:r>
        <w:rPr>
          <w:b w:val="0"/>
          <w:i/>
          <w:sz w:val="18"/>
        </w:rPr>
        <w:t>This document is a draft subject to legal review. It must not be issued, quoted from, or bound until Wording Partner sign-off.</w:t>
      </w:r>
    </w:p>
    <w:sectPr w:rsidR="00FC693F" w:rsidRPr="0006063C" w:rsidSect="00034616">
      <w:headerReference w:type="default" r:id="rId9"/>
      <w:footerReference w:type="default" r:id="rId10"/>
      <w:pgSz w:w="12240" w:h="15840"/>
      <w:pgMar w:top="1134" w:right="1247" w:bottom="1134"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rFonts w:ascii="Consolas" w:hAnsi="Consolas" w:eastAsia="Consolas"/>
        <w:b w:val="0"/>
        <w:i w:val="0"/>
        <w:sz w:val="16"/>
      </w:rPr>
      <w:t>33°53′S · 151°16′E · Sydney     2026/IMI/0001 · CUTTLEFLOW PTY LTD T/A CUTTLEFLOW SYSTEMS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Consolas" w:hAnsi="Consolas" w:eastAsia="Consolas"/>
        <w:b w:val="0"/>
        <w:i w:val="0"/>
        <w:color w:val="2E5C4E"/>
        <w:sz w:val="16"/>
      </w:rPr>
      <w:t>DRAFT — NOT FOR USE · INVESTMENT MANAGERS INDEMNITY INSURANCE · V1.3.0-DRAFT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C191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Investment Managers Indemnity Insurance</dc:title>
  <dc:subject/>
  <dc:creator>Cuttleflow Pty Ltd trading as Cuttleflow Systems</dc:creator>
  <cp:keywords/>
  <dc:description>generated by python-docx</dc:description>
  <cp:lastModifiedBy/>
  <cp:revision>1</cp:revision>
  <dcterms:created xsi:type="dcterms:W3CDTF">2013-12-23T23:15:00Z</dcterms:created>
  <dcterms:modified xsi:type="dcterms:W3CDTF">2013-12-23T23:15:00Z</dcterms:modified>
  <cp:category/>
</cp:coreProperties>
</file>