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BF7F0"/>
  <w:body>
    <w:p>
      <w:pPr>
        <w:spacing w:before="40" w:after="60"/>
        <w:jc w:val="center"/>
      </w:pPr>
      <w:r>
        <w:drawing>
          <wp:inline xmlns:wp="http://schemas.openxmlformats.org/drawingml/2006/wordprocessingDrawing" distT="0" distB="0" distL="0" distR="0">
            <wp:extent cx="438912" cy="438912"/>
            <wp:effectExtent l="0" t="0" r="0" b="0"/>
            <wp:docPr id="1874" name="Bearing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 name="BearingMark"/>
                    <pic:cNvPicPr/>
                  </pic:nvPicPr>
                  <pic:blipFill>
                    <a:blip r:embed="rIdBearing"/>
                    <a:stretch>
                      <a:fillRect/>
                    </a:stretch>
                  </pic:blipFill>
                  <pic:spPr>
                    <a:xfrm>
                      <a:off x="0" y="0"/>
                      <a:ext cx="438912" cy="438912"/>
                    </a:xfrm>
                    <a:prstGeom prst="rect">
                      <a:avLst/>
                    </a:prstGeom>
                  </pic:spPr>
                </pic:pic>
              </a:graphicData>
            </a:graphic>
          </wp:inline>
        </w:drawing>
      </w:r>
    </w:p>
    <w:p>
      <w:pPr>
        <w:spacing w:after="80" w:before="80"/>
        <w:jc w:val="center"/>
      </w:pPr>
      <w:r>
        <w:rPr>
          <w:rFonts w:ascii="Calibri" w:cs="Calibri" w:eastAsia="Calibri" w:hAnsi="Calibri"/>
          <w:b w:val="false"/>
          <w:bCs w:val="false"/>
          <w:i w:val="false"/>
          <w:iCs w:val="false"/>
          <w:color w:val="1C1915"/>
          <w:sz w:val="18"/>
          <w:szCs w:val="18"/>
        </w:rPr>
        <w:t xml:space="preserve">cuttleflow SYSTEMS  ·  33°53′S · 151°16′E · SYDNEY</w:t>
      </w:r>
    </w:p>
    <w:p>
      <w:pPr>
        <w:spacing w:after="600"/>
      </w:pPr>
    </w:p>
    <w:p>
      <w:pPr>
        <w:spacing w:after="200" w:before="200"/>
        <w:jc w:val="center"/>
      </w:pPr>
      <w:r>
        <w:rPr>
          <w:rFonts w:ascii="Calibri" w:cs="Calibri" w:eastAsia="Calibri" w:hAnsi="Calibri"/>
          <w:b/>
          <w:bCs/>
          <w:color w:val="1C1915"/>
          <w:sz w:val="44"/>
          <w:szCs w:val="44"/>
        </w:rPr>
        <w:t xml:space="preserve">SIDE A DIRECTORS' AND OFFICERS'</w:t>
      </w:r>
    </w:p>
    <w:p>
      <w:pPr>
        <w:spacing w:after="200" w:before="200"/>
        <w:jc w:val="center"/>
      </w:pPr>
      <w:r>
        <w:rPr>
          <w:rFonts w:ascii="Calibri" w:cs="Calibri" w:eastAsia="Calibri" w:hAnsi="Calibri"/>
          <w:b/>
          <w:bCs/>
          <w:color w:val="1C1915"/>
          <w:sz w:val="44"/>
          <w:szCs w:val="44"/>
        </w:rPr>
        <w:t xml:space="preserve">LIABILITY INSURANCE</w:t>
      </w:r>
    </w:p>
    <w:p>
      <w:pPr>
        <w:spacing w:after="80" w:before="80"/>
        <w:jc w:val="center"/>
      </w:pPr>
      <w:r>
        <w:rPr>
          <w:rFonts w:ascii="Calibri" w:cs="Calibri" w:eastAsia="Calibri" w:hAnsi="Calibri"/>
          <w:b w:val="false"/>
          <w:bCs w:val="false"/>
          <w:i/>
          <w:iCs/>
          <w:color w:val="1C1915"/>
          <w:sz w:val="26"/>
          <w:szCs w:val="26"/>
        </w:rPr>
        <w:t>Excess Policy Wording</w:t>
      </w:r>
    </w:p>
    <w:p>
      <w:pPr>
        <w:spacing w:after="400"/>
      </w:pPr>
    </w:p>
    <w:p>
      <w:pPr>
        <w:spacing w:after="80" w:before="80"/>
        <w:jc w:val="center"/>
      </w:pPr>
      <w:r>
        <w:rPr>
          <w:rFonts w:ascii="Calibri" w:cs="Calibri" w:eastAsia="Calibri" w:hAnsi="Calibri"/>
          <w:b/>
          <w:bCs/>
          <w:i w:val="false"/>
          <w:iCs w:val="false"/>
          <w:color w:val="1C1915"/>
          <w:sz w:val="24"/>
          <w:szCs w:val="24"/>
        </w:rPr>
        <w:t xml:space="preserve">Meridian Commons — Open Source Insurance Wording</w:t>
      </w:r>
    </w:p>
    <w:p>
      <w:pPr>
        <w:spacing w:after="80" w:before="80"/>
        <w:jc w:val="center"/>
      </w:pPr>
      <w:r>
        <w:rPr>
          <w:rFonts w:ascii="Calibri" w:cs="Calibri" w:eastAsia="Calibri" w:hAnsi="Calibri"/>
          <w:b w:val="false"/>
          <w:bCs w:val="false"/>
          <w:i w:val="false"/>
          <w:iCs w:val="false"/>
          <w:color w:val="1C1915"/>
          <w:sz w:val="24"/>
          <w:szCs w:val="24"/>
        </w:rPr>
        <w:t>v2.0.0-DRAFT · October 2026 · Creative Commons BY 4.0</w:t>
      </w:r>
    </w:p>
    <w:p>
      <w:pPr>
        <w:spacing w:after="80" w:before="80"/>
        <w:jc w:val="center"/>
      </w:pPr>
      <w:r>
        <w:rPr>
          <w:rFonts w:ascii="Calibri" w:cs="Calibri" w:eastAsia="Calibri" w:hAnsi="Calibri"/>
          <w:b w:val="false"/>
          <w:bCs w:val="false"/>
          <w:i w:val="false"/>
          <w:iCs w:val="false"/>
          <w:color w:val="1C1915"/>
          <w:sz w:val="24"/>
          <w:szCs w:val="24"/>
        </w:rPr>
        <w:t xml:space="preserve">Document ref: 2026/SADO/0001 · Cuttleflow Systems Pty Ltd</w:t>
      </w:r>
    </w:p>
    <w:p>
      <w:pPr>
        <w:pBdr>
          <w:top w:val="single" w:color="C24E2C" w:sz="12"/>
          <w:bottom w:val="single" w:color="C24E2C" w:sz="12"/>
        </w:pBdr>
        <w:spacing w:after="300" w:before="300"/>
        <w:jc w:val="center"/>
      </w:pPr>
      <w:r>
        <w:rPr>
          <w:rFonts w:ascii="Calibri" w:cs="Calibri" w:eastAsia="Calibri" w:hAnsi="Calibri"/>
          <w:b/>
          <w:bCs/>
          <w:color w:val="1C1915"/>
          <w:sz w:val="24"/>
          <w:szCs w:val="24"/>
        </w:rPr>
        <w:t xml:space="preserve">DRAFT — SUBJECT TO LEGAL REVIEW — NOT FOR USE</w:t>
      </w:r>
    </w:p>
    <w:p>
      <w:pPr>
        <w:pStyle w:val="Heading1"/>
        <w:pageBreakBefore/>
        <w:pBdr>
          <w:bottom w:val="single" w:color="E2D9C8" w:sz="6"/>
        </w:pBdr>
        <w:spacing w:after="160" w:before="360"/>
      </w:pPr>
      <w:r>
        <w:rPr>
          <w:rFonts w:ascii="Calibri" w:cs="Calibri" w:eastAsia="Calibri" w:hAnsi="Calibri"/>
          <w:b/>
          <w:bCs/>
          <w:color w:val="1C1915"/>
          <w:sz w:val="30"/>
          <w:szCs w:val="30"/>
        </w:rPr>
        <w:t>Changes From v1.2.0</w:t>
      </w:r>
    </w:p>
    <w:p>
      <w:pPr>
        <w:spacing w:after="160"/>
        <w:jc w:val="both"/>
      </w:pPr>
      <w:r>
        <w:rPr>
          <w:rFonts w:ascii="Calibri" w:cs="Calibri" w:eastAsia="Calibri" w:hAnsi="Calibri"/>
          <w:i w:val="false"/>
          <w:iCs w:val="false"/>
          <w:sz w:val="21"/>
          <w:szCs w:val="21"/>
        </w:rPr>
        <w:t>This MAJOR release restructures the policy as Side A-only excess cover that follows the underlying D&amp;O insurance. It responds to capacity feedback (Crescendo Underwriting, 30 October 2026) that Australian demand is for Side A top-up limits, and that difference-in-conditions drop-down needs individual underwriting of the primary insurer and wording. Cover is narrower than v1.2.0. Items marked [Underwriter] change a coverage position and need underwriter sign-off. The v1.3.0 changes proposed on 29 October 2026 were not adopted, except where listed below.</w:t>
      </w:r>
    </w:p>
    <w:p>
      <w:pPr>
        <w:spacing w:after="160"/>
        <w:jc w:val="both"/>
      </w:pPr>
      <w:r>
        <w:rPr>
          <w:rFonts w:ascii="Calibri" w:cs="Calibri" w:eastAsia="Calibri" w:hAnsi="Calibri"/>
          <w:b/>
          <w:bCs/>
          <w:i w:val="false"/>
          <w:iCs w:val="false"/>
          <w:sz w:val="21"/>
          <w:szCs w:val="21"/>
        </w:rPr>
        <w:t>S1 —</w:t>
      </w:r>
      <w:r>
        <w:rPr>
          <w:rFonts w:ascii="Calibri" w:cs="Calibri" w:eastAsia="Calibri" w:hAnsi="Calibri"/>
          <w:bCs/>
          <w:i w:val="false"/>
          <w:iCs w:val="false"/>
          <w:sz w:val="21"/>
          <w:szCs w:val="21"/>
        </w:rPr>
        <w:t xml:space="preserve"> Clause numbers removed. Headings carry the structure and cross-references cite clause headings. Clause numbers in the earlier change logs below refer to the numbering of the versions they describe.</w:t>
      </w:r>
    </w:p>
    <w:p>
      <w:pPr>
        <w:spacing w:after="160"/>
        <w:jc w:val="both"/>
      </w:pPr>
      <w:r>
        <w:rPr>
          <w:rFonts w:ascii="Calibri" w:cs="Calibri" w:eastAsia="Calibri" w:hAnsi="Calibri"/>
          <w:b/>
          <w:bCs/>
          <w:i w:val="false"/>
          <w:iCs w:val="false"/>
          <w:sz w:val="21"/>
          <w:szCs w:val="21"/>
        </w:rPr>
        <w:t>A1 — Excess and follow-form structure.</w:t>
      </w:r>
      <w:r>
        <w:rPr>
          <w:rFonts w:ascii="Calibri" w:cs="Calibri" w:eastAsia="Calibri" w:hAnsi="Calibri"/>
          <w:bCs/>
          <w:i w:val="false"/>
          <w:iCs w:val="false"/>
          <w:sz w:val="21"/>
          <w:szCs w:val="21"/>
        </w:rPr>
        <w:t xml:space="preserve"> New clauses Side A Excess Cover, Exhaustion of the Underlying D&amp;O Insurance, Following the Underlying D&amp;O Insurance, and No Drop-Down. Payments under any insuring clause of the underlying D&amp;O insurance, including cover for the company, count towards exhaustion. [Underwriter]</w:t>
      </w:r>
    </w:p>
    <w:p>
      <w:pPr>
        <w:spacing w:after="160"/>
        <w:jc w:val="both"/>
      </w:pPr>
      <w:r>
        <w:rPr>
          <w:rFonts w:ascii="Calibri" w:cs="Calibri" w:eastAsia="Calibri" w:hAnsi="Calibri"/>
          <w:b/>
          <w:bCs/>
          <w:i w:val="false"/>
          <w:iCs w:val="false"/>
          <w:sz w:val="21"/>
          <w:szCs w:val="21"/>
        </w:rPr>
        <w:t>A2 — Difference in conditions moved to an endorsement.</w:t>
      </w:r>
      <w:r>
        <w:rPr>
          <w:rFonts w:ascii="Calibri" w:cs="Calibri" w:eastAsia="Calibri" w:hAnsi="Calibri"/>
          <w:bCs/>
          <w:i w:val="false"/>
          <w:iCs w:val="false"/>
          <w:sz w:val="21"/>
          <w:szCs w:val="21"/>
        </w:rPr>
        <w:t xml:space="preserve"> Drop-down cover is removed from the base wording and is now Endorsement E04, which applies only where the schedule says so. Two v1.2.0 triggers are not carried over because they did not describe a failure of the underlying insurance: company insolvency (non-indemnifiable loss is covered on excess terms) and aggregate exhaustion (the base cover already attaches on exhaustion). The DIC retention moves from the schedule to E04. [Underwriter]</w:t>
      </w:r>
    </w:p>
    <w:p>
      <w:pPr>
        <w:spacing w:after="160"/>
        <w:jc w:val="both"/>
      </w:pPr>
      <w:r>
        <w:rPr>
          <w:rFonts w:ascii="Calibri" w:cs="Calibri" w:eastAsia="Calibri" w:hAnsi="Calibri"/>
          <w:b/>
          <w:bCs/>
          <w:i w:val="false"/>
          <w:iCs w:val="false"/>
          <w:sz w:val="21"/>
          <w:szCs w:val="21"/>
        </w:rPr>
        <w:t>A3 — Exclusions.</w:t>
      </w:r>
      <w:r>
        <w:rPr>
          <w:rFonts w:ascii="Calibri" w:cs="Calibri" w:eastAsia="Calibri" w:hAnsi="Calibri"/>
          <w:bCs/>
          <w:i w:val="false"/>
          <w:iCs w:val="false"/>
          <w:sz w:val="21"/>
          <w:szCs w:val="21"/>
        </w:rPr>
        <w:t xml:space="preserve"> This policy's own exclusions are reduced to loss indemnified by the company, dishonesty and fraud, personal profit, prior and pending litigation, sanctions, and US/Canada. Other exclusions now follow the underlying D&amp;O insurance. Prior Known Matters, Insured Versus Insured, Bodily Injury and Property Damage, Professional Services, Major Transactions, and War, Terrorism and Nuclear are no longer standalone exclusions. Definitions of Indemnifiable loss, Independent third party and Whistleblower are removed as unused. New definition Underlying insurer. [Underwriter]</w:t>
      </w:r>
    </w:p>
    <w:p>
      <w:pPr>
        <w:spacing w:after="160"/>
        <w:jc w:val="both"/>
      </w:pPr>
      <w:r>
        <w:rPr>
          <w:rFonts w:ascii="Calibri" w:cs="Calibri" w:eastAsia="Calibri" w:hAnsi="Calibri"/>
          <w:b/>
          <w:bCs/>
          <w:i w:val="false"/>
          <w:iCs w:val="false"/>
          <w:sz w:val="21"/>
          <w:szCs w:val="21"/>
        </w:rPr>
        <w:t>A4 — Extensions.</w:t>
      </w:r>
      <w:r>
        <w:rPr>
          <w:rFonts w:ascii="Calibri" w:cs="Calibri" w:eastAsia="Calibri" w:hAnsi="Calibri"/>
          <w:bCs/>
          <w:i w:val="false"/>
          <w:iCs w:val="false"/>
          <w:sz w:val="21"/>
          <w:szCs w:val="21"/>
        </w:rPr>
        <w:t xml:space="preserve"> Extensions are reduced to Advancement of Defence Costs once this policy has attached. Regulatory investigation, extradition, bail and bond, preservation of assets, public relations and tax advice costs, and the 72-month retired-director run-off now follow the underlying D&amp;O insurance. Endorsements for regulatory and preservation-of-assets sub-limits, lifetime run-off, spousal guarantees and NFP trustees are withdrawn; the library is renumbered E01 to E04. [Underwriter]</w:t>
      </w:r>
    </w:p>
    <w:p>
      <w:pPr>
        <w:spacing w:after="160"/>
        <w:jc w:val="both"/>
      </w:pPr>
      <w:r>
        <w:rPr>
          <w:rFonts w:ascii="Calibri" w:cs="Calibri" w:eastAsia="Calibri" w:hAnsi="Calibri"/>
          <w:b/>
          <w:bCs/>
          <w:i w:val="false"/>
          <w:iCs w:val="false"/>
          <w:sz w:val="21"/>
          <w:szCs w:val="21"/>
        </w:rPr>
        <w:t>A5 — Wrongful refusal.</w:t>
      </w:r>
      <w:r>
        <w:rPr>
          <w:rFonts w:ascii="Calibri" w:cs="Calibri" w:eastAsia="Calibri" w:hAnsi="Calibri"/>
          <w:bCs/>
          <w:i w:val="false"/>
          <w:iCs w:val="false"/>
          <w:sz w:val="21"/>
          <w:szCs w:val="21"/>
        </w:rPr>
        <w:t xml:space="preserve"> The Loss definition and the exclusion Loss Indemnified by the Company now remove only amounts the company has actually paid. In v1.2.0 they also removed amounts the company was obligated to pay, which cancelled limb (c) of Non-indemnifiable loss.</w:t>
      </w:r>
    </w:p>
    <w:p>
      <w:pPr>
        <w:spacing w:after="160"/>
        <w:jc w:val="both"/>
      </w:pPr>
      <w:r>
        <w:rPr>
          <w:rFonts w:ascii="Calibri" w:cs="Calibri" w:eastAsia="Calibri" w:hAnsi="Calibri"/>
          <w:b/>
          <w:bCs/>
          <w:i w:val="false"/>
          <w:iCs w:val="false"/>
          <w:sz w:val="21"/>
          <w:szCs w:val="21"/>
        </w:rPr>
        <w:t>A6 — Corporations Act s 199B.</w:t>
      </w:r>
      <w:r>
        <w:rPr>
          <w:rFonts w:ascii="Calibri" w:cs="Calibri" w:eastAsia="Calibri" w:hAnsi="Calibri"/>
          <w:bCs/>
          <w:i w:val="false"/>
          <w:iCs w:val="false"/>
          <w:sz w:val="21"/>
          <w:szCs w:val="21"/>
        </w:rPr>
        <w:t xml:space="preserve"> The Loss definition no longer attributes to s 199B a ban on insuring pecuniary penalty and compensation orders; s 199B governs who may pay the premium. New general condition Premium and Corporations Act s 199B and schedule field. Both carry WP REVIEW tags.</w:t>
      </w:r>
    </w:p>
    <w:p>
      <w:pPr>
        <w:spacing w:after="160"/>
        <w:jc w:val="both"/>
      </w:pPr>
      <w:r>
        <w:rPr>
          <w:rFonts w:ascii="Calibri" w:cs="Calibri" w:eastAsia="Calibri" w:hAnsi="Calibri"/>
          <w:b/>
          <w:bCs/>
          <w:i w:val="false"/>
          <w:iCs w:val="false"/>
          <w:sz w:val="21"/>
          <w:szCs w:val="21"/>
        </w:rPr>
        <w:t>A7 — Conditions.</w:t>
      </w:r>
      <w:r>
        <w:rPr>
          <w:rFonts w:ascii="Calibri" w:cs="Calibri" w:eastAsia="Calibri" w:hAnsi="Calibri"/>
          <w:bCs/>
          <w:i w:val="false"/>
          <w:iCs w:val="false"/>
          <w:sz w:val="21"/>
          <w:szCs w:val="21"/>
        </w:rPr>
        <w:t xml:space="preserve"> New general condition Subrogation and Recovery. Excess of Other DIC Insurance is rewritten as Other Side A Insurance. Underlying Insurance is rewritten as Maintenance of Underlying D&amp;O Insurance. WP REVIEW tags added.</w:t>
      </w:r>
    </w:p>
    <w:p>
      <w:pPr>
        <w:spacing w:after="160"/>
        <w:jc w:val="both"/>
      </w:pPr>
      <w:r>
        <w:rPr>
          <w:rFonts w:ascii="Calibri" w:cs="Calibri" w:eastAsia="Calibri" w:hAnsi="Calibri"/>
          <w:b/>
          <w:bCs/>
          <w:i w:val="false"/>
          <w:iCs w:val="false"/>
          <w:sz w:val="21"/>
          <w:szCs w:val="21"/>
        </w:rPr>
        <w:t>N1 —</w:t>
      </w:r>
      <w:r>
        <w:rPr>
          <w:rFonts w:ascii="Calibri" w:cs="Calibri" w:eastAsia="Calibri" w:hAnsi="Calibri"/>
          <w:bCs/>
          <w:i w:val="false"/>
          <w:iCs w:val="false"/>
          <w:sz w:val="21"/>
          <w:szCs w:val="21"/>
        </w:rPr>
        <w:t xml:space="preserve"> The coverage-denial trigger (now in E04) refers to denial, avoidance or cancellation instead of rescission.</w:t>
      </w:r>
    </w:p>
    <w:p>
      <w:pPr>
        <w:spacing w:before="400"/>
      </w:pPr>
    </w:p>
    <w:p>
      <w:pPr>
        <w:pStyle w:val="Heading1"/>
        <w:pageBreakBefore/>
        <w:pBdr>
          <w:bottom w:val="single" w:color="E2D9C8" w:sz="6"/>
        </w:pBdr>
        <w:spacing w:after="160" w:before="360"/>
      </w:pPr>
      <w:r>
        <w:rPr>
          <w:rFonts w:ascii="Calibri" w:cs="Calibri" w:eastAsia="Calibri" w:hAnsi="Calibri"/>
          <w:b/>
          <w:bCs/>
          <w:color w:val="1C1915"/>
          <w:sz w:val="30"/>
          <w:szCs w:val="30"/>
        </w:rPr>
        <w:t xml:space="preserve">Changes From v1.1.0</w:t>
      </w:r>
    </w:p>
    <w:p>
      <w:pPr>
        <w:spacing w:after="160"/>
        <w:jc w:val="both"/>
      </w:pPr>
      <w:r>
        <w:rPr>
          <w:rFonts w:ascii="Calibri" w:cs="Calibri" w:eastAsia="Calibri" w:hAnsi="Calibri"/>
          <w:i w:val="false"/>
          <w:iCs w:val="false"/>
          <w:sz w:val="21"/>
          <w:szCs w:val="21"/>
        </w:rPr>
        <w:t xml:space="preserve">Provenance remediation (PROV-CMN-002); drafting-only, legal effect preserved. The Sanctions clause (4.11) was reworded to remove the LMA-derived sanctions-triplet formulation. The clause's existing regime scope is unchanged.</w:t>
      </w:r>
    </w:p>
    <w:p/>
    <w:p>
      <w:pPr>
        <w:pStyle w:val="Heading1"/>
        <w:pageBreakBefore/>
        <w:pBdr>
          <w:bottom w:val="single" w:color="E2D9C8" w:sz="6"/>
        </w:pBdr>
        <w:spacing w:after="160" w:before="360"/>
      </w:pPr>
      <w:r>
        <w:rPr>
          <w:rFonts w:ascii="Calibri" w:cs="Calibri" w:eastAsia="Calibri" w:hAnsi="Calibri"/>
          <w:b/>
          <w:bCs/>
          <w:color w:val="1C1915"/>
          <w:sz w:val="30"/>
          <w:szCs w:val="30"/>
        </w:rPr>
        <w:t xml:space="preserve">Changes From v1.0.0</w:t>
      </w:r>
    </w:p>
    <w:p>
      <w:pPr>
        <w:spacing w:after="160"/>
        <w:jc w:val="both"/>
      </w:pPr>
      <w:r>
        <w:rPr>
          <w:rFonts w:ascii="Calibri" w:cs="Calibri" w:eastAsia="Calibri" w:hAnsi="Calibri"/>
          <w:i w:val="false"/>
          <w:iCs w:val="false"/>
          <w:sz w:val="21"/>
          <w:szCs w:val="21"/>
        </w:rPr>
        <w:t xml:space="preserve">This v1.1.0-DRAFT release remediates the findings of the 2026 pre-publication audit of v1.0.0 (Doc ref 2026/SADO/0001). Every Critical and Major finding is remediated below; Minor and Polish findings are remediated where they could be resolved by drafting alone. A full clause-by-clause change register accompanies this document (SideA_change_register_v1_1_0.md). This document remains </w:t>
      </w:r>
      <w:r>
        <w:rPr>
          <w:rFonts w:ascii="Calibri" w:cs="Calibri" w:eastAsia="Calibri" w:hAnsi="Calibri"/>
          <w:b/>
          <w:bCs/>
          <w:i w:val="false"/>
          <w:iCs w:val="false"/>
          <w:sz w:val="21"/>
          <w:szCs w:val="21"/>
        </w:rPr>
        <w:t xml:space="preserve">DRAFT — SUBJECT TO LEGAL REVIEW</w:t>
      </w:r>
      <w:r>
        <w:rPr>
          <w:rFonts w:ascii="Calibri" w:cs="Calibri" w:eastAsia="Calibri" w:hAnsi="Calibri"/>
          <w:i w:val="false"/>
          <w:iCs w:val="false"/>
          <w:sz w:val="21"/>
          <w:szCs w:val="21"/>
        </w:rPr>
        <w:t xml:space="preserve"> pending Wording Partner sign-off; open judgement calls are recorded for the Wording Partner.</w:t>
      </w:r>
      <w:r>
        <w:rPr>
          <w:rFonts w:ascii="Calibri" w:cs="Calibri" w:eastAsia="Calibri" w:hAnsi="Calibri"/>
          <w:b/>
          <w:bCs/>
          <w:i w:val="false"/>
          <w:iCs w:val="false"/>
          <w:sz w:val="21"/>
          <w:szCs w:val="21"/>
        </w:rPr>
        <w:t xml:space="preserve"/>
      </w:r>
      <w:r>
        <w:rPr>
          <w:rFonts w:ascii="Calibri" w:cs="Calibri" w:eastAsia="Calibri" w:hAnsi="Calibri"/>
          <w:i w:val="false"/>
          <w:iCs w:val="false"/>
          <w:sz w:val="21"/>
          <w:szCs w:val="21"/>
        </w:rPr>
        <w:t xml:space="preserve"/>
      </w:r>
    </w:p>
    <w:p>
      <w:pPr>
        <w:pStyle w:val="Heading2"/>
        <w:spacing w:after="100" w:before="240"/>
      </w:pPr>
      <w:r>
        <w:rPr>
          <w:rFonts w:ascii="Calibri" w:cs="Calibri" w:eastAsia="Calibri" w:hAnsi="Calibri"/>
          <w:b/>
          <w:bCs/>
          <w:color w:val="1C1915"/>
          <w:sz w:val="24"/>
          <w:szCs w:val="24"/>
        </w:rPr>
        <w:t xml:space="preserve">Critical</w:t>
      </w:r>
    </w:p>
    <w:p>
      <w:pPr>
        <w:spacing w:after="160"/>
        <w:jc w:val="both"/>
      </w:pPr>
      <w:r>
        <w:rPr>
          <w:rFonts w:ascii="Calibri" w:cs="Calibri" w:eastAsia="Calibri" w:hAnsi="Calibri"/>
          <w:b/>
          <w:bCs/>
          <w:i w:val="false"/>
          <w:iCs w:val="false"/>
          <w:sz w:val="21"/>
          <w:szCs w:val="21"/>
        </w:rPr>
        <w:t xml:space="preserve">C1 — DIC toggle contradiction resolved.</w:t>
      </w:r>
      <w:r>
        <w:rPr>
          <w:rFonts w:ascii="Calibri" w:cs="Calibri" w:eastAsia="Calibri" w:hAnsi="Calibri"/>
          <w:i w:val="false"/>
          <w:iCs w:val="false"/>
          <w:sz w:val="21"/>
          <w:szCs w:val="21"/>
        </w:rPr>
        <w:t xml:space="preserve"> Deleted the Schedule's "whether the DIC cover is operative" toggle. DIC drop-down (Section 2.3) is now stated as an unconditional, core feature of the policy. The Schedule retains only a field for specified/broadened DIC triggers tied to Endorsement E07, plus a new DIC self-insured retention field.</w:t>
      </w:r>
    </w:p>
    <w:p>
      <w:pPr>
        <w:spacing w:after="160"/>
        <w:jc w:val="both"/>
      </w:pPr>
      <w:r>
        <w:rPr>
          <w:rFonts w:ascii="Calibri" w:cs="Calibri" w:eastAsia="Calibri" w:hAnsi="Calibri"/>
          <w:b/>
          <w:bCs/>
          <w:i w:val="false"/>
          <w:iCs w:val="false"/>
          <w:sz w:val="21"/>
          <w:szCs w:val="21"/>
        </w:rPr>
        <w:t xml:space="preserve">C2 — Retroactive date machinery added.</w:t>
      </w:r>
      <w:r>
        <w:rPr>
          <w:rFonts w:ascii="Calibri" w:cs="Calibri" w:eastAsia="Calibri" w:hAnsi="Calibri"/>
          <w:i w:val="false"/>
          <w:iCs w:val="false"/>
          <w:sz w:val="21"/>
          <w:szCs w:val="21"/>
        </w:rPr>
        <w:t xml:space="preserve"> New defined term </w:t>
      </w:r>
      <w:r>
        <w:rPr>
          <w:rFonts w:ascii="Calibri" w:cs="Calibri" w:eastAsia="Calibri" w:hAnsi="Calibri"/>
          <w:b/>
          <w:bCs/>
          <w:i w:val="false"/>
          <w:iCs w:val="false"/>
          <w:sz w:val="21"/>
          <w:szCs w:val="21"/>
        </w:rPr>
        <w:t xml:space="preserve">Retroactive date</w:t>
      </w:r>
      <w:r>
        <w:rPr>
          <w:rFonts w:ascii="Calibri" w:cs="Calibri" w:eastAsia="Calibri" w:hAnsi="Calibri"/>
          <w:i w:val="false"/>
          <w:iCs w:val="false"/>
          <w:sz w:val="21"/>
          <w:szCs w:val="21"/>
        </w:rPr>
        <w:t xml:space="preserve"> and Schedule field; new objective </w:t>
      </w:r>
      <w:r>
        <w:rPr>
          <w:rFonts w:ascii="Calibri" w:cs="Calibri" w:eastAsia="Calibri" w:hAnsi="Calibri"/>
          <w:b/>
          <w:bCs/>
          <w:i w:val="false"/>
          <w:iCs w:val="false"/>
          <w:sz w:val="21"/>
          <w:szCs w:val="21"/>
        </w:rPr>
        <w:t xml:space="preserve">Prior and Pending Litigation</w:t>
      </w:r>
      <w:r>
        <w:rPr>
          <w:rFonts w:ascii="Calibri" w:cs="Calibri" w:eastAsia="Calibri" w:hAnsi="Calibri"/>
          <w:i w:val="false"/>
          <w:iCs w:val="false"/>
          <w:sz w:val="21"/>
          <w:szCs w:val="21"/>
        </w:rPr>
        <w:t xml:space="preserve"> exclusion (Section 4.6); deemed-date rule added to the </w:t>
      </w:r>
      <w:r>
        <w:rPr>
          <w:rFonts w:ascii="Calibri" w:cs="Calibri" w:eastAsia="Calibri" w:hAnsi="Calibri"/>
          <w:b/>
          <w:bCs/>
          <w:i w:val="false"/>
          <w:iCs w:val="false"/>
          <w:sz w:val="21"/>
          <w:szCs w:val="21"/>
        </w:rPr>
        <w:t xml:space="preserve">Claim</w:t>
      </w:r>
      <w:r>
        <w:rPr>
          <w:rFonts w:ascii="Calibri" w:cs="Calibri" w:eastAsia="Calibri" w:hAnsi="Calibri"/>
          <w:i w:val="false"/>
          <w:iCs w:val="false"/>
          <w:sz w:val="21"/>
          <w:szCs w:val="21"/>
        </w:rPr>
        <w:t xml:space="preserve"> definition for related wrongful acts spanning periods; retroactive date threaded into Sections 2.1, 2.2, and 2.3.</w:t>
      </w:r>
    </w:p>
    <w:p>
      <w:pPr>
        <w:spacing w:after="160"/>
        <w:jc w:val="both"/>
      </w:pPr>
      <w:r>
        <w:rPr>
          <w:rFonts w:ascii="Calibri" w:cs="Calibri" w:eastAsia="Calibri" w:hAnsi="Calibri"/>
          <w:b/>
          <w:bCs/>
          <w:i w:val="false"/>
          <w:iCs w:val="false"/>
          <w:sz w:val="21"/>
          <w:szCs w:val="21"/>
        </w:rPr>
        <w:t xml:space="preserve">C3 — Section 5.6 rewritten as Non-Avoidance (now 5.7).</w:t>
      </w:r>
      <w:r>
        <w:rPr>
          <w:rFonts w:ascii="Calibri" w:cs="Calibri" w:eastAsia="Calibri" w:hAnsi="Calibri"/>
          <w:i w:val="false"/>
          <w:iCs w:val="false"/>
          <w:sz w:val="21"/>
          <w:szCs w:val="21"/>
        </w:rPr>
        <w:t xml:space="preserve"> Replaced US-style avoidance vocabulary that did not map onto s 28 of the Insurance Contracts Act 1984 (Cth) with drafting anchored to that section; avoidance confined to personal fraudulent non-disclosure by the insured person seeking cover; the s 28(3) proportionate-reduction remedy is expressly waived against innocent insured persons.</w:t>
      </w:r>
    </w:p>
    <w:p>
      <w:pPr>
        <w:pStyle w:val="Heading2"/>
        <w:spacing w:after="100" w:before="240"/>
      </w:pPr>
      <w:r>
        <w:rPr>
          <w:rFonts w:ascii="Calibri" w:cs="Calibri" w:eastAsia="Calibri" w:hAnsi="Calibri"/>
          <w:b/>
          <w:bCs/>
          <w:color w:val="1C1915"/>
          <w:sz w:val="24"/>
          <w:szCs w:val="24"/>
        </w:rPr>
        <w:t xml:space="preserve">Major</w:t>
      </w:r>
    </w:p>
    <w:p>
      <w:pPr>
        <w:spacing w:after="160"/>
        <w:jc w:val="both"/>
      </w:pPr>
      <w:r>
        <w:rPr>
          <w:rFonts w:ascii="Calibri" w:cs="Calibri" w:eastAsia="Calibri" w:hAnsi="Calibri"/>
          <w:b/>
          <w:bCs/>
          <w:i w:val="false"/>
          <w:iCs w:val="false"/>
          <w:sz w:val="21"/>
          <w:szCs w:val="21"/>
        </w:rPr>
        <w:t xml:space="preserve">M1 —</w:t>
      </w:r>
      <w:r>
        <w:rPr>
          <w:rFonts w:ascii="Calibri" w:cs="Calibri" w:eastAsia="Calibri" w:hAnsi="Calibri"/>
          <w:i w:val="false"/>
          <w:iCs w:val="false"/>
          <w:sz w:val="21"/>
          <w:szCs w:val="21"/>
        </w:rPr>
        <w:t xml:space="preserve"> New Section 2.6, </w:t>
      </w:r>
      <w:r>
        <w:rPr>
          <w:rFonts w:ascii="Calibri" w:cs="Calibri" w:eastAsia="Calibri" w:hAnsi="Calibri"/>
          <w:b/>
          <w:bCs/>
          <w:i w:val="false"/>
          <w:iCs w:val="false"/>
          <w:sz w:val="21"/>
          <w:szCs w:val="21"/>
        </w:rPr>
        <w:t xml:space="preserve">Presumptive Indemnification</w:t>
      </w:r>
      <w:r>
        <w:rPr>
          <w:rFonts w:ascii="Calibri" w:cs="Calibri" w:eastAsia="Calibri" w:hAnsi="Calibri"/>
          <w:i w:val="false"/>
          <w:iCs w:val="false"/>
          <w:sz w:val="21"/>
          <w:szCs w:val="21"/>
        </w:rPr>
        <w:t xml:space="preserve">: rebuttable presumption the company could and would indemnify, absent proof otherwise.</w:t>
      </w:r>
    </w:p>
    <w:p>
      <w:pPr>
        <w:spacing w:after="160"/>
        <w:jc w:val="both"/>
      </w:pPr>
      <w:r>
        <w:rPr>
          <w:rFonts w:ascii="Calibri" w:cs="Calibri" w:eastAsia="Calibri" w:hAnsi="Calibri"/>
          <w:b/>
          <w:bCs/>
          <w:i w:val="false"/>
          <w:iCs w:val="false"/>
          <w:sz w:val="21"/>
          <w:szCs w:val="21"/>
        </w:rPr>
        <w:t xml:space="preserve">M2 / M3 —</w:t>
      </w:r>
      <w:r>
        <w:rPr>
          <w:rFonts w:ascii="Calibri" w:cs="Calibri" w:eastAsia="Calibri" w:hAnsi="Calibri"/>
          <w:i w:val="false"/>
          <w:iCs w:val="false"/>
          <w:sz w:val="21"/>
          <w:szCs w:val="21"/>
        </w:rPr>
        <w:t xml:space="preserve"> New Section 7.8, </w:t>
      </w:r>
      <w:r>
        <w:rPr>
          <w:rFonts w:ascii="Calibri" w:cs="Calibri" w:eastAsia="Calibri" w:hAnsi="Calibri"/>
          <w:b/>
          <w:bCs/>
          <w:i w:val="false"/>
          <w:iCs w:val="false"/>
          <w:sz w:val="21"/>
          <w:szCs w:val="21"/>
        </w:rPr>
        <w:t xml:space="preserve">Insurance Contracts Act — Savings and No Contracting-Out</w:t>
      </w:r>
      <w:r>
        <w:rPr>
          <w:rFonts w:ascii="Calibri" w:cs="Calibri" w:eastAsia="Calibri" w:hAnsi="Calibri"/>
          <w:i w:val="false"/>
          <w:iCs w:val="false"/>
          <w:sz w:val="21"/>
          <w:szCs w:val="21"/>
        </w:rPr>
        <w:t xml:space="preserve">: general savings/no-contracting-out clause plus an express s 54 acknowledgement (post-claim acts reduce for proven prejudice only, not forfeit).</w:t>
      </w:r>
    </w:p>
    <w:p>
      <w:pPr>
        <w:spacing w:after="160"/>
        <w:jc w:val="both"/>
      </w:pPr>
      <w:r>
        <w:rPr>
          <w:rFonts w:ascii="Calibri" w:cs="Calibri" w:eastAsia="Calibri" w:hAnsi="Calibri"/>
          <w:b/>
          <w:bCs/>
          <w:i w:val="false"/>
          <w:iCs w:val="false"/>
          <w:sz w:val="21"/>
          <w:szCs w:val="21"/>
        </w:rPr>
        <w:t xml:space="preserve">M4 —</w:t>
      </w:r>
      <w:r>
        <w:rPr>
          <w:rFonts w:ascii="Calibri" w:cs="Calibri" w:eastAsia="Calibri" w:hAnsi="Calibri"/>
          <w:i w:val="false"/>
          <w:iCs w:val="false"/>
          <w:sz w:val="21"/>
          <w:szCs w:val="21"/>
        </w:rPr>
        <w:t xml:space="preserve"> Section 3.1 (Advancement of Defence Costs) now carries a second, parallel repayment trigger where the company later indemnifies the insured person for the same loss, closing the double-recovery gap.</w:t>
      </w:r>
    </w:p>
    <w:p>
      <w:pPr>
        <w:spacing w:after="160"/>
        <w:jc w:val="both"/>
      </w:pPr>
      <w:r>
        <w:rPr>
          <w:rFonts w:ascii="Calibri" w:cs="Calibri" w:eastAsia="Calibri" w:hAnsi="Calibri"/>
          <w:b/>
          <w:bCs/>
          <w:i w:val="false"/>
          <w:iCs w:val="false"/>
          <w:sz w:val="21"/>
          <w:szCs w:val="21"/>
        </w:rPr>
        <w:t xml:space="preserve">M5 —</w:t>
      </w:r>
      <w:r>
        <w:rPr>
          <w:rFonts w:ascii="Calibri" w:cs="Calibri" w:eastAsia="Calibri" w:hAnsi="Calibri"/>
          <w:i w:val="false"/>
          <w:iCs w:val="false"/>
          <w:sz w:val="21"/>
          <w:szCs w:val="21"/>
        </w:rPr>
        <w:t xml:space="preserve"> New Section 5.6, </w:t>
      </w:r>
      <w:r>
        <w:rPr>
          <w:rFonts w:ascii="Calibri" w:cs="Calibri" w:eastAsia="Calibri" w:hAnsi="Calibri"/>
          <w:b/>
          <w:bCs/>
          <w:i w:val="false"/>
          <w:iCs w:val="false"/>
          <w:sz w:val="21"/>
          <w:szCs w:val="21"/>
        </w:rPr>
        <w:t xml:space="preserve">Excess of Other DIC Insurance</w:t>
      </w:r>
      <w:r>
        <w:rPr>
          <w:rFonts w:ascii="Calibri" w:cs="Calibri" w:eastAsia="Calibri" w:hAnsi="Calibri"/>
          <w:i w:val="false"/>
          <w:iCs w:val="false"/>
          <w:sz w:val="21"/>
          <w:szCs w:val="21"/>
        </w:rPr>
        <w:t xml:space="preserve">: an express stacking/priority clause for towers with more than one Side-A/DIC layer, with a pro-rata tie-break for circularity.</w:t>
      </w:r>
    </w:p>
    <w:p>
      <w:pPr>
        <w:spacing w:after="160"/>
        <w:jc w:val="both"/>
      </w:pPr>
      <w:r>
        <w:rPr>
          <w:rFonts w:ascii="Calibri" w:cs="Calibri" w:eastAsia="Calibri" w:hAnsi="Calibri"/>
          <w:b/>
          <w:bCs/>
          <w:i w:val="false"/>
          <w:iCs w:val="false"/>
          <w:sz w:val="21"/>
          <w:szCs w:val="21"/>
        </w:rPr>
        <w:t xml:space="preserve">M6 / P2 —</w:t>
      </w:r>
      <w:r>
        <w:rPr>
          <w:rFonts w:ascii="Calibri" w:cs="Calibri" w:eastAsia="Calibri" w:hAnsi="Calibri"/>
          <w:i w:val="false"/>
          <w:iCs w:val="false"/>
          <w:sz w:val="21"/>
          <w:szCs w:val="21"/>
        </w:rPr>
        <w:t xml:space="preserve"> Sanctions provision separated from the war/terrorism exclusion (now Section 4.10) into its own standalone Section 4.11, naming the Autonomous Sanctions Act 2011 (Cth) and the Charter of the United Nations Act 1945 (Cth). Scope as to foreign (US/UK/EU) sanctions regimes is flagged </w:t>
      </w:r>
      <w:r>
        <w:rPr>
          <w:rFonts w:ascii="Calibri" w:cs="Calibri" w:eastAsia="Calibri" w:hAnsi="Calibri"/>
          <w:b/>
          <w:bCs/>
          <w:i w:val="false"/>
          <w:iCs w:val="false"/>
          <w:sz w:val="21"/>
          <w:szCs w:val="21"/>
        </w:rPr>
        <w:t xml:space="preserve"/>
      </w:r>
      <w:r>
        <w:rPr>
          <w:rFonts w:ascii="Calibri" w:cs="Calibri" w:eastAsia="Calibri" w:hAnsi="Calibri"/>
          <w:i w:val="false"/>
          <w:iCs w:val="false"/>
          <w:sz w:val="21"/>
          <w:szCs w:val="21"/>
        </w:rPr>
        <w:t xml:space="preserve"> as a deliberate capacity-dependent choice.</w:t>
      </w:r>
    </w:p>
    <w:p>
      <w:pPr>
        <w:pStyle w:val="Heading2"/>
        <w:spacing w:after="100" w:before="240"/>
      </w:pPr>
      <w:r>
        <w:rPr>
          <w:rFonts w:ascii="Calibri" w:cs="Calibri" w:eastAsia="Calibri" w:hAnsi="Calibri"/>
          <w:b/>
          <w:bCs/>
          <w:color w:val="1C1915"/>
          <w:sz w:val="24"/>
          <w:szCs w:val="24"/>
        </w:rPr>
        <w:t xml:space="preserve">Minor and Polish (resolved by drafting)</w:t>
      </w:r>
    </w:p>
    <w:p>
      <w:pPr>
        <w:spacing w:after="160"/>
        <w:jc w:val="both"/>
      </w:pPr>
      <w:r>
        <w:rPr>
          <w:rFonts w:ascii="Calibri" w:cs="Calibri" w:eastAsia="Calibri" w:hAnsi="Calibri"/>
          <w:b/>
          <w:bCs/>
          <w:i w:val="false"/>
          <w:iCs w:val="false"/>
          <w:sz w:val="21"/>
          <w:szCs w:val="21"/>
        </w:rPr>
        <w:t xml:space="preserve">N1 —</w:t>
      </w:r>
      <w:r>
        <w:rPr>
          <w:rFonts w:ascii="Calibri" w:cs="Calibri" w:eastAsia="Calibri" w:hAnsi="Calibri"/>
          <w:i w:val="false"/>
          <w:iCs w:val="false"/>
          <w:sz w:val="21"/>
          <w:szCs w:val="21"/>
        </w:rPr>
        <w:t xml:space="preserve"> New defined term </w:t>
      </w:r>
      <w:r>
        <w:rPr>
          <w:rFonts w:ascii="Calibri" w:cs="Calibri" w:eastAsia="Calibri" w:hAnsi="Calibri"/>
          <w:b/>
          <w:bCs/>
          <w:i w:val="false"/>
          <w:iCs w:val="false"/>
          <w:sz w:val="21"/>
          <w:szCs w:val="21"/>
        </w:rPr>
        <w:t xml:space="preserve">Final adjudication</w:t>
      </w:r>
      <w:r>
        <w:rPr>
          <w:rFonts w:ascii="Calibri" w:cs="Calibri" w:eastAsia="Calibri" w:hAnsi="Calibri"/>
          <w:i w:val="false"/>
          <w:iCs w:val="false"/>
          <w:sz w:val="21"/>
          <w:szCs w:val="21"/>
        </w:rPr>
        <w:t xml:space="preserve"> (Section 1) applied uniformly in Sections 4.2 and 4.3, removing the appeals-qualifier inconsistency.</w:t>
      </w:r>
    </w:p>
    <w:p>
      <w:pPr>
        <w:spacing w:after="160"/>
        <w:jc w:val="both"/>
      </w:pPr>
      <w:r>
        <w:rPr>
          <w:rFonts w:ascii="Calibri" w:cs="Calibri" w:eastAsia="Calibri" w:hAnsi="Calibri"/>
          <w:b/>
          <w:bCs/>
          <w:i w:val="false"/>
          <w:iCs w:val="false"/>
          <w:sz w:val="21"/>
          <w:szCs w:val="21"/>
        </w:rPr>
        <w:t xml:space="preserve">N2 —</w:t>
      </w:r>
      <w:r>
        <w:rPr>
          <w:rFonts w:ascii="Calibri" w:cs="Calibri" w:eastAsia="Calibri" w:hAnsi="Calibri"/>
          <w:i w:val="false"/>
          <w:iCs w:val="false"/>
          <w:sz w:val="21"/>
          <w:szCs w:val="21"/>
        </w:rPr>
        <w:t xml:space="preserve"> Section 3.4 now uses the defined term </w:t>
      </w:r>
      <w:r>
        <w:rPr>
          <w:rFonts w:ascii="Calibri" w:cs="Calibri" w:eastAsia="Calibri" w:hAnsi="Calibri"/>
          <w:b/>
          <w:bCs/>
          <w:i w:val="false"/>
          <w:iCs w:val="false"/>
          <w:sz w:val="21"/>
          <w:szCs w:val="21"/>
        </w:rPr>
        <w:t xml:space="preserve">Regulator</w:t>
      </w:r>
      <w:r>
        <w:rPr>
          <w:rFonts w:ascii="Calibri" w:cs="Calibri" w:eastAsia="Calibri" w:hAnsi="Calibri"/>
          <w:i w:val="false"/>
          <w:iCs w:val="false"/>
          <w:sz w:val="21"/>
          <w:szCs w:val="21"/>
        </w:rPr>
        <w:t xml:space="preserve"> instead of undefined prose.</w:t>
      </w:r>
    </w:p>
    <w:p>
      <w:pPr>
        <w:spacing w:after="160"/>
        <w:jc w:val="both"/>
      </w:pPr>
      <w:r>
        <w:rPr>
          <w:rFonts w:ascii="Calibri" w:cs="Calibri" w:eastAsia="Calibri" w:hAnsi="Calibri"/>
          <w:b/>
          <w:bCs/>
          <w:i w:val="false"/>
          <w:iCs w:val="false"/>
          <w:sz w:val="21"/>
          <w:szCs w:val="21"/>
        </w:rPr>
        <w:t xml:space="preserve">N3 —</w:t>
      </w:r>
      <w:r>
        <w:rPr>
          <w:rFonts w:ascii="Calibri" w:cs="Calibri" w:eastAsia="Calibri" w:hAnsi="Calibri"/>
          <w:i w:val="false"/>
          <w:iCs w:val="false"/>
          <w:sz w:val="21"/>
          <w:szCs w:val="21"/>
        </w:rPr>
        <w:t xml:space="preserve"> New Schedule field, DIC self-insured retention, reconciling the </w:t>
      </w:r>
      <w:r>
        <w:rPr>
          <w:rFonts w:ascii="Calibri" w:cs="Calibri" w:eastAsia="Calibri" w:hAnsi="Calibri"/>
          <w:b/>
          <w:bCs/>
          <w:i w:val="false"/>
          <w:iCs w:val="false"/>
          <w:sz w:val="21"/>
          <w:szCs w:val="21"/>
        </w:rPr>
        <w:t xml:space="preserve">Attachment point</w:t>
      </w:r>
      <w:r>
        <w:rPr>
          <w:rFonts w:ascii="Calibri" w:cs="Calibri" w:eastAsia="Calibri" w:hAnsi="Calibri"/>
          <w:i w:val="false"/>
          <w:iCs w:val="false"/>
          <w:sz w:val="21"/>
          <w:szCs w:val="21"/>
        </w:rPr>
        <w:t xml:space="preserve"> definition's two meanings.</w:t>
      </w:r>
    </w:p>
    <w:p>
      <w:pPr>
        <w:spacing w:after="160"/>
        <w:jc w:val="both"/>
      </w:pPr>
      <w:r>
        <w:rPr>
          <w:rFonts w:ascii="Calibri" w:cs="Calibri" w:eastAsia="Calibri" w:hAnsi="Calibri"/>
          <w:b/>
          <w:bCs/>
          <w:i w:val="false"/>
          <w:iCs w:val="false"/>
          <w:sz w:val="21"/>
          <w:szCs w:val="21"/>
        </w:rPr>
        <w:t xml:space="preserve">N4 —</w:t>
      </w:r>
      <w:r>
        <w:rPr>
          <w:rFonts w:ascii="Calibri" w:cs="Calibri" w:eastAsia="Calibri" w:hAnsi="Calibri"/>
          <w:i w:val="false"/>
          <w:iCs w:val="false"/>
          <w:sz w:val="21"/>
          <w:szCs w:val="21"/>
        </w:rPr>
        <w:t xml:space="preserve"> Section 7.5 now fixes governing law and jurisdiction to a Schedule field set at inception, plus an express submission-to-jurisdiction clause. This replaces the old formula that floated with wherever the company's business happened to be based at any given time.</w:t>
      </w:r>
    </w:p>
    <w:p>
      <w:pPr>
        <w:spacing w:after="160"/>
        <w:jc w:val="both"/>
      </w:pPr>
      <w:r>
        <w:rPr>
          <w:rFonts w:ascii="Calibri" w:cs="Calibri" w:eastAsia="Calibri" w:hAnsi="Calibri"/>
          <w:b/>
          <w:bCs/>
          <w:i w:val="false"/>
          <w:iCs w:val="false"/>
          <w:sz w:val="21"/>
          <w:szCs w:val="21"/>
        </w:rPr>
        <w:t xml:space="preserve">N5 —</w:t>
      </w:r>
      <w:r>
        <w:rPr>
          <w:rFonts w:ascii="Calibri" w:cs="Calibri" w:eastAsia="Calibri" w:hAnsi="Calibri"/>
          <w:i w:val="false"/>
          <w:iCs w:val="false"/>
          <w:sz w:val="21"/>
          <w:szCs w:val="21"/>
        </w:rPr>
        <w:t xml:space="preserve"> New defined terms </w:t>
      </w:r>
      <w:r>
        <w:rPr>
          <w:rFonts w:ascii="Calibri" w:cs="Calibri" w:eastAsia="Calibri" w:hAnsi="Calibri"/>
          <w:b/>
          <w:bCs/>
          <w:i w:val="false"/>
          <w:iCs w:val="false"/>
          <w:sz w:val="21"/>
          <w:szCs w:val="21"/>
        </w:rPr>
        <w:t xml:space="preserve">Whistleblower</w:t>
      </w:r>
      <w:r>
        <w:rPr>
          <w:rFonts w:ascii="Calibri" w:cs="Calibri" w:eastAsia="Calibri" w:hAnsi="Calibri"/>
          <w:i w:val="false"/>
          <w:iCs w:val="false"/>
          <w:sz w:val="21"/>
          <w:szCs w:val="21"/>
        </w:rPr>
        <w:t xml:space="preserve"> (Corporations Act 2001 (Cth) Pt 9.4AAA "eligible whistleblower") and </w:t>
      </w:r>
      <w:r>
        <w:rPr>
          <w:rFonts w:ascii="Calibri" w:cs="Calibri" w:eastAsia="Calibri" w:hAnsi="Calibri"/>
          <w:b/>
          <w:bCs/>
          <w:i w:val="false"/>
          <w:iCs w:val="false"/>
          <w:sz w:val="21"/>
          <w:szCs w:val="21"/>
        </w:rPr>
        <w:t xml:space="preserve">Independent third party</w:t>
      </w:r>
      <w:r>
        <w:rPr>
          <w:rFonts w:ascii="Calibri" w:cs="Calibri" w:eastAsia="Calibri" w:hAnsi="Calibri"/>
          <w:i w:val="false"/>
          <w:iCs w:val="false"/>
          <w:sz w:val="21"/>
          <w:szCs w:val="21"/>
        </w:rPr>
        <w:t xml:space="preserve">.</w:t>
      </w:r>
    </w:p>
    <w:p>
      <w:pPr>
        <w:spacing w:after="160"/>
        <w:jc w:val="both"/>
      </w:pPr>
      <w:r>
        <w:rPr>
          <w:rFonts w:ascii="Calibri" w:cs="Calibri" w:eastAsia="Calibri" w:hAnsi="Calibri"/>
          <w:b/>
          <w:bCs/>
          <w:i w:val="false"/>
          <w:iCs w:val="false"/>
          <w:sz w:val="21"/>
          <w:szCs w:val="21"/>
        </w:rPr>
        <w:t xml:space="preserve">N6 —</w:t>
      </w:r>
      <w:r>
        <w:rPr>
          <w:rFonts w:ascii="Calibri" w:cs="Calibri" w:eastAsia="Calibri" w:hAnsi="Calibri"/>
          <w:i w:val="false"/>
          <w:iCs w:val="false"/>
          <w:sz w:val="21"/>
          <w:szCs w:val="21"/>
        </w:rPr>
        <w:t xml:space="preserve"> Section 6.5 now states the consequence of breach (no cover reduction absent proven prejudice; no automatic DIC drop-down trigger absent an actual Section 2.3.1–2.3.5 event).</w:t>
      </w:r>
    </w:p>
    <w:p>
      <w:pPr>
        <w:spacing w:after="160"/>
        <w:jc w:val="both"/>
      </w:pPr>
      <w:r>
        <w:rPr>
          <w:rFonts w:ascii="Calibri" w:cs="Calibri" w:eastAsia="Calibri" w:hAnsi="Calibri"/>
          <w:b/>
          <w:bCs/>
          <w:i w:val="false"/>
          <w:iCs w:val="false"/>
          <w:sz w:val="21"/>
          <w:szCs w:val="21"/>
        </w:rPr>
        <w:t xml:space="preserve">N7 —</w:t>
      </w:r>
      <w:r>
        <w:rPr>
          <w:rFonts w:ascii="Calibri" w:cs="Calibri" w:eastAsia="Calibri" w:hAnsi="Calibri"/>
          <w:i w:val="false"/>
          <w:iCs w:val="false"/>
          <w:sz w:val="21"/>
          <w:szCs w:val="21"/>
        </w:rPr>
        <w:t xml:space="preserve"> The </w:t>
      </w:r>
      <w:r>
        <w:rPr>
          <w:rFonts w:ascii="Calibri" w:cs="Calibri" w:eastAsia="Calibri" w:hAnsi="Calibri"/>
          <w:b/>
          <w:bCs/>
          <w:i w:val="false"/>
          <w:iCs w:val="false"/>
          <w:sz w:val="21"/>
          <w:szCs w:val="21"/>
        </w:rPr>
        <w:t xml:space="preserve">Loss</w:t>
      </w:r>
      <w:r>
        <w:rPr>
          <w:rFonts w:ascii="Calibri" w:cs="Calibri" w:eastAsia="Calibri" w:hAnsi="Calibri"/>
          <w:i w:val="false"/>
          <w:iCs w:val="false"/>
          <w:sz w:val="21"/>
          <w:szCs w:val="21"/>
        </w:rPr>
        <w:t xml:space="preserve"> definition's uninsurable fines/penalties carve-out now cross-references section 199B of the Corporations Act 2001 (Cth) alongside the existing section 199A citation in </w:t>
      </w:r>
      <w:r>
        <w:rPr>
          <w:rFonts w:ascii="Calibri" w:cs="Calibri" w:eastAsia="Calibri" w:hAnsi="Calibri"/>
          <w:b/>
          <w:bCs/>
          <w:i w:val="false"/>
          <w:iCs w:val="false"/>
          <w:sz w:val="21"/>
          <w:szCs w:val="21"/>
        </w:rPr>
        <w:t xml:space="preserve">Non-indemnifiable loss</w:t>
      </w:r>
      <w:r>
        <w:rPr>
          <w:rFonts w:ascii="Calibri" w:cs="Calibri" w:eastAsia="Calibri" w:hAnsi="Calibri"/>
          <w:i w:val="false"/>
          <w:iCs w:val="false"/>
          <w:sz w:val="21"/>
          <w:szCs w:val="21"/>
        </w:rPr>
        <w:t xml:space="preserve">.</w:t>
      </w:r>
    </w:p>
    <w:p>
      <w:pPr>
        <w:spacing w:after="160"/>
        <w:jc w:val="both"/>
      </w:pPr>
      <w:r>
        <w:rPr>
          <w:rFonts w:ascii="Calibri" w:cs="Calibri" w:eastAsia="Calibri" w:hAnsi="Calibri"/>
          <w:b/>
          <w:bCs/>
          <w:i w:val="false"/>
          <w:iCs w:val="false"/>
          <w:sz w:val="21"/>
          <w:szCs w:val="21"/>
        </w:rPr>
        <w:t xml:space="preserve">P1 —</w:t>
      </w:r>
      <w:r>
        <w:rPr>
          <w:rFonts w:ascii="Calibri" w:cs="Calibri" w:eastAsia="Calibri" w:hAnsi="Calibri"/>
          <w:i w:val="false"/>
          <w:iCs w:val="false"/>
          <w:sz w:val="21"/>
          <w:szCs w:val="21"/>
        </w:rPr>
        <w:t xml:space="preserve"> Section 6.2 now cites s 40(3) of the Insurance Contracts Act 1984 (Cth) expressly.</w:t>
      </w:r>
    </w:p>
    <w:p>
      <w:pPr>
        <w:spacing w:after="160"/>
        <w:jc w:val="both"/>
      </w:pPr>
      <w:r>
        <w:rPr>
          <w:rFonts w:ascii="Calibri" w:cs="Calibri" w:eastAsia="Calibri" w:hAnsi="Calibri"/>
          <w:b/>
          <w:bCs/>
          <w:i w:val="false"/>
          <w:iCs w:val="false"/>
          <w:sz w:val="21"/>
          <w:szCs w:val="21"/>
        </w:rPr>
        <w:t xml:space="preserve">P3 — not remediated (coverage-position, not drafting).</w:t>
      </w:r>
      <w:r>
        <w:rPr>
          <w:rFonts w:ascii="Calibri" w:cs="Calibri" w:eastAsia="Calibri" w:hAnsi="Calibri"/>
          <w:i w:val="false"/>
          <w:iCs w:val="false"/>
          <w:sz w:val="21"/>
          <w:szCs w:val="21"/>
        </w:rPr>
        <w:t xml:space="preserve"> The audit's benchmark observation that lifetime run-off is increasingly offered as a standard base feature is a pricing/appetite decision for the underwriter, not a drafting fix; Section 3.2 now cross-refers to Endorsement E06 for context but the base 72-month run-off is unchanged. Flagged for underwriting review.</w:t>
      </w:r>
    </w:p>
    <w:p>
      <w:pPr>
        <w:spacing w:after="160"/>
        <w:jc w:val="both"/>
      </w:pPr>
      <w:r>
        <w:rPr>
          <w:rFonts w:ascii="Calibri" w:cs="Calibri" w:eastAsia="Calibri" w:hAnsi="Calibri"/>
          <w:b/>
          <w:bCs/>
          <w:i w:val="false"/>
          <w:iCs w:val="false"/>
          <w:sz w:val="21"/>
          <w:szCs w:val="21"/>
        </w:rPr>
        <w:t xml:space="preserve">P4 —</w:t>
      </w:r>
      <w:r>
        <w:rPr>
          <w:rFonts w:ascii="Calibri" w:cs="Calibri" w:eastAsia="Calibri" w:hAnsi="Calibri"/>
          <w:i w:val="false"/>
          <w:iCs w:val="false"/>
          <w:sz w:val="21"/>
          <w:szCs w:val="21"/>
        </w:rPr>
        <w:t xml:space="preserve"> This section is the version-history block the audit recommended; retained and extended on every future release.</w:t>
      </w:r>
    </w:p>
    <w:p/>
    <w:p>
      <w:pPr>
        <w:pStyle w:val="Heading1"/>
        <w:pageBreakBefore/>
        <w:pBdr>
          <w:bottom w:val="single" w:color="E2D9C8" w:sz="6"/>
        </w:pBdr>
        <w:spacing w:after="160" w:before="360"/>
      </w:pPr>
      <w:r>
        <w:rPr>
          <w:rFonts w:ascii="Calibri" w:cs="Calibri" w:eastAsia="Calibri" w:hAnsi="Calibri"/>
          <w:b/>
          <w:bCs/>
          <w:color w:val="1C1915"/>
          <w:sz w:val="30"/>
          <w:szCs w:val="30"/>
        </w:rPr>
        <w:t>About This Policy</w:t>
      </w:r>
    </w:p>
    <w:p>
      <w:pPr>
        <w:spacing w:after="160"/>
        <w:jc w:val="both"/>
      </w:pPr>
      <w:r>
        <w:rPr>
          <w:rFonts w:ascii="Calibri" w:cs="Calibri" w:eastAsia="Calibri" w:hAnsi="Calibri"/>
          <w:i w:val="false"/>
          <w:iCs w:val="false"/>
          <w:sz w:val="21"/>
          <w:szCs w:val="21"/>
        </w:rPr>
        <w:t>This policy protects individual directors and officers against loss that their company cannot or will not indemnify. It sits above the company's directors' and officers' liability or management liability insurance (the underlying D&amp;O insurance) and pays only after that insurance has been exhausted by payment.</w:t>
      </w:r>
    </w:p>
    <w:p>
      <w:pPr>
        <w:spacing w:after="160"/>
        <w:jc w:val="both"/>
      </w:pPr>
      <w:r>
        <w:rPr>
          <w:rFonts w:ascii="Calibri" w:cs="Calibri" w:eastAsia="Calibri" w:hAnsi="Calibri"/>
          <w:i w:val="false"/>
          <w:iCs w:val="false"/>
          <w:sz w:val="21"/>
          <w:szCs w:val="21"/>
        </w:rPr>
        <w:t>It is called "Side A" cover because it protects only the individuals, not the company. Its limit is reserved for directors and officers. The company cannot claim under it, and claims against the company that use up the underlying D&amp;O insurance do not reduce it.</w:t>
      </w:r>
    </w:p>
    <w:p>
      <w:pPr>
        <w:spacing w:after="160"/>
        <w:jc w:val="both"/>
      </w:pPr>
      <w:r>
        <w:rPr>
          <w:rFonts w:ascii="Calibri" w:cs="Calibri" w:eastAsia="Calibri" w:hAnsi="Calibri"/>
          <w:i w:val="false"/>
          <w:iCs w:val="false"/>
          <w:sz w:val="21"/>
          <w:szCs w:val="21"/>
        </w:rPr>
        <w:t>For cover of loss the company does not indemnify, this policy follows the terms of the underlying D&amp;O insurance, except where this policy says otherwise. It does not drop down to fill gaps in the underlying D&amp;O insurance unless the schedule shows that Endorsement E04 (Difference in Conditions) applies.</w:t>
      </w:r>
    </w:p>
    <w:p>
      <w:pPr>
        <w:spacing w:after="160"/>
        <w:jc w:val="both"/>
      </w:pPr>
      <w:r>
        <w:rPr>
          <w:rFonts w:ascii="Calibri" w:cs="Calibri" w:eastAsia="Calibri" w:hAnsi="Calibri"/>
          <w:i w:val="false"/>
          <w:iCs w:val="false"/>
          <w:sz w:val="21"/>
          <w:szCs w:val="21"/>
        </w:rPr>
        <w:t>Who this policy is for: Directors and officers who want additional limit reserved for themselves, in particular where the underlying D&amp;O insurance also covers the company (for example, a management liability package), so that claims against the company can use up the limit available to individuals.</w:t>
      </w:r>
    </w:p>
    <w:p>
      <w:pPr>
        <w:spacing w:after="160"/>
        <w:jc w:val="both"/>
      </w:pPr>
      <w:r>
        <w:rPr>
          <w:rFonts w:ascii="Calibri" w:cs="Calibri" w:eastAsia="Calibri" w:hAnsi="Calibri"/>
          <w:i w:val="false"/>
          <w:iCs w:val="false"/>
          <w:sz w:val="21"/>
          <w:szCs w:val="21"/>
        </w:rPr>
        <w:t>This policy, together with your schedule and any endorsements, forms your contract of insurance with us. Words shown in bold have special meanings, set out under Definitions.</w:t>
      </w:r>
    </w:p>
    <w:p>
      <w:pPr>
        <w:spacing w:after="160"/>
        <w:jc w:val="both"/>
      </w:pPr>
      <w:r>
        <w:rPr>
          <w:rFonts w:ascii="Calibri" w:cs="Calibri" w:eastAsia="Calibri" w:hAnsi="Calibri"/>
          <w:i w:val="false"/>
          <w:iCs w:val="false"/>
          <w:sz w:val="21"/>
          <w:szCs w:val="21"/>
        </w:rPr>
        <w:t>Before this policy was entered into, you were given written notice, as required by s 40(1) of the Insurance Contracts Act 1984 (Cth), of the effect of s 40(3) (see Notify Us of Circumstances).</w:t>
      </w:r>
    </w:p>
    <w:p>
      <w:pPr>
        <w:pStyle w:val="Heading1"/>
        <w:pageBreakBefore/>
        <w:pBdr>
          <w:bottom w:val="single" w:color="E2D9C8" w:sz="6"/>
        </w:pBdr>
        <w:spacing w:after="160" w:before="360"/>
      </w:pPr>
      <w:r>
        <w:rPr>
          <w:rFonts w:ascii="Calibri" w:cs="Calibri" w:eastAsia="Calibri" w:hAnsi="Calibri"/>
          <w:b/>
          <w:bCs/>
          <w:color w:val="1C1915"/>
          <w:sz w:val="30"/>
          <w:szCs w:val="30"/>
        </w:rPr>
        <w:t>Schedule</w:t>
      </w:r>
    </w:p>
    <w:p>
      <w:pPr>
        <w:spacing w:after="160"/>
        <w:jc w:val="both"/>
      </w:pPr>
      <w:r>
        <w:rPr>
          <w:rFonts w:ascii="Calibri" w:cs="Calibri" w:eastAsia="Calibri" w:hAnsi="Calibri"/>
          <w:i w:val="false"/>
          <w:iCs w:val="false"/>
          <w:sz w:val="21"/>
          <w:szCs w:val="21"/>
        </w:rPr>
        <w:t>(Completed separately for each policy — contains your specific details)</w:t>
      </w:r>
    </w:p>
    <w:p>
      <w:pPr>
        <w:pStyle w:val="ListParagraph"/>
        <w:numPr>
          <w:ilvl w:val="0"/>
          <w:numId w:val="2"/>
        </w:numPr>
        <w:spacing w:after="80"/>
      </w:pPr>
      <w:r>
        <w:rPr>
          <w:rFonts w:ascii="Calibri" w:cs="Calibri" w:eastAsia="Calibri" w:hAnsi="Calibri"/>
          <w:i w:val="false"/>
          <w:iCs w:val="false"/>
          <w:sz w:val="21"/>
          <w:szCs w:val="21"/>
        </w:rPr>
        <w:t>The company and its directors and officers</w:t>
      </w:r>
    </w:p>
    <w:p>
      <w:pPr>
        <w:pStyle w:val="ListParagraph"/>
        <w:numPr>
          <w:ilvl w:val="0"/>
          <w:numId w:val="2"/>
        </w:numPr>
        <w:spacing w:after="80"/>
      </w:pPr>
      <w:r>
        <w:rPr>
          <w:rFonts w:ascii="Calibri" w:cs="Calibri" w:eastAsia="Calibri" w:hAnsi="Calibri"/>
          <w:i w:val="false"/>
          <w:iCs w:val="false"/>
          <w:sz w:val="21"/>
          <w:szCs w:val="21"/>
        </w:rPr>
        <w:t>The policy period</w:t>
      </w:r>
    </w:p>
    <w:p>
      <w:pPr>
        <w:pStyle w:val="ListParagraph"/>
        <w:numPr>
          <w:ilvl w:val="0"/>
          <w:numId w:val="2"/>
        </w:numPr>
        <w:spacing w:after="80"/>
      </w:pPr>
      <w:r>
        <w:rPr>
          <w:rFonts w:ascii="Calibri" w:cs="Calibri" w:eastAsia="Calibri" w:hAnsi="Calibri"/>
          <w:i w:val="false"/>
          <w:iCs w:val="false"/>
          <w:sz w:val="21"/>
          <w:szCs w:val="21"/>
        </w:rPr>
        <w:t>The retroactive date</w:t>
      </w:r>
    </w:p>
    <w:p>
      <w:pPr>
        <w:pStyle w:val="ListParagraph"/>
        <w:numPr>
          <w:ilvl w:val="0"/>
          <w:numId w:val="2"/>
        </w:numPr>
        <w:spacing w:after="80"/>
      </w:pPr>
      <w:r>
        <w:rPr>
          <w:rFonts w:ascii="Calibri" w:cs="Calibri" w:eastAsia="Calibri" w:hAnsi="Calibri"/>
          <w:i w:val="false"/>
          <w:iCs w:val="false"/>
          <w:sz w:val="21"/>
          <w:szCs w:val="21"/>
        </w:rPr>
        <w:t>The underlying D&amp;O insurance: each policy, its insurer, its limit of liability, and its policy period</w:t>
      </w:r>
    </w:p>
    <w:p>
      <w:pPr>
        <w:pStyle w:val="ListParagraph"/>
        <w:numPr>
          <w:ilvl w:val="0"/>
          <w:numId w:val="2"/>
        </w:numPr>
        <w:spacing w:after="80"/>
      </w:pPr>
      <w:r>
        <w:rPr>
          <w:rFonts w:ascii="Calibri" w:cs="Calibri" w:eastAsia="Calibri" w:hAnsi="Calibri"/>
          <w:i w:val="false"/>
          <w:iCs w:val="false"/>
          <w:sz w:val="21"/>
          <w:szCs w:val="21"/>
        </w:rPr>
        <w:t>The attachment point (the total of the limits of the underlying D&amp;O insurance)</w:t>
      </w:r>
    </w:p>
    <w:p>
      <w:pPr>
        <w:pStyle w:val="ListParagraph"/>
        <w:numPr>
          <w:ilvl w:val="0"/>
          <w:numId w:val="2"/>
        </w:numPr>
        <w:spacing w:after="80"/>
      </w:pPr>
      <w:r>
        <w:rPr>
          <w:rFonts w:ascii="Calibri" w:cs="Calibri" w:eastAsia="Calibri" w:hAnsi="Calibri"/>
          <w:i w:val="false"/>
          <w:iCs w:val="false"/>
          <w:sz w:val="21"/>
          <w:szCs w:val="21"/>
        </w:rPr>
        <w:t>The limit of liability of this policy</w:t>
      </w:r>
    </w:p>
    <w:p>
      <w:pPr>
        <w:pStyle w:val="ListParagraph"/>
        <w:numPr>
          <w:ilvl w:val="0"/>
          <w:numId w:val="2"/>
        </w:numPr>
        <w:spacing w:after="80"/>
      </w:pPr>
      <w:r>
        <w:rPr>
          <w:rFonts w:ascii="Calibri" w:cs="Calibri" w:eastAsia="Calibri" w:hAnsi="Calibri"/>
          <w:i w:val="false"/>
          <w:iCs w:val="false"/>
          <w:sz w:val="21"/>
          <w:szCs w:val="21"/>
        </w:rPr>
        <w:t>Whether Endorsement E04 (Difference in Conditions) applies and, if it does, the DIC retention</w:t>
      </w:r>
    </w:p>
    <w:p>
      <w:pPr>
        <w:pStyle w:val="ListParagraph"/>
        <w:numPr>
          <w:ilvl w:val="0"/>
          <w:numId w:val="2"/>
        </w:numPr>
        <w:spacing w:after="80"/>
      </w:pPr>
      <w:r>
        <w:rPr>
          <w:rFonts w:ascii="Calibri" w:cs="Calibri" w:eastAsia="Calibri" w:hAnsi="Calibri"/>
          <w:i w:val="false"/>
          <w:iCs w:val="false"/>
          <w:sz w:val="21"/>
          <w:szCs w:val="21"/>
        </w:rPr>
        <w:t>Governing law and jurisdiction (the Australian state or territory)</w:t>
      </w:r>
    </w:p>
    <w:p>
      <w:pPr>
        <w:pStyle w:val="ListParagraph"/>
        <w:numPr>
          <w:ilvl w:val="0"/>
          <w:numId w:val="2"/>
        </w:numPr>
        <w:spacing w:after="80"/>
      </w:pPr>
      <w:r>
        <w:rPr>
          <w:rFonts w:ascii="Calibri" w:cs="Calibri" w:eastAsia="Calibri" w:hAnsi="Calibri"/>
          <w:i w:val="false"/>
          <w:iCs w:val="false"/>
          <w:sz w:val="21"/>
          <w:szCs w:val="21"/>
        </w:rPr>
        <w:t>The premium</w:t>
      </w:r>
    </w:p>
    <w:p>
      <w:pPr>
        <w:pStyle w:val="ListParagraph"/>
        <w:numPr>
          <w:ilvl w:val="0"/>
          <w:numId w:val="2"/>
        </w:numPr>
        <w:spacing w:after="80"/>
      </w:pPr>
      <w:r>
        <w:rPr>
          <w:rFonts w:ascii="Calibri" w:cs="Calibri" w:eastAsia="Calibri" w:hAnsi="Calibri"/>
          <w:i w:val="false"/>
          <w:iCs w:val="false"/>
          <w:sz w:val="21"/>
          <w:szCs w:val="21"/>
        </w:rPr>
        <w:t>Any portion of the premium payable other than by the company (see Premium and Corporations Act s 199B)</w:t>
      </w:r>
    </w:p>
    <w:p>
      <w:pPr>
        <w:pStyle w:val="ListParagraph"/>
        <w:numPr>
          <w:ilvl w:val="0"/>
          <w:numId w:val="2"/>
        </w:numPr>
        <w:spacing w:after="80"/>
      </w:pPr>
      <w:r>
        <w:rPr>
          <w:rFonts w:ascii="Calibri" w:cs="Calibri" w:eastAsia="Calibri" w:hAnsi="Calibri"/>
          <w:i w:val="false"/>
          <w:iCs w:val="false"/>
          <w:sz w:val="21"/>
          <w:szCs w:val="21"/>
        </w:rPr>
        <w:t>Any endorsements</w:t>
      </w:r>
    </w:p>
    <w:p>
      <w:pPr>
        <w:pStyle w:val="Heading1"/>
        <w:pageBreakBefore/>
        <w:pBdr>
          <w:bottom w:val="single" w:color="E2D9C8" w:sz="6"/>
        </w:pBdr>
        <w:spacing w:after="160" w:before="360"/>
      </w:pPr>
      <w:r>
        <w:rPr>
          <w:rFonts w:ascii="Calibri" w:cs="Calibri" w:eastAsia="Calibri" w:hAnsi="Calibri"/>
          <w:b/>
          <w:bCs/>
          <w:color w:val="1C1915"/>
          <w:sz w:val="30"/>
          <w:szCs w:val="30"/>
        </w:rPr>
        <w:t>Definitions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E2D9C8" w:val="clear"/>
            <w:tcMar>
              <w:top w:type="dxa" w:w="100"/>
              <w:left w:type="dxa" w:w="100"/>
              <w:bottom w:type="dxa" w:w="100"/>
              <w:right w:type="dxa" w:w="100"/>
            </w:tcMar>
            <w:vAlign w:val="top"/>
          </w:tcPr>
          <w:p>
            <w:r>
              <w:rPr>
                <w:rFonts w:ascii="Calibri" w:cs="Calibri" w:eastAsia="Calibri" w:hAnsi="Calibri"/>
                <w:b/>
                <w:bCs/>
                <w:sz w:val="20"/>
                <w:szCs w:val="20"/>
              </w:rPr>
              <w:t xml:space="preserve">Term</w:t>
            </w:r>
          </w:p>
        </w:tc>
        <w:tc>
          <w:tcPr>
            <w:tcW w:type="dxa" w:w="7100"/>
            <w:shd w:fill="E2D9C8" w:val="clear"/>
            <w:tcMar>
              <w:top w:type="dxa" w:w="100"/>
              <w:left w:type="dxa" w:w="100"/>
              <w:bottom w:type="dxa" w:w="100"/>
              <w:right w:type="dxa" w:w="100"/>
            </w:tcMar>
            <w:vAlign w:val="top"/>
          </w:tcPr>
          <w:p>
            <w:r>
              <w:rPr>
                <w:rFonts w:ascii="Calibri" w:cs="Calibri" w:eastAsia="Calibri" w:hAnsi="Calibri"/>
                <w:b/>
                <w:bCs/>
                <w:sz w:val="20"/>
                <w:szCs w:val="20"/>
              </w:rPr>
              <w:t xml:space="preserve">Meaning</w:t>
            </w:r>
          </w:p>
        </w:tc>
      </w:tr>
      <w:tr>
        <w:tc>
          <w:tcPr>
            <w:tcW w:type="dxa" w:w="2400"/>
            <w:tcMar>
              <w:top w:type="dxa" w:w="100"/>
              <w:left w:type="dxa" w:w="100"/>
              <w:bottom w:type="dxa" w:w="100"/>
              <w:right w:type="dxa" w:w="100"/>
            </w:tcMar>
            <w:vAlign w:val="top"/>
          </w:tcPr>
          <w:p>
            <w:r>
              <w:rPr>
                <w:rFonts w:ascii="Calibri" w:cs="Calibri" w:eastAsia="Calibri" w:hAnsi="Calibri"/>
                <w:b/>
                <w:bCs/>
                <w:sz w:val="20"/>
                <w:szCs w:val="20"/>
              </w:rPr>
              <w:t>Attachment point</w:t>
            </w:r>
          </w:p>
        </w:tc>
        <w:tc>
          <w:tcPr>
            <w:tcW w:type="dxa" w:w="71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The total of the limits of liability of the underlying D&amp;O insurance, as shown in the schedule.</w:t>
            </w:r>
          </w:p>
        </w:tc>
      </w:tr>
      <w:tr>
        <w:tc>
          <w:tcPr>
            <w:tcW w:type="dxa" w:w="2400"/>
            <w:tcMar>
              <w:top w:type="dxa" w:w="100"/>
              <w:left w:type="dxa" w:w="100"/>
              <w:bottom w:type="dxa" w:w="100"/>
              <w:right w:type="dxa" w:w="100"/>
            </w:tcMar>
            <w:vAlign w:val="top"/>
          </w:tcPr>
          <w:p>
            <w:r>
              <w:rPr>
                <w:rFonts w:ascii="Calibri" w:cs="Calibri" w:eastAsia="Calibri" w:hAnsi="Calibri"/>
                <w:b/>
                <w:bCs/>
                <w:sz w:val="20"/>
                <w:szCs w:val="20"/>
              </w:rPr>
              <w:t>Claim</w:t>
            </w:r>
          </w:p>
        </w:tc>
        <w:tc>
          <w:tcPr>
            <w:tcW w:type="dxa" w:w="71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(a) any written demand for compensation made against an insured person;</w:t>
            </w:r>
          </w:p>
          <w:p>
            <w:pPr>
              <w:spacing w:after="60"/>
            </w:pPr>
            <w:r>
              <w:rPr>
                <w:rFonts w:ascii="Calibri" w:cs="Calibri" w:eastAsia="Calibri" w:hAnsi="Calibri"/>
                <w:i w:val="false"/>
                <w:iCs w:val="false"/>
                <w:sz w:val="20"/>
                <w:szCs w:val="20"/>
              </w:rPr>
              <w:t>(b) any writ, summons, cross-claim, or legal proceeding issued against an insured person;</w:t>
            </w:r>
          </w:p>
          <w:p>
            <w:pPr>
              <w:spacing w:after="60"/>
            </w:pPr>
            <w:r>
              <w:rPr>
                <w:rFonts w:ascii="Calibri" w:cs="Calibri" w:eastAsia="Calibri" w:hAnsi="Calibri"/>
                <w:i w:val="false"/>
                <w:iCs w:val="false"/>
                <w:sz w:val="20"/>
                <w:szCs w:val="20"/>
              </w:rPr>
              <w:t>(c) any formal investigation, examination, or inquiry by a regulator into the conduct of an insured person, where the investigation could result in personal liability or a penalty against that individual;</w:t>
            </w:r>
          </w:p>
          <w:p>
            <w:pPr>
              <w:spacing w:after="60"/>
            </w:pPr>
            <w:r>
              <w:rPr>
                <w:rFonts w:ascii="Calibri" w:cs="Calibri" w:eastAsia="Calibri" w:hAnsi="Calibri"/>
                <w:i w:val="false"/>
                <w:iCs w:val="false"/>
                <w:sz w:val="20"/>
                <w:szCs w:val="20"/>
              </w:rPr>
              <w:t>(d) any extradition proceeding or warrant for arrest against an insured person in connection with a wrongful act; and</w:t>
            </w:r>
          </w:p>
          <w:p>
            <w:pPr>
              <w:spacing w:after="60"/>
            </w:pPr>
            <w:r>
              <w:rPr>
                <w:rFonts w:ascii="Calibri" w:cs="Calibri" w:eastAsia="Calibri" w:hAnsi="Calibri"/>
                <w:i w:val="false"/>
                <w:iCs w:val="false"/>
                <w:sz w:val="20"/>
                <w:szCs w:val="20"/>
              </w:rPr>
              <w:t>(e) any proceeding commenced by a liquidator, administrator, or receiver against an insured person.</w:t>
            </w:r>
          </w:p>
          <w:p>
            <w:pPr>
              <w:spacing w:after="60"/>
            </w:pPr>
            <w:r>
              <w:rPr>
                <w:rFonts w:ascii="Calibri" w:cs="Calibri" w:eastAsia="Calibri" w:hAnsi="Calibri"/>
                <w:i w:val="false"/>
                <w:iCs w:val="false"/>
                <w:sz w:val="20"/>
                <w:szCs w:val="20"/>
              </w:rPr>
              <w:t>Two or more claims arising from the same, similar, or related wrongful acts are treated as a single claim, first made on the date the earliest of those claims was first made.</w:t>
            </w:r>
          </w:p>
        </w:tc>
      </w:tr>
      <w:tr>
        <w:tc>
          <w:tcPr>
            <w:tcW w:type="dxa" w:w="2400"/>
            <w:tcMar>
              <w:top w:type="dxa" w:w="100"/>
              <w:left w:type="dxa" w:w="100"/>
              <w:bottom w:type="dxa" w:w="100"/>
              <w:right w:type="dxa" w:w="100"/>
            </w:tcMar>
            <w:vAlign w:val="top"/>
          </w:tcPr>
          <w:p>
            <w:r>
              <w:rPr>
                <w:rFonts w:ascii="Calibri" w:cs="Calibri" w:eastAsia="Calibri" w:hAnsi="Calibri"/>
                <w:b/>
                <w:bCs/>
                <w:sz w:val="20"/>
                <w:szCs w:val="20"/>
              </w:rPr>
              <w:t>Company</w:t>
            </w:r>
          </w:p>
        </w:tc>
        <w:tc>
          <w:tcPr>
            <w:tcW w:type="dxa" w:w="71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The entity named in the schedule, and any subsidiary.</w:t>
            </w:r>
          </w:p>
        </w:tc>
      </w:tr>
      <w:tr>
        <w:tc>
          <w:tcPr>
            <w:tcW w:type="dxa" w:w="2400"/>
            <w:tcMar>
              <w:top w:type="dxa" w:w="100"/>
              <w:left w:type="dxa" w:w="100"/>
              <w:bottom w:type="dxa" w:w="100"/>
              <w:right w:type="dxa" w:w="100"/>
            </w:tcMar>
            <w:vAlign w:val="top"/>
          </w:tcPr>
          <w:p>
            <w:r>
              <w:rPr>
                <w:rFonts w:ascii="Calibri" w:cs="Calibri" w:eastAsia="Calibri" w:hAnsi="Calibri"/>
                <w:b/>
                <w:bCs/>
                <w:sz w:val="20"/>
                <w:szCs w:val="20"/>
              </w:rPr>
              <w:t>Defence costs</w:t>
            </w:r>
          </w:p>
        </w:tc>
        <w:tc>
          <w:tcPr>
            <w:tcW w:type="dxa" w:w="71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The reasonable legal costs and expenses incurred by an insured person with our prior written consent in investigating, defending, or settling a claim. We will not unreasonably withhold or delay our consent.</w:t>
            </w:r>
          </w:p>
        </w:tc>
      </w:tr>
      <w:tr>
        <w:tc>
          <w:tcPr>
            <w:tcW w:type="dxa" w:w="2400"/>
            <w:tcMar>
              <w:top w:type="dxa" w:w="100"/>
              <w:left w:type="dxa" w:w="100"/>
              <w:bottom w:type="dxa" w:w="100"/>
              <w:right w:type="dxa" w:w="100"/>
            </w:tcMar>
            <w:vAlign w:val="top"/>
          </w:tcPr>
          <w:p>
            <w:r>
              <w:rPr>
                <w:rFonts w:ascii="Calibri" w:cs="Calibri" w:eastAsia="Calibri" w:hAnsi="Calibri"/>
                <w:b/>
                <w:bCs/>
                <w:sz w:val="20"/>
                <w:szCs w:val="20"/>
              </w:rPr>
              <w:t>Endorsement</w:t>
            </w:r>
          </w:p>
        </w:tc>
        <w:tc>
          <w:tcPr>
            <w:tcW w:type="dxa" w:w="71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A document attached to this policy that changes its terms.</w:t>
            </w:r>
          </w:p>
        </w:tc>
      </w:tr>
      <w:tr>
        <w:tc>
          <w:tcPr>
            <w:tcW w:type="dxa" w:w="2400"/>
            <w:tcMar>
              <w:top w:type="dxa" w:w="100"/>
              <w:left w:type="dxa" w:w="100"/>
              <w:bottom w:type="dxa" w:w="100"/>
              <w:right w:type="dxa" w:w="100"/>
            </w:tcMar>
            <w:vAlign w:val="top"/>
          </w:tcPr>
          <w:p>
            <w:r>
              <w:rPr>
                <w:rFonts w:ascii="Calibri" w:cs="Calibri" w:eastAsia="Calibri" w:hAnsi="Calibri"/>
                <w:b/>
                <w:bCs/>
                <w:sz w:val="20"/>
                <w:szCs w:val="20"/>
              </w:rPr>
              <w:t>Final adjudication</w:t>
            </w:r>
          </w:p>
        </w:tc>
        <w:tc>
          <w:tcPr>
            <w:tcW w:type="dxa" w:w="71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means a judgment or ruling of a court, tribunal, or arbitral body, after the exhaustion of all available rights of appeal or the expiry of the time within which an appeal may be lodged without an appeal being lodged, or a formal admission by the insured person, that establishes the conduct in question. Every reference in this policy to conduct being established, admitted, or determined by final adjudication (including in Dishonesty and Fraud and Personal Profit) carries this meaning, including all appeals.</w:t>
            </w:r>
          </w:p>
        </w:tc>
      </w:tr>
      <w:tr>
        <w:tc>
          <w:tcPr>
            <w:tcW w:type="dxa" w:w="2400"/>
            <w:tcMar>
              <w:top w:type="dxa" w:w="100"/>
              <w:left w:type="dxa" w:w="100"/>
              <w:bottom w:type="dxa" w:w="100"/>
              <w:right w:type="dxa" w:w="100"/>
            </w:tcMar>
            <w:vAlign w:val="top"/>
          </w:tcPr>
          <w:p>
            <w:r>
              <w:rPr>
                <w:rFonts w:ascii="Calibri" w:cs="Calibri" w:eastAsia="Calibri" w:hAnsi="Calibri"/>
                <w:b/>
                <w:bCs/>
                <w:sz w:val="20"/>
                <w:szCs w:val="20"/>
              </w:rPr>
              <w:t>Insured person</w:t>
            </w:r>
          </w:p>
        </w:tc>
        <w:tc>
          <w:tcPr>
            <w:tcW w:type="dxa" w:w="71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(a) a director (including a shadow director, de facto director, or alternate director) of the company;</w:t>
            </w:r>
          </w:p>
          <w:p>
            <w:pPr>
              <w:spacing w:after="60"/>
            </w:pPr>
            <w:r>
              <w:rPr>
                <w:rFonts w:ascii="Calibri" w:cs="Calibri" w:eastAsia="Calibri" w:hAnsi="Calibri"/>
                <w:i w:val="false"/>
                <w:iCs w:val="false"/>
                <w:sz w:val="20"/>
                <w:szCs w:val="20"/>
              </w:rPr>
              <w:t>(b) an officer of the company (including the company secretary, chief executive, chief financial officer, chief operating officer, general counsel, or any person who participates in making decisions that affect the whole or a substantial part of the company's business);</w:t>
            </w:r>
          </w:p>
          <w:p>
            <w:pPr>
              <w:spacing w:after="60"/>
            </w:pPr>
            <w:r>
              <w:rPr>
                <w:rFonts w:ascii="Calibri" w:cs="Calibri" w:eastAsia="Calibri" w:hAnsi="Calibri"/>
                <w:i w:val="false"/>
                <w:iCs w:val="false"/>
                <w:sz w:val="20"/>
                <w:szCs w:val="20"/>
              </w:rPr>
              <w:t>(c) a member of a committee of management, board of governors, or equivalent governing body; or</w:t>
            </w:r>
          </w:p>
          <w:p>
            <w:pPr>
              <w:spacing w:after="60"/>
            </w:pPr>
            <w:r>
              <w:rPr>
                <w:rFonts w:ascii="Calibri" w:cs="Calibri" w:eastAsia="Calibri" w:hAnsi="Calibri"/>
                <w:i w:val="false"/>
                <w:iCs w:val="false"/>
                <w:sz w:val="20"/>
                <w:szCs w:val="20"/>
              </w:rPr>
              <w:t>(d) any person in an equivalent position in a subsidiary.</w:t>
            </w:r>
          </w:p>
          <w:p>
            <w:pPr>
              <w:spacing w:after="60"/>
            </w:pPr>
            <w:r>
              <w:rPr>
                <w:rFonts w:ascii="Calibri" w:cs="Calibri" w:eastAsia="Calibri" w:hAnsi="Calibri"/>
                <w:i w:val="false"/>
                <w:iCs w:val="false"/>
                <w:sz w:val="20"/>
                <w:szCs w:val="20"/>
              </w:rPr>
              <w:t>It also includes the lawful spouse, domestic partner, estate, or legal representative of an insured person — but only for claims arising from the insured person's wrongful acts, not their own.</w:t>
            </w:r>
          </w:p>
        </w:tc>
      </w:tr>
      <w:tr>
        <w:tc>
          <w:tcPr>
            <w:tcW w:type="dxa" w:w="2400"/>
            <w:tcMar>
              <w:top w:type="dxa" w:w="100"/>
              <w:left w:type="dxa" w:w="100"/>
              <w:bottom w:type="dxa" w:w="100"/>
              <w:right w:type="dxa" w:w="100"/>
            </w:tcMar>
            <w:vAlign w:val="top"/>
          </w:tcPr>
          <w:p>
            <w:r>
              <w:rPr>
                <w:rFonts w:ascii="Calibri" w:cs="Calibri" w:eastAsia="Calibri" w:hAnsi="Calibri"/>
                <w:b/>
                <w:bCs/>
                <w:sz w:val="20"/>
                <w:szCs w:val="20"/>
              </w:rPr>
              <w:t>Loss</w:t>
            </w:r>
          </w:p>
        </w:tc>
        <w:tc>
          <w:tcPr>
            <w:tcW w:type="dxa" w:w="71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The amount an insured person becomes personally liable to pay, including: (a) compensatory damages (including interest); (b) the claimant's legal costs awarded against the insured person; (c) defence costs; and (d) settlements agreed with our prior written consent.</w:t>
            </w:r>
          </w:p>
          <w:p>
            <w:pPr>
              <w:spacing w:after="60"/>
            </w:pPr>
            <w:r>
              <w:rPr>
                <w:rFonts w:ascii="Calibri" w:cs="Calibri" w:eastAsia="Calibri" w:hAnsi="Calibri"/>
                <w:i w:val="false"/>
                <w:iCs w:val="false"/>
                <w:sz w:val="20"/>
                <w:szCs w:val="20"/>
              </w:rPr>
              <w:t>Loss does not include: (i) any amount the company has actually paid to, or on behalf of, the insured person by way of indemnity or advancement; (ii) taxes, or the return of remuneration to which the insured person was not entitled; (iii) fines, penalties, pecuniary penalty orders, or compensation orders, to the extent the law does not permit us to pay them; or (iv) matters uninsurable at law. [WP REVIEW: confirm the insurability of civil pecuniary penalty orders and compensation orders made against officers, and whether any category should be named expressly. Section 199B of the Corporations Act 2001 (Cth) governs who may pay the premium, not insurability, and is addressed in Premium and Corporations Act s 199B]</w:t>
            </w:r>
          </w:p>
        </w:tc>
      </w:tr>
      <w:tr>
        <w:tc>
          <w:tcPr>
            <w:tcW w:type="dxa" w:w="2400"/>
            <w:tcMar>
              <w:top w:type="dxa" w:w="100"/>
              <w:left w:type="dxa" w:w="100"/>
              <w:bottom w:type="dxa" w:w="100"/>
              <w:right w:type="dxa" w:w="100"/>
            </w:tcMar>
            <w:vAlign w:val="top"/>
          </w:tcPr>
          <w:p>
            <w:r>
              <w:rPr>
                <w:rFonts w:ascii="Calibri" w:cs="Calibri" w:eastAsia="Calibri" w:hAnsi="Calibri"/>
                <w:b/>
                <w:bCs/>
                <w:sz w:val="20"/>
                <w:szCs w:val="20"/>
              </w:rPr>
              <w:t>Non-indemnifiable loss</w:t>
            </w:r>
          </w:p>
        </w:tc>
        <w:tc>
          <w:tcPr>
            <w:tcW w:type="dxa" w:w="71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A loss that the company: (a) is not legally permitted to indemnify (for example, where indemnification is prohibited by section 199A of the Corporations Act 2001 (Cth)); (b) is financially unable to indemnify (because of insolvency, liquidation, administration, receivership, or financial incapacity); or (c) refuses or fails to indemnify (despite being legally permitted and financially able to do so).</w:t>
            </w:r>
          </w:p>
          <w:p>
            <w:pPr>
              <w:spacing w:after="60"/>
            </w:pPr>
            <w:r>
              <w:rPr>
                <w:rFonts w:ascii="Calibri" w:cs="Calibri" w:eastAsia="Calibri" w:hAnsi="Calibri"/>
                <w:i w:val="false"/>
                <w:iCs w:val="false"/>
                <w:sz w:val="20"/>
                <w:szCs w:val="20"/>
              </w:rPr>
              <w:t>See also Presumptive Indemnification, which governs how this definition is applied where the company's ability or willingness to indemnify is uncertain or contested.</w:t>
            </w:r>
          </w:p>
        </w:tc>
      </w:tr>
      <w:tr>
        <w:tc>
          <w:tcPr>
            <w:tcW w:type="dxa" w:w="2400"/>
            <w:tcMar>
              <w:top w:type="dxa" w:w="100"/>
              <w:left w:type="dxa" w:w="100"/>
              <w:bottom w:type="dxa" w:w="100"/>
              <w:right w:type="dxa" w:w="100"/>
            </w:tcMar>
            <w:vAlign w:val="top"/>
          </w:tcPr>
          <w:p>
            <w:r>
              <w:rPr>
                <w:rFonts w:ascii="Calibri" w:cs="Calibri" w:eastAsia="Calibri" w:hAnsi="Calibri"/>
                <w:b/>
                <w:bCs/>
                <w:sz w:val="20"/>
                <w:szCs w:val="20"/>
              </w:rPr>
              <w:t>Policy period</w:t>
            </w:r>
          </w:p>
        </w:tc>
        <w:tc>
          <w:tcPr>
            <w:tcW w:type="dxa" w:w="71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The period shown in the schedule.</w:t>
            </w:r>
          </w:p>
        </w:tc>
      </w:tr>
      <w:tr>
        <w:tc>
          <w:tcPr>
            <w:tcW w:type="dxa" w:w="2400"/>
            <w:tcMar>
              <w:top w:type="dxa" w:w="100"/>
              <w:left w:type="dxa" w:w="100"/>
              <w:bottom w:type="dxa" w:w="100"/>
              <w:right w:type="dxa" w:w="100"/>
            </w:tcMar>
            <w:vAlign w:val="top"/>
          </w:tcPr>
          <w:p>
            <w:r>
              <w:rPr>
                <w:rFonts w:ascii="Calibri" w:cs="Calibri" w:eastAsia="Calibri" w:hAnsi="Calibri"/>
                <w:b/>
                <w:bCs/>
                <w:sz w:val="20"/>
                <w:szCs w:val="20"/>
              </w:rPr>
              <w:t>Regulator</w:t>
            </w:r>
          </w:p>
        </w:tc>
        <w:tc>
          <w:tcPr>
            <w:tcW w:type="dxa" w:w="71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Any government body, statutory authority, regulatory agency, or professional body with the power to investigate or take enforcement action. Includes ASIC, APRA, the ACCC, the ATO, SafeWork, the OAIC, and any equivalent body.</w:t>
            </w:r>
          </w:p>
        </w:tc>
      </w:tr>
      <w:tr>
        <w:tc>
          <w:tcPr>
            <w:tcW w:type="dxa" w:w="2400"/>
            <w:tcMar>
              <w:top w:type="dxa" w:w="100"/>
              <w:left w:type="dxa" w:w="100"/>
              <w:bottom w:type="dxa" w:w="100"/>
              <w:right w:type="dxa" w:w="100"/>
            </w:tcMar>
            <w:vAlign w:val="top"/>
          </w:tcPr>
          <w:p>
            <w:r>
              <w:rPr>
                <w:rFonts w:ascii="Calibri" w:cs="Calibri" w:eastAsia="Calibri" w:hAnsi="Calibri"/>
                <w:b/>
                <w:bCs/>
                <w:sz w:val="20"/>
                <w:szCs w:val="20"/>
              </w:rPr>
              <w:t>Retroactive date</w:t>
            </w:r>
          </w:p>
        </w:tc>
        <w:tc>
          <w:tcPr>
            <w:tcW w:type="dxa" w:w="71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means the date shown in the schedule. This policy does not cover any claim arising from a wrongful act committed, in whole or in part, before the retroactive date.</w:t>
            </w:r>
          </w:p>
          <w:p>
            <w:pPr>
              <w:spacing w:after="60"/>
            </w:pPr>
            <w:r>
              <w:rPr>
                <w:rFonts w:ascii="Calibri" w:cs="Calibri" w:eastAsia="Calibri" w:hAnsi="Calibri"/>
                <w:i w:val="false"/>
                <w:iCs w:val="false"/>
                <w:sz w:val="20"/>
                <w:szCs w:val="20"/>
              </w:rPr>
              <w:t>Where two or more wrongful acts are treated as a single claim under the definition of Claim, the retroactive date is applied to that claim by reference to the date of the earliest of those wrongful acts.</w:t>
            </w:r>
          </w:p>
        </w:tc>
      </w:tr>
      <w:tr>
        <w:tc>
          <w:tcPr>
            <w:tcW w:type="dxa" w:w="2400"/>
            <w:tcMar>
              <w:top w:type="dxa" w:w="100"/>
              <w:left w:type="dxa" w:w="100"/>
              <w:bottom w:type="dxa" w:w="100"/>
              <w:right w:type="dxa" w:w="100"/>
            </w:tcMar>
            <w:vAlign w:val="top"/>
          </w:tcPr>
          <w:p>
            <w:r>
              <w:rPr>
                <w:rFonts w:ascii="Calibri" w:cs="Calibri" w:eastAsia="Calibri" w:hAnsi="Calibri"/>
                <w:b/>
                <w:bCs/>
                <w:sz w:val="20"/>
                <w:szCs w:val="20"/>
              </w:rPr>
              <w:t>Schedule</w:t>
            </w:r>
          </w:p>
        </w:tc>
        <w:tc>
          <w:tcPr>
            <w:tcW w:type="dxa" w:w="71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The document titled "Schedule" issued with this policy, as amended by any endorsement.</w:t>
            </w:r>
          </w:p>
        </w:tc>
      </w:tr>
      <w:tr>
        <w:tc>
          <w:tcPr>
            <w:tcW w:type="dxa" w:w="2400"/>
            <w:tcMar>
              <w:top w:type="dxa" w:w="100"/>
              <w:left w:type="dxa" w:w="100"/>
              <w:bottom w:type="dxa" w:w="100"/>
              <w:right w:type="dxa" w:w="100"/>
            </w:tcMar>
            <w:vAlign w:val="top"/>
          </w:tcPr>
          <w:p>
            <w:r>
              <w:rPr>
                <w:rFonts w:ascii="Calibri" w:cs="Calibri" w:eastAsia="Calibri" w:hAnsi="Calibri"/>
                <w:b/>
                <w:bCs/>
                <w:sz w:val="20"/>
                <w:szCs w:val="20"/>
              </w:rPr>
              <w:t>Subsidiary</w:t>
            </w:r>
          </w:p>
        </w:tc>
        <w:tc>
          <w:tcPr>
            <w:tcW w:type="dxa" w:w="71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Any entity in which the company holds more than 50% of the voting rights, or over which the company has effective management control, at the time of the relevant wrongful act.</w:t>
            </w:r>
          </w:p>
        </w:tc>
      </w:tr>
      <w:tr>
        <w:tc>
          <w:tcPr>
            <w:tcW w:type="dxa" w:w="2400"/>
            <w:tcMar>
              <w:top w:type="dxa" w:w="100"/>
              <w:left w:type="dxa" w:w="100"/>
              <w:bottom w:type="dxa" w:w="100"/>
              <w:right w:type="dxa" w:w="100"/>
            </w:tcMar>
            <w:vAlign w:val="top"/>
          </w:tcPr>
          <w:p>
            <w:r>
              <w:rPr>
                <w:rFonts w:ascii="Calibri" w:cs="Calibri" w:eastAsia="Calibri" w:hAnsi="Calibri"/>
                <w:b/>
                <w:bCs/>
                <w:sz w:val="20"/>
                <w:szCs w:val="20"/>
              </w:rPr>
              <w:t>Underlying D&amp;O insurance</w:t>
            </w:r>
          </w:p>
        </w:tc>
        <w:tc>
          <w:tcPr>
            <w:tcW w:type="dxa" w:w="71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The directors' and officers' liability or management liability policy or policies listed in the schedule as the underlying D&amp;O insurance.</w:t>
            </w:r>
          </w:p>
        </w:tc>
      </w:tr>
      <w:tr>
        <w:tc>
          <w:tcPr>
            <w:tcW w:type="dxa" w:w="2400"/>
            <w:tcMar>
              <w:top w:type="dxa" w:w="100"/>
              <w:left w:type="dxa" w:w="100"/>
              <w:bottom w:type="dxa" w:w="100"/>
              <w:right w:type="dxa" w:w="100"/>
            </w:tcMar>
            <w:vAlign w:val="top"/>
          </w:tcPr>
          <w:p>
            <w:r>
              <w:rPr>
                <w:rFonts w:ascii="Calibri" w:cs="Calibri" w:eastAsia="Calibri" w:hAnsi="Calibri"/>
                <w:b/>
                <w:bCs/>
                <w:sz w:val="20"/>
                <w:szCs w:val="20"/>
              </w:rPr>
              <w:t>Underlying insurer</w:t>
            </w:r>
          </w:p>
        </w:tc>
        <w:tc>
          <w:tcPr>
            <w:tcW w:type="dxa" w:w="71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The insurer, or each insurer, of the underlying D&amp;O insurance.</w:t>
            </w:r>
          </w:p>
        </w:tc>
      </w:tr>
      <w:tr>
        <w:tc>
          <w:tcPr>
            <w:tcW w:type="dxa" w:w="2400"/>
            <w:tcMar>
              <w:top w:type="dxa" w:w="100"/>
              <w:left w:type="dxa" w:w="100"/>
              <w:bottom w:type="dxa" w:w="100"/>
              <w:right w:type="dxa" w:w="100"/>
            </w:tcMar>
            <w:vAlign w:val="top"/>
          </w:tcPr>
          <w:p>
            <w:r>
              <w:rPr>
                <w:rFonts w:ascii="Calibri" w:cs="Calibri" w:eastAsia="Calibri" w:hAnsi="Calibri"/>
                <w:b/>
                <w:bCs/>
                <w:sz w:val="20"/>
                <w:szCs w:val="20"/>
              </w:rPr>
              <w:t>We / us / our</w:t>
            </w:r>
          </w:p>
        </w:tc>
        <w:tc>
          <w:tcPr>
            <w:tcW w:type="dxa" w:w="71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The insurer named in the schedule.</w:t>
            </w:r>
          </w:p>
        </w:tc>
      </w:tr>
      <w:tr>
        <w:tc>
          <w:tcPr>
            <w:tcW w:type="dxa" w:w="2400"/>
            <w:tcMar>
              <w:top w:type="dxa" w:w="100"/>
              <w:left w:type="dxa" w:w="100"/>
              <w:bottom w:type="dxa" w:w="100"/>
              <w:right w:type="dxa" w:w="100"/>
            </w:tcMar>
            <w:vAlign w:val="top"/>
          </w:tcPr>
          <w:p>
            <w:r>
              <w:rPr>
                <w:rFonts w:ascii="Calibri" w:cs="Calibri" w:eastAsia="Calibri" w:hAnsi="Calibri"/>
                <w:b/>
                <w:bCs/>
                <w:sz w:val="20"/>
                <w:szCs w:val="20"/>
              </w:rPr>
              <w:t>Wrongful act</w:t>
            </w:r>
          </w:p>
        </w:tc>
        <w:tc>
          <w:tcPr>
            <w:tcW w:type="dxa" w:w="71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Any actual or alleged act, error, omission, misleading statement, breach of duty, breach of trust, or breach of any statutory or regulatory obligation, committed by an insured person in their capacity as a director or officer of the company.</w:t>
            </w:r>
          </w:p>
        </w:tc>
      </w:tr>
    </w:tbl>
    <w:p>
      <w:pPr>
        <w:pStyle w:val="Heading1"/>
        <w:pageBreakBefore/>
        <w:pBdr>
          <w:bottom w:val="single" w:color="E2D9C8" w:sz="6"/>
        </w:pBdr>
        <w:spacing w:after="160" w:before="360"/>
      </w:pPr>
      <w:r>
        <w:rPr>
          <w:rFonts w:ascii="Calibri" w:cs="Calibri" w:eastAsia="Calibri" w:hAnsi="Calibri"/>
          <w:b/>
          <w:bCs/>
          <w:color w:val="1C1915"/>
          <w:sz w:val="30"/>
          <w:szCs w:val="30"/>
        </w:rPr>
        <w:t>What Is Covered</w:t>
      </w:r>
    </w:p>
    <w:p>
      <w:pPr>
        <w:pStyle w:val="Heading2"/>
        <w:spacing w:after="100" w:before="240"/>
      </w:pPr>
      <w:r>
        <w:rPr>
          <w:rFonts w:ascii="Calibri" w:cs="Calibri" w:eastAsia="Calibri" w:hAnsi="Calibri"/>
          <w:b/>
          <w:bCs/>
          <w:color w:val="1C1915"/>
          <w:sz w:val="24"/>
          <w:szCs w:val="24"/>
        </w:rPr>
        <w:t>Side A Excess Cover</w:t>
      </w:r>
    </w:p>
    <w:p>
      <w:pPr>
        <w:spacing w:after="160"/>
        <w:jc w:val="both"/>
      </w:pPr>
      <w:r>
        <w:rPr>
          <w:rFonts w:ascii="Calibri" w:cs="Calibri" w:eastAsia="Calibri" w:hAnsi="Calibri"/>
          <w:i w:val="false"/>
          <w:iCs w:val="false"/>
          <w:sz w:val="21"/>
          <w:szCs w:val="21"/>
        </w:rPr>
        <w:t>If a claim is first made against an insured person during the policy period for a wrongful act committed on or after the retroactive date, we will pay the insured person's non-indemnifiable loss in excess of the attachment point, up to the limit of liability of this policy.</w:t>
      </w:r>
    </w:p>
    <w:p>
      <w:pPr>
        <w:pStyle w:val="Heading2"/>
        <w:spacing w:after="100" w:before="240"/>
      </w:pPr>
      <w:r>
        <w:rPr>
          <w:rFonts w:ascii="Calibri" w:cs="Calibri" w:eastAsia="Calibri" w:hAnsi="Calibri"/>
          <w:b/>
          <w:bCs/>
          <w:color w:val="1C1915"/>
          <w:sz w:val="24"/>
          <w:szCs w:val="24"/>
        </w:rPr>
        <w:t>Exhaustion of the Underlying D&amp;O Insurance</w:t>
      </w:r>
    </w:p>
    <w:p>
      <w:pPr>
        <w:spacing w:after="160"/>
        <w:jc w:val="both"/>
      </w:pPr>
      <w:r>
        <w:rPr>
          <w:rFonts w:ascii="Calibri" w:cs="Calibri" w:eastAsia="Calibri" w:hAnsi="Calibri"/>
          <w:i w:val="false"/>
          <w:iCs w:val="false"/>
          <w:sz w:val="21"/>
          <w:szCs w:val="21"/>
        </w:rPr>
        <w:t>This policy attaches only when the underlying D&amp;O insurance has been exhausted by payment of loss. Payments count towards exhaustion whether they were made: (a) under any insuring clause of the underlying D&amp;O insurance, including cover for the company's own liability and reimbursement of the company; (b) by the underlying insurer; or (c) by or on behalf of an insured person or the company, in place of the underlying insurer, in settlement of loss covered by the underlying D&amp;O insurance. [WP REVIEW: confirm whether payments under (c), for example on a settlement with the underlying insurer below its limit, should count towards exhaustion, and whether we should require written notice of them]</w:t>
      </w:r>
    </w:p>
    <w:p>
      <w:pPr>
        <w:spacing w:after="160"/>
        <w:jc w:val="both"/>
      </w:pPr>
      <w:r>
        <w:rPr>
          <w:rFonts w:ascii="Calibri" w:cs="Calibri" w:eastAsia="Calibri" w:hAnsi="Calibri"/>
          <w:i w:val="false"/>
          <w:iCs w:val="false"/>
          <w:sz w:val="21"/>
          <w:szCs w:val="21"/>
        </w:rPr>
        <w:t>Where the underlying D&amp;O insurance has been partly exhausted by payment, the attachment point is reduced by the amount paid.</w:t>
      </w:r>
    </w:p>
    <w:p>
      <w:pPr>
        <w:pStyle w:val="Heading2"/>
        <w:spacing w:after="100" w:before="240"/>
      </w:pPr>
      <w:r>
        <w:rPr>
          <w:rFonts w:ascii="Calibri" w:cs="Calibri" w:eastAsia="Calibri" w:hAnsi="Calibri"/>
          <w:b/>
          <w:bCs/>
          <w:color w:val="1C1915"/>
          <w:sz w:val="24"/>
          <w:szCs w:val="24"/>
        </w:rPr>
        <w:t>Following the Underlying D&amp;O Insurance</w:t>
      </w:r>
    </w:p>
    <w:p>
      <w:pPr>
        <w:spacing w:after="160"/>
        <w:jc w:val="both"/>
      </w:pPr>
      <w:r>
        <w:rPr>
          <w:rFonts w:ascii="Calibri" w:cs="Calibri" w:eastAsia="Calibri" w:hAnsi="Calibri"/>
          <w:i w:val="false"/>
          <w:iCs w:val="false"/>
          <w:sz w:val="21"/>
          <w:szCs w:val="21"/>
        </w:rPr>
        <w:t>Except where this policy states otherwise, this policy follows the terms, conditions, definitions and exclusions of the underlying D&amp;O insurance, as they stand at the start of the policy period, that apply to cover for an insured person's loss which the company does not indemnify. Where this policy and the underlying D&amp;O insurance are inconsistent, this policy applies.</w:t>
      </w:r>
    </w:p>
    <w:p>
      <w:pPr>
        <w:spacing w:after="160"/>
        <w:jc w:val="both"/>
      </w:pPr>
      <w:r>
        <w:rPr>
          <w:rFonts w:ascii="Calibri" w:cs="Calibri" w:eastAsia="Calibri" w:hAnsi="Calibri"/>
          <w:i w:val="false"/>
          <w:iCs w:val="false"/>
          <w:sz w:val="21"/>
          <w:szCs w:val="21"/>
        </w:rPr>
        <w:t>This policy does not follow: (a) any cover for the company's own liability, or for reimbursement of the company; (b) any provision about limits, sub-limits, retentions, excesses, premium, or cancellation; or (c) any change to the underlying D&amp;O insurance made after the start of the policy period, unless we agree to it in writing.</w:t>
      </w:r>
    </w:p>
    <w:p>
      <w:pPr>
        <w:pStyle w:val="Heading2"/>
        <w:spacing w:after="100" w:before="240"/>
      </w:pPr>
      <w:r>
        <w:rPr>
          <w:rFonts w:ascii="Calibri" w:cs="Calibri" w:eastAsia="Calibri" w:hAnsi="Calibri"/>
          <w:b/>
          <w:bCs/>
          <w:color w:val="1C1915"/>
          <w:sz w:val="24"/>
          <w:szCs w:val="24"/>
        </w:rPr>
        <w:t>No Drop-Down</w:t>
      </w:r>
    </w:p>
    <w:p>
      <w:pPr>
        <w:spacing w:after="160"/>
        <w:jc w:val="both"/>
      </w:pPr>
      <w:r>
        <w:rPr>
          <w:rFonts w:ascii="Calibri" w:cs="Calibri" w:eastAsia="Calibri" w:hAnsi="Calibri"/>
          <w:i w:val="false"/>
          <w:iCs w:val="false"/>
          <w:sz w:val="21"/>
          <w:szCs w:val="21"/>
        </w:rPr>
        <w:t>Unless Endorsement E04 (Difference in Conditions) applies, this policy does not pay any loss that the underlying D&amp;O insurance does not cover, and does not pay below the attachment point for any reason, including the insolvency of the underlying insurer or its refusal or failure to pay. An amount the underlying insurer does not pay does not reduce the attachment point.</w:t>
      </w:r>
    </w:p>
    <w:p>
      <w:pPr>
        <w:pStyle w:val="Heading2"/>
        <w:spacing w:after="100" w:before="240"/>
      </w:pPr>
      <w:r>
        <w:rPr>
          <w:rFonts w:ascii="Calibri" w:cs="Calibri" w:eastAsia="Calibri" w:hAnsi="Calibri"/>
          <w:b/>
          <w:bCs/>
          <w:color w:val="1C1915"/>
          <w:sz w:val="24"/>
          <w:szCs w:val="24"/>
        </w:rPr>
        <w:t>Priority and Independence</w:t>
      </w:r>
    </w:p>
    <w:p>
      <w:pPr>
        <w:spacing w:after="160"/>
        <w:jc w:val="both"/>
      </w:pPr>
      <w:r>
        <w:rPr>
          <w:rFonts w:ascii="Calibri" w:cs="Calibri" w:eastAsia="Calibri" w:hAnsi="Calibri"/>
          <w:i w:val="false"/>
          <w:iCs w:val="false"/>
          <w:sz w:val="21"/>
          <w:szCs w:val="21"/>
        </w:rPr>
        <w:t>This policy is for the exclusive benefit of individual insured persons. The company has no right to claim under this policy and cannot direct, control, or assign the benefits of this policy.</w:t>
      </w:r>
    </w:p>
    <w:p>
      <w:pPr>
        <w:spacing w:after="160"/>
        <w:jc w:val="both"/>
      </w:pPr>
      <w:r>
        <w:rPr>
          <w:rFonts w:ascii="Calibri" w:cs="Calibri" w:eastAsia="Calibri" w:hAnsi="Calibri"/>
          <w:i w:val="false"/>
          <w:iCs w:val="false"/>
          <w:sz w:val="21"/>
          <w:szCs w:val="21"/>
        </w:rPr>
        <w:t>If the company is in liquidation, administration, or receivership: (a) no liquidator, administrator, receiver, or creditor of the company has any right to access, assign, or claim the proceeds of this policy; (b) no court order or statutory charge against the company's assets affects the proceeds of this policy, because the proceeds belong to the insured person, not the company; and (c) we will pay the insured person directly — not through the company.</w:t>
      </w:r>
    </w:p>
    <w:p>
      <w:pPr>
        <w:pStyle w:val="Heading2"/>
        <w:spacing w:after="100" w:before="240"/>
      </w:pPr>
      <w:r>
        <w:rPr>
          <w:rFonts w:ascii="Calibri" w:cs="Calibri" w:eastAsia="Calibri" w:hAnsi="Calibri"/>
          <w:b/>
          <w:bCs/>
          <w:color w:val="1C1915"/>
          <w:sz w:val="24"/>
          <w:szCs w:val="24"/>
        </w:rPr>
        <w:t>Presumptive Indemnification</w:t>
      </w:r>
    </w:p>
    <w:p>
      <w:pPr>
        <w:spacing w:after="160"/>
        <w:jc w:val="both"/>
      </w:pPr>
      <w:r>
        <w:rPr>
          <w:rFonts w:ascii="Calibri" w:cs="Calibri" w:eastAsia="Calibri" w:hAnsi="Calibri"/>
          <w:i w:val="false"/>
          <w:iCs w:val="false"/>
          <w:sz w:val="21"/>
          <w:szCs w:val="21"/>
        </w:rPr>
        <w:t>For the purpose of determining whether a loss is a non-indemnifiable loss, it is presumed, unless we prove otherwise, that the company is legally permitted and financially able to indemnify the insured person for the loss. This presumption may be rebutted only by evidence establishing that the company is not legally permitted, or is not financially able, to indemnify the loss (for example, evidence of insolvency, liquidation, administration, receivership, or a deed of company arrangement), or that the company has refused or failed to indemnify.</w:t>
      </w:r>
    </w:p>
    <w:p>
      <w:pPr>
        <w:spacing w:after="160"/>
        <w:jc w:val="both"/>
      </w:pPr>
      <w:r>
        <w:rPr>
          <w:rFonts w:ascii="Calibri" w:cs="Calibri" w:eastAsia="Calibri" w:hAnsi="Calibri"/>
          <w:i w:val="false"/>
          <w:iCs w:val="false"/>
          <w:sz w:val="21"/>
          <w:szCs w:val="21"/>
        </w:rPr>
        <w:t>Uncertainty as to whether the company is legally permitted or financially able to indemnify does not, by itself, entitle us to withhold or delay advancement of defence costs or payment of loss once this policy has attached.</w:t>
      </w:r>
    </w:p>
    <w:p>
      <w:pPr>
        <w:pStyle w:val="Heading2"/>
        <w:spacing w:after="100" w:before="240"/>
      </w:pPr>
      <w:r>
        <w:rPr>
          <w:rFonts w:ascii="Calibri" w:cs="Calibri" w:eastAsia="Calibri" w:hAnsi="Calibri"/>
          <w:b/>
          <w:bCs/>
          <w:color w:val="1C1915"/>
          <w:sz w:val="24"/>
          <w:szCs w:val="24"/>
        </w:rPr>
        <w:t>Advancement of Defence Costs</w:t>
      </w:r>
    </w:p>
    <w:p>
      <w:pPr>
        <w:spacing w:after="160"/>
        <w:jc w:val="both"/>
      </w:pPr>
      <w:r>
        <w:rPr>
          <w:rFonts w:ascii="Calibri" w:cs="Calibri" w:eastAsia="Calibri" w:hAnsi="Calibri"/>
          <w:i w:val="false"/>
          <w:iCs w:val="false"/>
          <w:sz w:val="21"/>
          <w:szCs w:val="21"/>
        </w:rPr>
        <w:t>Once this policy has attached, we will advance defence costs as they are incurred, without waiting for the outcome of the claim.</w:t>
      </w:r>
    </w:p>
    <w:p>
      <w:pPr>
        <w:spacing w:after="160"/>
        <w:jc w:val="both"/>
      </w:pPr>
      <w:r>
        <w:rPr>
          <w:rFonts w:ascii="Calibri" w:cs="Calibri" w:eastAsia="Calibri" w:hAnsi="Calibri"/>
          <w:i w:val="false"/>
          <w:iCs w:val="false"/>
          <w:sz w:val="21"/>
          <w:szCs w:val="21"/>
        </w:rPr>
        <w:t>If it is later established that the insured person was not entitled to cover for those defence costs, they must repay them to us. If the company later indemnifies the insured person for the same loss (including from funds recovered in an insolvency, liquidation, administration, receivership, or deed of company arrangement), the insured person must repay us to the extent of the indemnity received, so that there is no double recovery.</w:t>
      </w:r>
    </w:p>
    <w:p>
      <w:pPr>
        <w:pStyle w:val="Heading1"/>
        <w:pageBreakBefore/>
        <w:pBdr>
          <w:bottom w:val="single" w:color="E2D9C8" w:sz="6"/>
        </w:pBdr>
        <w:spacing w:after="160" w:before="360"/>
      </w:pPr>
      <w:r>
        <w:rPr>
          <w:rFonts w:ascii="Calibri" w:cs="Calibri" w:eastAsia="Calibri" w:hAnsi="Calibri"/>
          <w:b/>
          <w:bCs/>
          <w:color w:val="1C1915"/>
          <w:sz w:val="30"/>
          <w:szCs w:val="30"/>
        </w:rPr>
        <w:t>What Is Not Covered</w:t>
      </w:r>
    </w:p>
    <w:p>
      <w:pPr>
        <w:spacing w:after="160"/>
        <w:jc w:val="both"/>
      </w:pPr>
      <w:r>
        <w:rPr>
          <w:rFonts w:ascii="Calibri" w:cs="Calibri" w:eastAsia="Calibri" w:hAnsi="Calibri"/>
          <w:i w:val="false"/>
          <w:iCs w:val="false"/>
          <w:sz w:val="21"/>
          <w:szCs w:val="21"/>
        </w:rPr>
        <w:t>In addition to the exclusions of the underlying D&amp;O insurance that this policy follows, we do not cover any claim or loss:</w:t>
      </w:r>
    </w:p>
    <w:p>
      <w:pPr>
        <w:pStyle w:val="Heading2"/>
        <w:spacing w:after="100" w:before="240"/>
      </w:pPr>
      <w:r>
        <w:rPr>
          <w:rFonts w:ascii="Calibri" w:cs="Calibri" w:eastAsia="Calibri" w:hAnsi="Calibri"/>
          <w:b/>
          <w:bCs/>
          <w:color w:val="1C1915"/>
          <w:sz w:val="24"/>
          <w:szCs w:val="24"/>
        </w:rPr>
        <w:t>Loss Indemnified by the Company</w:t>
      </w:r>
    </w:p>
    <w:p>
      <w:pPr>
        <w:spacing w:after="160"/>
        <w:jc w:val="both"/>
      </w:pPr>
      <w:r>
        <w:rPr>
          <w:rFonts w:ascii="Calibri" w:cs="Calibri" w:eastAsia="Calibri" w:hAnsi="Calibri"/>
          <w:i w:val="false"/>
          <w:iCs w:val="false"/>
          <w:sz w:val="21"/>
          <w:szCs w:val="21"/>
        </w:rPr>
        <w:t>to the extent the company has actually paid it to, or on behalf of, the insured person by way of indemnity or advancement. This exclusion does not apply to loss the company refuses or fails to pay.</w:t>
      </w:r>
    </w:p>
    <w:p>
      <w:pPr>
        <w:pStyle w:val="Heading2"/>
        <w:spacing w:after="100" w:before="240"/>
      </w:pPr>
      <w:r>
        <w:rPr>
          <w:rFonts w:ascii="Calibri" w:cs="Calibri" w:eastAsia="Calibri" w:hAnsi="Calibri"/>
          <w:b/>
          <w:bCs/>
          <w:color w:val="1C1915"/>
          <w:sz w:val="24"/>
          <w:szCs w:val="24"/>
        </w:rPr>
        <w:t>Dishonesty and Fraud</w:t>
      </w:r>
    </w:p>
    <w:p>
      <w:pPr>
        <w:spacing w:after="160"/>
        <w:jc w:val="both"/>
      </w:pPr>
      <w:r>
        <w:rPr>
          <w:rFonts w:ascii="Calibri" w:cs="Calibri" w:eastAsia="Calibri" w:hAnsi="Calibri"/>
          <w:i w:val="false"/>
          <w:iCs w:val="false"/>
          <w:sz w:val="21"/>
          <w:szCs w:val="21"/>
        </w:rPr>
        <w:t>arising from any deliberately dishonest, fraudulent, or criminal conduct of the insured person — but only after final adjudication establishes that the insured person personally committed the dishonest or fraudulent conduct. Until final adjudication, we will continue to advance defence costs. If final adjudication establishes dishonesty, the insured person must repay any defence costs we have advanced for the portion of the claim relating to the established dishonesty.</w:t>
      </w:r>
    </w:p>
    <w:p>
      <w:pPr>
        <w:pStyle w:val="Heading2"/>
        <w:spacing w:after="100" w:before="240"/>
      </w:pPr>
      <w:r>
        <w:rPr>
          <w:rFonts w:ascii="Calibri" w:cs="Calibri" w:eastAsia="Calibri" w:hAnsi="Calibri"/>
          <w:b/>
          <w:bCs/>
          <w:color w:val="1C1915"/>
          <w:sz w:val="24"/>
          <w:szCs w:val="24"/>
        </w:rPr>
        <w:t>Personal Profit</w:t>
      </w:r>
    </w:p>
    <w:p>
      <w:pPr>
        <w:spacing w:after="160"/>
        <w:jc w:val="both"/>
      </w:pPr>
      <w:r>
        <w:rPr>
          <w:rFonts w:ascii="Calibri" w:cs="Calibri" w:eastAsia="Calibri" w:hAnsi="Calibri"/>
          <w:i w:val="false"/>
          <w:iCs w:val="false"/>
          <w:sz w:val="21"/>
          <w:szCs w:val="21"/>
        </w:rPr>
        <w:t>for any personal profit, remuneration, or advantage gained by the insured person to which they were not legally entitled — but only after final adjudication establishes that the profit was improperly gained. Until final adjudication, we will continue to advance defence costs, on the same basis as Dishonesty and Fraud.</w:t>
      </w:r>
    </w:p>
    <w:p>
      <w:pPr>
        <w:pStyle w:val="Heading2"/>
        <w:spacing w:after="100" w:before="240"/>
      </w:pPr>
      <w:r>
        <w:rPr>
          <w:rFonts w:ascii="Calibri" w:cs="Calibri" w:eastAsia="Calibri" w:hAnsi="Calibri"/>
          <w:b/>
          <w:bCs/>
          <w:color w:val="1C1915"/>
          <w:sz w:val="24"/>
          <w:szCs w:val="24"/>
        </w:rPr>
        <w:t>Prior and Pending Litigation</w:t>
      </w:r>
    </w:p>
    <w:p>
      <w:pPr>
        <w:spacing w:after="160"/>
        <w:jc w:val="both"/>
      </w:pPr>
      <w:r>
        <w:rPr>
          <w:rFonts w:ascii="Calibri" w:cs="Calibri" w:eastAsia="Calibri" w:hAnsi="Calibri"/>
          <w:i w:val="false"/>
          <w:iCs w:val="false"/>
          <w:sz w:val="21"/>
          <w:szCs w:val="21"/>
        </w:rPr>
        <w:t>arising from, or in any way involving, any demand, suit, proceeding, investigation, or claim that was pending, or of which written notice had been given under any prior policy, before the retroactive date — regardless of whether the insured person seeking cover had knowledge of it.</w:t>
      </w:r>
    </w:p>
    <w:p>
      <w:pPr>
        <w:pStyle w:val="Heading2"/>
        <w:spacing w:after="100" w:before="240"/>
      </w:pPr>
      <w:r>
        <w:rPr>
          <w:rFonts w:ascii="Calibri" w:cs="Calibri" w:eastAsia="Calibri" w:hAnsi="Calibri"/>
          <w:b/>
          <w:bCs/>
          <w:color w:val="1C1915"/>
          <w:sz w:val="24"/>
          <w:szCs w:val="24"/>
        </w:rPr>
        <w:t>Sanctions</w:t>
      </w:r>
    </w:p>
    <w:p>
      <w:pPr>
        <w:spacing w:after="160"/>
        <w:jc w:val="both"/>
      </w:pPr>
      <w:r>
        <w:rPr>
          <w:rFonts w:ascii="Calibri" w:cs="Calibri" w:eastAsia="Calibri" w:hAnsi="Calibri"/>
          <w:i w:val="false"/>
          <w:iCs w:val="false"/>
          <w:sz w:val="21"/>
          <w:szCs w:val="21"/>
        </w:rPr>
        <w:t>We will not provide any cover, or make any payment, to the extent that doing so would expose us to enforcement action under:</w:t>
      </w:r>
    </w:p>
    <w:p>
      <w:pPr>
        <w:spacing w:after="160"/>
        <w:jc w:val="both"/>
      </w:pPr>
      <w:r>
        <w:rPr>
          <w:rFonts w:ascii="Calibri" w:cs="Calibri" w:eastAsia="Calibri" w:hAnsi="Calibri"/>
          <w:i w:val="false"/>
          <w:iCs w:val="false"/>
          <w:sz w:val="21"/>
          <w:szCs w:val="21"/>
        </w:rPr>
        <w:t>(a) the Autonomous Sanctions Act 2011 (Cth) or the Charter of the United Nations Act 1945 (Cth), or any sanctions, regulations, or designated-persons listings made under either Act; or</w:t>
      </w:r>
    </w:p>
    <w:p>
      <w:pPr>
        <w:spacing w:after="160"/>
        <w:jc w:val="both"/>
      </w:pPr>
      <w:r>
        <w:rPr>
          <w:rFonts w:ascii="Calibri" w:cs="Calibri" w:eastAsia="Calibri" w:hAnsi="Calibri"/>
          <w:i w:val="false"/>
          <w:iCs w:val="false"/>
          <w:sz w:val="21"/>
          <w:szCs w:val="21"/>
        </w:rPr>
        <w:t>(b) any United Nations Security Council resolution binding on Australia.</w:t>
      </w:r>
    </w:p>
    <w:p>
      <w:pPr>
        <w:pStyle w:val="Heading2"/>
        <w:spacing w:after="100" w:before="240"/>
      </w:pPr>
      <w:r>
        <w:rPr>
          <w:rFonts w:ascii="Calibri" w:cs="Calibri" w:eastAsia="Calibri" w:hAnsi="Calibri"/>
          <w:b/>
          <w:bCs/>
          <w:color w:val="1C1915"/>
          <w:sz w:val="24"/>
          <w:szCs w:val="24"/>
        </w:rPr>
        <w:t>US / Canada Jurisdiction</w:t>
      </w:r>
    </w:p>
    <w:p>
      <w:pPr>
        <w:spacing w:after="160"/>
        <w:jc w:val="both"/>
      </w:pPr>
      <w:r>
        <w:rPr>
          <w:rFonts w:ascii="Calibri" w:cs="Calibri" w:eastAsia="Calibri" w:hAnsi="Calibri"/>
          <w:i w:val="false"/>
          <w:iCs w:val="false"/>
          <w:sz w:val="21"/>
          <w:szCs w:val="21"/>
        </w:rPr>
        <w:t>for any claim brought or maintained in a court in the United States or Canada — unless Endorsement E03 applies.</w:t>
      </w:r>
    </w:p>
    <w:p>
      <w:pPr>
        <w:pStyle w:val="Heading1"/>
        <w:pageBreakBefore/>
        <w:pBdr>
          <w:bottom w:val="single" w:color="E2D9C8" w:sz="6"/>
        </w:pBdr>
        <w:spacing w:after="160" w:before="360"/>
      </w:pPr>
      <w:r>
        <w:rPr>
          <w:rFonts w:ascii="Calibri" w:cs="Calibri" w:eastAsia="Calibri" w:hAnsi="Calibri"/>
          <w:b/>
          <w:bCs/>
          <w:color w:val="1C1915"/>
          <w:sz w:val="30"/>
          <w:szCs w:val="30"/>
        </w:rPr>
        <w:t>How Much We Will Pay</w:t>
      </w:r>
    </w:p>
    <w:p>
      <w:pPr>
        <w:pStyle w:val="Heading2"/>
        <w:spacing w:after="100" w:before="240"/>
      </w:pPr>
      <w:r>
        <w:rPr>
          <w:rFonts w:ascii="Calibri" w:cs="Calibri" w:eastAsia="Calibri" w:hAnsi="Calibri"/>
          <w:b/>
          <w:bCs/>
          <w:color w:val="1C1915"/>
          <w:sz w:val="24"/>
          <w:szCs w:val="24"/>
        </w:rPr>
        <w:t>Limit of Liability</w:t>
      </w:r>
    </w:p>
    <w:p>
      <w:pPr>
        <w:spacing w:after="160"/>
        <w:jc w:val="both"/>
      </w:pPr>
      <w:r>
        <w:rPr>
          <w:rFonts w:ascii="Calibri" w:cs="Calibri" w:eastAsia="Calibri" w:hAnsi="Calibri"/>
          <w:i w:val="false"/>
          <w:iCs w:val="false"/>
          <w:sz w:val="21"/>
          <w:szCs w:val="21"/>
        </w:rPr>
        <w:t>The most we will pay for all claims and defence costs combined during the policy period is the limit of liability shown in the schedule.</w:t>
      </w:r>
    </w:p>
    <w:p>
      <w:pPr>
        <w:pStyle w:val="Heading2"/>
        <w:spacing w:after="100" w:before="240"/>
      </w:pPr>
      <w:r>
        <w:rPr>
          <w:rFonts w:ascii="Calibri" w:cs="Calibri" w:eastAsia="Calibri" w:hAnsi="Calibri"/>
          <w:b/>
          <w:bCs/>
          <w:color w:val="1C1915"/>
          <w:sz w:val="24"/>
          <w:szCs w:val="24"/>
        </w:rPr>
        <w:t>Defence Costs Within the Limit</w:t>
      </w:r>
    </w:p>
    <w:p>
      <w:pPr>
        <w:spacing w:after="160"/>
        <w:jc w:val="both"/>
      </w:pPr>
      <w:r>
        <w:rPr>
          <w:rFonts w:ascii="Calibri" w:cs="Calibri" w:eastAsia="Calibri" w:hAnsi="Calibri"/>
          <w:i w:val="false"/>
          <w:iCs w:val="false"/>
          <w:sz w:val="21"/>
          <w:szCs w:val="21"/>
        </w:rPr>
        <w:t>Defence costs are included within the limit of liability, unless Endorsement E02 applies.</w:t>
      </w:r>
    </w:p>
    <w:p>
      <w:pPr>
        <w:pStyle w:val="Heading2"/>
        <w:spacing w:after="100" w:before="240"/>
      </w:pPr>
      <w:r>
        <w:rPr>
          <w:rFonts w:ascii="Calibri" w:cs="Calibri" w:eastAsia="Calibri" w:hAnsi="Calibri"/>
          <w:b/>
          <w:bCs/>
          <w:color w:val="1C1915"/>
          <w:sz w:val="24"/>
          <w:szCs w:val="24"/>
        </w:rPr>
        <w:t>No Excess for Insured Persons</w:t>
      </w:r>
    </w:p>
    <w:p>
      <w:pPr>
        <w:spacing w:after="160"/>
        <w:jc w:val="both"/>
      </w:pPr>
      <w:r>
        <w:rPr>
          <w:rFonts w:ascii="Calibri" w:cs="Calibri" w:eastAsia="Calibri" w:hAnsi="Calibri"/>
          <w:i w:val="false"/>
          <w:iCs w:val="false"/>
          <w:sz w:val="21"/>
          <w:szCs w:val="21"/>
        </w:rPr>
        <w:t>There is no excess payable by any insured person under this policy. Once this policy has attached, we will not require a director or officer to pay out of their own pocket before we respond.</w:t>
      </w:r>
    </w:p>
    <w:p>
      <w:pPr>
        <w:pStyle w:val="Heading2"/>
        <w:spacing w:after="100" w:before="240"/>
      </w:pPr>
      <w:r>
        <w:rPr>
          <w:rFonts w:ascii="Calibri" w:cs="Calibri" w:eastAsia="Calibri" w:hAnsi="Calibri"/>
          <w:b/>
          <w:bCs/>
          <w:color w:val="1C1915"/>
          <w:sz w:val="24"/>
          <w:szCs w:val="24"/>
        </w:rPr>
        <w:t>Order of Payment — Priority</w:t>
      </w:r>
    </w:p>
    <w:p>
      <w:pPr>
        <w:spacing w:after="160"/>
        <w:jc w:val="both"/>
      </w:pPr>
      <w:r>
        <w:rPr>
          <w:rFonts w:ascii="Calibri" w:cs="Calibri" w:eastAsia="Calibri" w:hAnsi="Calibri"/>
          <w:i w:val="false"/>
          <w:iCs w:val="false"/>
          <w:sz w:val="21"/>
          <w:szCs w:val="21"/>
        </w:rPr>
        <w:t>If the limit of liability is or may be insufficient to cover all insured persons' losses, we will allocate payments: (a) first, to non-executive directors and independent directors; (b) second, to executive directors and officers; in each case prioritising defence costs before compensatory payments.</w:t>
      </w:r>
    </w:p>
    <w:p>
      <w:pPr>
        <w:pStyle w:val="Heading2"/>
        <w:spacing w:after="100" w:before="240"/>
      </w:pPr>
      <w:r>
        <w:rPr>
          <w:rFonts w:ascii="Calibri" w:cs="Calibri" w:eastAsia="Calibri" w:hAnsi="Calibri"/>
          <w:b/>
          <w:bCs/>
          <w:color w:val="1C1915"/>
          <w:sz w:val="24"/>
          <w:szCs w:val="24"/>
        </w:rPr>
        <w:t>Other Side A Insurance</w:t>
      </w:r>
    </w:p>
    <w:p>
      <w:pPr>
        <w:spacing w:after="160"/>
        <w:jc w:val="both"/>
      </w:pPr>
      <w:r>
        <w:rPr>
          <w:rFonts w:ascii="Calibri" w:cs="Calibri" w:eastAsia="Calibri" w:hAnsi="Calibri"/>
          <w:i w:val="false"/>
          <w:iCs w:val="false"/>
          <w:sz w:val="21"/>
          <w:szCs w:val="21"/>
        </w:rPr>
        <w:t>If any other Side A, excess Side A, or difference-in-conditions insurance that is not listed in the schedule as underlying D&amp;O insurance is available for the same non-indemnifiable loss, this policy applies in excess of that other insurance, unless that other insurance is expressly written to apply in excess of this policy. Where both policies are expressed to apply in excess of each other, each will contribute in proportion to its limit of liability. [WP REVIEW: confirm this clause is effective under s 45 of the Insurance Contracts Act 1984 (Cth) where the other insurance is not specified in the schedule]</w:t>
      </w:r>
    </w:p>
    <w:p>
      <w:pPr>
        <w:pStyle w:val="Heading2"/>
        <w:spacing w:after="100" w:before="240"/>
      </w:pPr>
      <w:r>
        <w:rPr>
          <w:rFonts w:ascii="Calibri" w:cs="Calibri" w:eastAsia="Calibri" w:hAnsi="Calibri"/>
          <w:b/>
          <w:bCs/>
          <w:color w:val="1C1915"/>
          <w:sz w:val="24"/>
          <w:szCs w:val="24"/>
        </w:rPr>
        <w:t>Non-Avoidance</w:t>
      </w:r>
    </w:p>
    <w:p>
      <w:pPr>
        <w:spacing w:after="160"/>
        <w:jc w:val="both"/>
      </w:pPr>
      <w:r>
        <w:rPr>
          <w:rFonts w:ascii="Calibri" w:cs="Calibri" w:eastAsia="Calibri" w:hAnsi="Calibri"/>
          <w:i w:val="false"/>
          <w:iCs w:val="false"/>
          <w:sz w:val="21"/>
          <w:szCs w:val="21"/>
        </w:rPr>
        <w:t>We will not avoid this policy, or any insured person's cover under it, under s 28 of the Insurance Contracts Act 1984 (Cth) or otherwise, for non-disclosure or misrepresentation in connection with the application for this policy — except where the specific insured person seeking cover personally committed the non-disclosure or misrepresentation, and did so fraudulently or with the intention to deceive us. Avoidance, where available, is limited to the cover of that insured person only, and does not affect the cover of any other, innocent insured person.</w:t>
      </w:r>
    </w:p>
    <w:p>
      <w:pPr>
        <w:spacing w:after="160"/>
        <w:jc w:val="both"/>
      </w:pPr>
      <w:r>
        <w:rPr>
          <w:rFonts w:ascii="Calibri" w:cs="Calibri" w:eastAsia="Calibri" w:hAnsi="Calibri"/>
          <w:i w:val="false"/>
          <w:iCs w:val="false"/>
          <w:sz w:val="21"/>
          <w:szCs w:val="21"/>
        </w:rPr>
        <w:t>Where a non-disclosure or misrepresentation is not fraudulent, we will not reduce our liability to an innocent insured person under s 28(3) of the Insurance Contracts Act 1984 (Cth) or otherwise, on account of that non-disclosure or misrepresentation. We expressly waive that remedy as against every innocent insured person. This paragraph does not limit our rights under s 28 against the insured person who personally made the fraudulent non-disclosure or misrepresentation.</w:t>
      </w:r>
    </w:p>
    <w:p>
      <w:pPr>
        <w:pStyle w:val="Heading1"/>
        <w:pageBreakBefore/>
        <w:pBdr>
          <w:bottom w:val="single" w:color="E2D9C8" w:sz="6"/>
        </w:pBdr>
        <w:spacing w:after="160" w:before="360"/>
      </w:pPr>
      <w:r>
        <w:rPr>
          <w:rFonts w:ascii="Calibri" w:cs="Calibri" w:eastAsia="Calibri" w:hAnsi="Calibri"/>
          <w:b/>
          <w:bCs/>
          <w:color w:val="1C1915"/>
          <w:sz w:val="30"/>
          <w:szCs w:val="30"/>
        </w:rPr>
        <w:t>Your Obligations</w:t>
      </w:r>
    </w:p>
    <w:p>
      <w:pPr>
        <w:pStyle w:val="Heading2"/>
        <w:spacing w:after="100" w:before="240"/>
      </w:pPr>
      <w:r>
        <w:rPr>
          <w:rFonts w:ascii="Calibri" w:cs="Calibri" w:eastAsia="Calibri" w:hAnsi="Calibri"/>
          <w:b/>
          <w:bCs/>
          <w:color w:val="1C1915"/>
          <w:sz w:val="24"/>
          <w:szCs w:val="24"/>
        </w:rPr>
        <w:t>Notify Us of Claims</w:t>
      </w:r>
    </w:p>
    <w:p>
      <w:pPr>
        <w:spacing w:after="160"/>
        <w:jc w:val="both"/>
      </w:pPr>
      <w:r>
        <w:rPr>
          <w:rFonts w:ascii="Calibri" w:cs="Calibri" w:eastAsia="Calibri" w:hAnsi="Calibri"/>
          <w:i w:val="false"/>
          <w:iCs w:val="false"/>
          <w:sz w:val="21"/>
          <w:szCs w:val="21"/>
        </w:rPr>
        <w:t>Any insured person may notify us directly of a claim. They do not need to go through the company or the company's broker. Tell us in writing as soon as reasonably practicable after you become aware of a claim that is notified under the underlying D&amp;O insurance and that may reach this policy.</w:t>
      </w:r>
    </w:p>
    <w:p>
      <w:pPr>
        <w:pStyle w:val="Heading2"/>
        <w:spacing w:after="100" w:before="240"/>
      </w:pPr>
      <w:r>
        <w:rPr>
          <w:rFonts w:ascii="Calibri" w:cs="Calibri" w:eastAsia="Calibri" w:hAnsi="Calibri"/>
          <w:b/>
          <w:bCs/>
          <w:color w:val="1C1915"/>
          <w:sz w:val="24"/>
          <w:szCs w:val="24"/>
        </w:rPr>
        <w:t>Notify Us of Circumstances</w:t>
      </w:r>
    </w:p>
    <w:p>
      <w:pPr>
        <w:spacing w:after="160"/>
        <w:jc w:val="both"/>
      </w:pPr>
      <w:r>
        <w:rPr>
          <w:rFonts w:ascii="Calibri" w:cs="Calibri" w:eastAsia="Calibri" w:hAnsi="Calibri"/>
          <w:i w:val="false"/>
          <w:iCs w:val="false"/>
          <w:sz w:val="21"/>
          <w:szCs w:val="21"/>
        </w:rPr>
        <w:t>Tell us during the policy period if you become aware of any fact, matter, or circumstance that might reasonably be expected to give rise to a claim. Notified circumstances will be treated as a claim first made during this policy period, in accordance with s 40(3) of the Insurance Contracts Act 1984 (Cth).</w:t>
      </w:r>
    </w:p>
    <w:p>
      <w:pPr>
        <w:pStyle w:val="Heading2"/>
        <w:spacing w:after="100" w:before="240"/>
      </w:pPr>
      <w:r>
        <w:rPr>
          <w:rFonts w:ascii="Calibri" w:cs="Calibri" w:eastAsia="Calibri" w:hAnsi="Calibri"/>
          <w:b/>
          <w:bCs/>
          <w:color w:val="1C1915"/>
          <w:sz w:val="24"/>
          <w:szCs w:val="24"/>
        </w:rPr>
        <w:t>Do Not Admit Liability</w:t>
      </w:r>
    </w:p>
    <w:p>
      <w:pPr>
        <w:spacing w:after="160"/>
        <w:jc w:val="both"/>
      </w:pPr>
      <w:r>
        <w:rPr>
          <w:rFonts w:ascii="Calibri" w:cs="Calibri" w:eastAsia="Calibri" w:hAnsi="Calibri"/>
          <w:i w:val="false"/>
          <w:iCs w:val="false"/>
          <w:sz w:val="21"/>
          <w:szCs w:val="21"/>
        </w:rPr>
        <w:t>Do not admit liability or settle without our written consent where the settlement may reach this policy. We will not unreasonably withhold consent.</w:t>
      </w:r>
    </w:p>
    <w:p>
      <w:pPr>
        <w:pStyle w:val="Heading2"/>
        <w:spacing w:after="100" w:before="240"/>
      </w:pPr>
      <w:r>
        <w:rPr>
          <w:rFonts w:ascii="Calibri" w:cs="Calibri" w:eastAsia="Calibri" w:hAnsi="Calibri"/>
          <w:b/>
          <w:bCs/>
          <w:color w:val="1C1915"/>
          <w:sz w:val="24"/>
          <w:szCs w:val="24"/>
        </w:rPr>
        <w:t>Cooperate</w:t>
      </w:r>
    </w:p>
    <w:p>
      <w:pPr>
        <w:spacing w:after="160"/>
        <w:jc w:val="both"/>
      </w:pPr>
      <w:r>
        <w:rPr>
          <w:rFonts w:ascii="Calibri" w:cs="Calibri" w:eastAsia="Calibri" w:hAnsi="Calibri"/>
          <w:i w:val="false"/>
          <w:iCs w:val="false"/>
          <w:sz w:val="21"/>
          <w:szCs w:val="21"/>
        </w:rPr>
        <w:t>Cooperate with us and provide all information and documents we reasonably need, including copies of correspondence with the underlying insurer about the claim.</w:t>
      </w:r>
    </w:p>
    <w:p>
      <w:pPr>
        <w:pStyle w:val="Heading2"/>
        <w:spacing w:after="100" w:before="240"/>
      </w:pPr>
      <w:r>
        <w:rPr>
          <w:rFonts w:ascii="Calibri" w:cs="Calibri" w:eastAsia="Calibri" w:hAnsi="Calibri"/>
          <w:b/>
          <w:bCs/>
          <w:color w:val="1C1915"/>
          <w:sz w:val="24"/>
          <w:szCs w:val="24"/>
        </w:rPr>
        <w:t>Maintenance of Underlying D&amp;O Insurance</w:t>
      </w:r>
    </w:p>
    <w:p>
      <w:pPr>
        <w:spacing w:after="160"/>
        <w:jc w:val="both"/>
      </w:pPr>
      <w:r>
        <w:rPr>
          <w:rFonts w:ascii="Calibri" w:cs="Calibri" w:eastAsia="Calibri" w:hAnsi="Calibri"/>
          <w:i w:val="false"/>
          <w:iCs w:val="false"/>
          <w:sz w:val="21"/>
          <w:szCs w:val="21"/>
        </w:rPr>
        <w:t>The company must keep the underlying D&amp;O insurance in force, on the terms and limits shown in the schedule, for the policy period, and tell us promptly if it is cancelled, not renewed, or its limits or terms are reduced.</w:t>
      </w:r>
    </w:p>
    <w:p>
      <w:pPr>
        <w:spacing w:after="160"/>
        <w:jc w:val="both"/>
      </w:pPr>
      <w:r>
        <w:rPr>
          <w:rFonts w:ascii="Calibri" w:cs="Calibri" w:eastAsia="Calibri" w:hAnsi="Calibri"/>
          <w:i w:val="false"/>
          <w:iCs w:val="false"/>
          <w:sz w:val="21"/>
          <w:szCs w:val="21"/>
        </w:rPr>
        <w:t>If the underlying D&amp;O insurance is not maintained, we will pay only what we would have paid had it been maintained, and only to the extent permitted by s 54 of the Insurance Contracts Act 1984 (Cth) (see Insurance Contracts Act — Savings and No Contracting-Out). [WP REVIEW: confirm the effect of s 54 on this clause, and whether an innocent insured person should be protected where the company fails to maintain the underlying D&amp;O insurance]</w:t>
      </w:r>
    </w:p>
    <w:p>
      <w:pPr>
        <w:pStyle w:val="Heading1"/>
        <w:pageBreakBefore/>
        <w:pBdr>
          <w:bottom w:val="single" w:color="E2D9C8" w:sz="6"/>
        </w:pBdr>
        <w:spacing w:after="160" w:before="360"/>
      </w:pPr>
      <w:r>
        <w:rPr>
          <w:rFonts w:ascii="Calibri" w:cs="Calibri" w:eastAsia="Calibri" w:hAnsi="Calibri"/>
          <w:b/>
          <w:bCs/>
          <w:color w:val="1C1915"/>
          <w:sz w:val="30"/>
          <w:szCs w:val="30"/>
        </w:rPr>
        <w:t>General Conditions</w:t>
      </w:r>
    </w:p>
    <w:p>
      <w:pPr>
        <w:pStyle w:val="Heading2"/>
        <w:spacing w:after="100" w:before="240"/>
      </w:pPr>
      <w:r>
        <w:rPr>
          <w:rFonts w:ascii="Calibri" w:cs="Calibri" w:eastAsia="Calibri" w:hAnsi="Calibri"/>
          <w:b/>
          <w:bCs/>
          <w:color w:val="1C1915"/>
          <w:sz w:val="24"/>
          <w:szCs w:val="24"/>
        </w:rPr>
        <w:t>Duty of Disclosure</w:t>
      </w:r>
    </w:p>
    <w:p>
      <w:pPr>
        <w:spacing w:after="160"/>
        <w:jc w:val="both"/>
      </w:pPr>
      <w:r>
        <w:rPr>
          <w:rFonts w:ascii="Calibri" w:cs="Calibri" w:eastAsia="Calibri" w:hAnsi="Calibri"/>
          <w:i w:val="false"/>
          <w:iCs w:val="false"/>
          <w:sz w:val="21"/>
          <w:szCs w:val="21"/>
        </w:rPr>
        <w:t>Each insured person has an individual duty of disclosure. We assess each person's disclosure separately. A failure by one person does not affect another person's cover (see Non-Avoidance).</w:t>
      </w:r>
    </w:p>
    <w:p>
      <w:pPr>
        <w:pStyle w:val="Heading2"/>
        <w:spacing w:after="100" w:before="240"/>
      </w:pPr>
      <w:r>
        <w:rPr>
          <w:rFonts w:ascii="Calibri" w:cs="Calibri" w:eastAsia="Calibri" w:hAnsi="Calibri"/>
          <w:b/>
          <w:bCs/>
          <w:color w:val="1C1915"/>
          <w:sz w:val="24"/>
          <w:szCs w:val="24"/>
        </w:rPr>
        <w:t>Severability</w:t>
      </w:r>
    </w:p>
    <w:p>
      <w:pPr>
        <w:spacing w:after="160"/>
        <w:jc w:val="both"/>
      </w:pPr>
      <w:r>
        <w:rPr>
          <w:rFonts w:ascii="Calibri" w:cs="Calibri" w:eastAsia="Calibri" w:hAnsi="Calibri"/>
          <w:i w:val="false"/>
          <w:iCs w:val="false"/>
          <w:sz w:val="21"/>
          <w:szCs w:val="21"/>
        </w:rPr>
        <w:t>This policy treats each insured person as if they have their own separate policy. The conduct, knowledge, or statements of one insured person are not attributed to any other insured person.</w:t>
      </w:r>
    </w:p>
    <w:p>
      <w:pPr>
        <w:pStyle w:val="Heading2"/>
        <w:spacing w:after="100" w:before="240"/>
      </w:pPr>
      <w:r>
        <w:rPr>
          <w:rFonts w:ascii="Calibri" w:cs="Calibri" w:eastAsia="Calibri" w:hAnsi="Calibri"/>
          <w:b/>
          <w:bCs/>
          <w:color w:val="1C1915"/>
          <w:sz w:val="24"/>
          <w:szCs w:val="24"/>
        </w:rPr>
        <w:t>Subrogation and Recovery</w:t>
      </w:r>
    </w:p>
    <w:p>
      <w:pPr>
        <w:spacing w:after="160"/>
        <w:jc w:val="both"/>
      </w:pPr>
      <w:r>
        <w:rPr>
          <w:rFonts w:ascii="Calibri" w:cs="Calibri" w:eastAsia="Calibri" w:hAnsi="Calibri"/>
          <w:i w:val="false"/>
          <w:iCs w:val="false"/>
          <w:sz w:val="21"/>
          <w:szCs w:val="21"/>
        </w:rPr>
        <w:t>When we make a payment under this policy, we take over the insured person's rights of recovery for that loss, including any right to be indemnified, or to have defence costs advanced, by the company.</w:t>
      </w:r>
    </w:p>
    <w:p>
      <w:pPr>
        <w:spacing w:after="160"/>
        <w:jc w:val="both"/>
      </w:pPr>
      <w:r>
        <w:rPr>
          <w:rFonts w:ascii="Calibri" w:cs="Calibri" w:eastAsia="Calibri" w:hAnsi="Calibri"/>
          <w:i w:val="false"/>
          <w:iCs w:val="false"/>
          <w:sz w:val="21"/>
          <w:szCs w:val="21"/>
        </w:rPr>
        <w:t>We will not exercise any right of recovery against an insured person, except to recover amounts that must be repaid under Dishonesty and Fraud or Personal Profit after final adjudication. The insured person must give us reasonable help to exercise these rights, at our cost.</w:t>
      </w:r>
    </w:p>
    <w:p>
      <w:pPr>
        <w:spacing w:after="160"/>
        <w:jc w:val="both"/>
      </w:pPr>
      <w:r>
        <w:rPr>
          <w:rFonts w:ascii="Calibri" w:cs="Calibri" w:eastAsia="Calibri" w:hAnsi="Calibri"/>
          <w:i w:val="false"/>
          <w:iCs w:val="false"/>
          <w:sz w:val="21"/>
          <w:szCs w:val="21"/>
        </w:rPr>
        <w:t>Any amount recovered, after deducting the reasonable costs of recovery, is applied first to repay the insured person for loss they have paid that this policy did not cover because the limit of liability was exhausted, and then to repay us.</w:t>
      </w:r>
    </w:p>
    <w:p>
      <w:pPr>
        <w:pStyle w:val="Heading2"/>
        <w:spacing w:after="100" w:before="240"/>
      </w:pPr>
      <w:r>
        <w:rPr>
          <w:rFonts w:ascii="Calibri" w:cs="Calibri" w:eastAsia="Calibri" w:hAnsi="Calibri"/>
          <w:b/>
          <w:bCs/>
          <w:color w:val="1C1915"/>
          <w:sz w:val="24"/>
          <w:szCs w:val="24"/>
        </w:rPr>
        <w:t>Cancellation</w:t>
      </w:r>
    </w:p>
    <w:p>
      <w:pPr>
        <w:spacing w:after="160"/>
        <w:jc w:val="both"/>
      </w:pPr>
      <w:r>
        <w:rPr>
          <w:rFonts w:ascii="Calibri" w:cs="Calibri" w:eastAsia="Calibri" w:hAnsi="Calibri"/>
          <w:i w:val="false"/>
          <w:iCs w:val="false"/>
          <w:sz w:val="21"/>
          <w:szCs w:val="21"/>
        </w:rPr>
        <w:t>By you (the company): The company may cancel this policy at any time by written notice to us. Cancellation does not affect the cover of any insured person who has already notified a claim or circumstance, and does not affect the accrued rights of any insured person under this policy up to the date of cancellation.</w:t>
      </w:r>
    </w:p>
    <w:p>
      <w:pPr>
        <w:spacing w:after="160"/>
        <w:jc w:val="both"/>
      </w:pPr>
      <w:r>
        <w:rPr>
          <w:rFonts w:ascii="Calibri" w:cs="Calibri" w:eastAsia="Calibri" w:hAnsi="Calibri"/>
          <w:i w:val="false"/>
          <w:iCs w:val="false"/>
          <w:sz w:val="21"/>
          <w:szCs w:val="21"/>
        </w:rPr>
        <w:t>By us: We may only cancel this policy on grounds permitted by s 60 of the Insurance Contracts Act 1984 (Cth). Where we are entitled to cancel, we will give each insured person written notice individually as required by s 59. We will refund the premium proportionally.</w:t>
      </w:r>
    </w:p>
    <w:p>
      <w:pPr>
        <w:spacing w:after="160"/>
        <w:jc w:val="both"/>
      </w:pPr>
      <w:r>
        <w:rPr>
          <w:rFonts w:ascii="Calibri" w:cs="Calibri" w:eastAsia="Calibri" w:hAnsi="Calibri"/>
          <w:i w:val="false"/>
          <w:iCs w:val="false"/>
          <w:sz w:val="21"/>
          <w:szCs w:val="21"/>
        </w:rPr>
        <w:t>By an insured person: An individual insured person cannot cancel this policy, and the company cannot cancel it in a way that removes cover for any individual without their written consent.</w:t>
      </w:r>
    </w:p>
    <w:p>
      <w:pPr>
        <w:pStyle w:val="Heading2"/>
        <w:spacing w:after="100" w:before="240"/>
      </w:pPr>
      <w:r>
        <w:rPr>
          <w:rFonts w:ascii="Calibri" w:cs="Calibri" w:eastAsia="Calibri" w:hAnsi="Calibri"/>
          <w:b/>
          <w:bCs/>
          <w:color w:val="1C1915"/>
          <w:sz w:val="24"/>
          <w:szCs w:val="24"/>
        </w:rPr>
        <w:t>Discovery Period</w:t>
      </w:r>
    </w:p>
    <w:p>
      <w:pPr>
        <w:spacing w:after="160"/>
        <w:jc w:val="both"/>
      </w:pPr>
      <w:r>
        <w:rPr>
          <w:rFonts w:ascii="Calibri" w:cs="Calibri" w:eastAsia="Calibri" w:hAnsi="Calibri"/>
          <w:i w:val="false"/>
          <w:iCs w:val="false"/>
          <w:sz w:val="21"/>
          <w:szCs w:val="21"/>
        </w:rPr>
        <w:t>If this policy is not renewed, each insured person has an automatic discovery period of 180 days (6 months) to notify claims arising from wrongful acts during or before the policy period. A longer discovery period is available under Endorsement E01.</w:t>
      </w:r>
    </w:p>
    <w:p>
      <w:pPr>
        <w:pStyle w:val="Heading2"/>
        <w:spacing w:after="100" w:before="240"/>
      </w:pPr>
      <w:r>
        <w:rPr>
          <w:rFonts w:ascii="Calibri" w:cs="Calibri" w:eastAsia="Calibri" w:hAnsi="Calibri"/>
          <w:b/>
          <w:bCs/>
          <w:color w:val="1C1915"/>
          <w:sz w:val="24"/>
          <w:szCs w:val="24"/>
        </w:rPr>
        <w:t>Governing Law and Jurisdiction</w:t>
      </w:r>
    </w:p>
    <w:p>
      <w:pPr>
        <w:spacing w:after="160"/>
        <w:jc w:val="both"/>
      </w:pPr>
      <w:r>
        <w:rPr>
          <w:rFonts w:ascii="Calibri" w:cs="Calibri" w:eastAsia="Calibri" w:hAnsi="Calibri"/>
          <w:i w:val="false"/>
          <w:iCs w:val="false"/>
          <w:sz w:val="21"/>
          <w:szCs w:val="21"/>
        </w:rPr>
        <w:t>This policy is governed by the law of the state or territory of Australia shown in the schedule. The parties submit to the non-exclusive jurisdiction of the courts of that state or territory, and of any court of appeal from those courts.</w:t>
      </w:r>
    </w:p>
    <w:p>
      <w:pPr>
        <w:pStyle w:val="Heading2"/>
        <w:spacing w:after="100" w:before="240"/>
      </w:pPr>
      <w:r>
        <w:rPr>
          <w:rFonts w:ascii="Calibri" w:cs="Calibri" w:eastAsia="Calibri" w:hAnsi="Calibri"/>
          <w:b/>
          <w:bCs/>
          <w:color w:val="1C1915"/>
          <w:sz w:val="24"/>
          <w:szCs w:val="24"/>
        </w:rPr>
        <w:t>Disputes and Complaints</w:t>
      </w:r>
    </w:p>
    <w:p>
      <w:pPr>
        <w:spacing w:after="160"/>
        <w:jc w:val="both"/>
      </w:pPr>
      <w:r>
        <w:rPr>
          <w:rFonts w:ascii="Calibri" w:cs="Calibri" w:eastAsia="Calibri" w:hAnsi="Calibri"/>
          <w:i w:val="false"/>
          <w:iCs w:val="false"/>
          <w:sz w:val="21"/>
          <w:szCs w:val="21"/>
        </w:rPr>
        <w:t>Any insured person may raise a complaint directly with us or with AFCA: www.afca.org.au | 1800 931 678.</w:t>
      </w:r>
    </w:p>
    <w:p>
      <w:pPr>
        <w:pStyle w:val="Heading2"/>
        <w:spacing w:after="100" w:before="240"/>
      </w:pPr>
      <w:r>
        <w:rPr>
          <w:rFonts w:ascii="Calibri" w:cs="Calibri" w:eastAsia="Calibri" w:hAnsi="Calibri"/>
          <w:b/>
          <w:bCs/>
          <w:color w:val="1C1915"/>
          <w:sz w:val="24"/>
          <w:szCs w:val="24"/>
        </w:rPr>
        <w:t>Privacy</w:t>
      </w:r>
    </w:p>
    <w:p>
      <w:pPr>
        <w:spacing w:after="160"/>
        <w:jc w:val="both"/>
      </w:pPr>
      <w:r>
        <w:rPr>
          <w:rFonts w:ascii="Calibri" w:cs="Calibri" w:eastAsia="Calibri" w:hAnsi="Calibri"/>
          <w:i w:val="false"/>
          <w:iCs w:val="false"/>
          <w:sz w:val="21"/>
          <w:szCs w:val="21"/>
        </w:rPr>
        <w:t>We handle personal information in accordance with the Privacy Act 1988 (Cth).</w:t>
      </w:r>
    </w:p>
    <w:p>
      <w:pPr>
        <w:pStyle w:val="Heading2"/>
        <w:spacing w:after="100" w:before="240"/>
      </w:pPr>
      <w:r>
        <w:rPr>
          <w:rFonts w:ascii="Calibri" w:cs="Calibri" w:eastAsia="Calibri" w:hAnsi="Calibri"/>
          <w:b/>
          <w:bCs/>
          <w:color w:val="1C1915"/>
          <w:sz w:val="24"/>
          <w:szCs w:val="24"/>
        </w:rPr>
        <w:t>Insurance Contracts Act — Savings and No Contracting-Out</w:t>
      </w:r>
    </w:p>
    <w:p>
      <w:pPr>
        <w:spacing w:after="160"/>
        <w:jc w:val="both"/>
      </w:pPr>
      <w:r>
        <w:rPr>
          <w:rFonts w:ascii="Calibri" w:cs="Calibri" w:eastAsia="Calibri" w:hAnsi="Calibri"/>
          <w:i w:val="false"/>
          <w:iCs w:val="false"/>
          <w:sz w:val="21"/>
          <w:szCs w:val="21"/>
        </w:rPr>
        <w:t>Nothing in this policy excludes, restricts, or modifies, or purports to exclude, restrict, or modify, the operation of the Insurance Contracts Act 1984 (Cth). Where any provision of this policy is inconsistent with that Act, the Act prevails to the extent of the inconsistency.</w:t>
      </w:r>
    </w:p>
    <w:p>
      <w:pPr>
        <w:spacing w:after="160"/>
        <w:jc w:val="both"/>
      </w:pPr>
      <w:r>
        <w:rPr>
          <w:rFonts w:ascii="Calibri" w:cs="Calibri" w:eastAsia="Calibri" w:hAnsi="Calibri"/>
          <w:i w:val="false"/>
          <w:iCs w:val="false"/>
          <w:sz w:val="21"/>
          <w:szCs w:val="21"/>
        </w:rPr>
        <w:t>Without limiting the foregoing, we may not refuse to pay a claim, in whole or in part, by reason of an act or omission of an insured person or the company after this policy was entered into, except to the extent permitted by s 54 of the Insurance Contracts Act 1984 (Cth) — that is, only to the extent that the act or omission has actually prejudiced us, and then only to the extent of that prejudice.</w:t>
      </w:r>
    </w:p>
    <w:p>
      <w:pPr>
        <w:pStyle w:val="Heading2"/>
        <w:spacing w:after="100" w:before="240"/>
      </w:pPr>
      <w:r>
        <w:rPr>
          <w:rFonts w:ascii="Calibri" w:cs="Calibri" w:eastAsia="Calibri" w:hAnsi="Calibri"/>
          <w:b/>
          <w:bCs/>
          <w:color w:val="1C1915"/>
          <w:sz w:val="24"/>
          <w:szCs w:val="24"/>
        </w:rPr>
        <w:t>Premium and Corporations Act s 199B</w:t>
      </w:r>
    </w:p>
    <w:p>
      <w:pPr>
        <w:spacing w:after="160"/>
        <w:jc w:val="both"/>
      </w:pPr>
      <w:r>
        <w:rPr>
          <w:rFonts w:ascii="Calibri" w:cs="Calibri" w:eastAsia="Calibri" w:hAnsi="Calibri"/>
          <w:i w:val="false"/>
          <w:iCs w:val="false"/>
          <w:sz w:val="21"/>
          <w:szCs w:val="21"/>
        </w:rPr>
        <w:t>Section 199B of the Corporations Act 2001 (Cth) prohibits the company or a related body corporate from paying a premium for insurance against an officer's liability (other than for legal costs) arising from conduct involving a wilful breach of duty in relation to the company, or a contravention of section 182 or 183 of that Act. The schedule may show a portion of the premium as payable other than by the company or a related body corporate, for that part of the cover.</w:t>
      </w:r>
    </w:p>
    <w:p>
      <w:pPr>
        <w:spacing w:after="160"/>
        <w:jc w:val="both"/>
      </w:pPr>
      <w:r>
        <w:rPr>
          <w:rFonts w:ascii="Calibri" w:cs="Calibri" w:eastAsia="Calibri" w:hAnsi="Calibri"/>
          <w:i w:val="false"/>
          <w:iCs w:val="false"/>
          <w:sz w:val="21"/>
          <w:szCs w:val="21"/>
        </w:rPr>
        <w:t>The way the premium is paid does not reduce or condition any insured person's cover under this policy. [WP REVIEW: confirm whether this policy needs a premium allocation, and whether cover for those liabilities should depend on the allocated portion being paid by someone other than the company]</w:t>
      </w:r>
    </w:p>
    <w:p>
      <w:pPr>
        <w:pStyle w:val="Heading2"/>
        <w:spacing w:after="100" w:before="240"/>
      </w:pPr>
      <w:r>
        <w:rPr>
          <w:rFonts w:ascii="Calibri" w:cs="Calibri" w:eastAsia="Calibri" w:hAnsi="Calibri"/>
          <w:b/>
          <w:bCs/>
          <w:color w:val="1C1915"/>
          <w:sz w:val="24"/>
          <w:szCs w:val="24"/>
        </w:rPr>
        <w:t>GST</w:t>
      </w:r>
    </w:p>
    <w:p>
      <w:pPr>
        <w:spacing w:after="160"/>
        <w:jc w:val="both"/>
      </w:pPr>
      <w:r>
        <w:rPr>
          <w:rFonts w:ascii="Calibri" w:cs="Calibri" w:eastAsia="Calibri" w:hAnsi="Calibri"/>
          <w:i w:val="false"/>
          <w:iCs w:val="false"/>
          <w:sz w:val="21"/>
          <w:szCs w:val="21"/>
        </w:rPr>
        <w:t>Amounts payable under this policy are calculated without regard to any input tax credit to which the company or an insured person is or would be entitled under A New Tax System (Goods and Services Tax) Act 1999 (Cth), unless the schedule states otherwise. Where a payment under this policy is subject to GST, we will gross up that payment so that the recipient is placed in the same after-tax position as if no GST applied, to the extent the recipient is not entitled to an input tax credit for the corresponding acquisition.</w:t>
      </w:r>
    </w:p>
    <w:p>
      <w:pPr>
        <w:pStyle w:val="Heading1"/>
        <w:pageBreakBefore/>
        <w:pBdr>
          <w:bottom w:val="single" w:color="E2D9C8" w:sz="6"/>
        </w:pBdr>
        <w:spacing w:after="160" w:before="360"/>
      </w:pPr>
      <w:r>
        <w:rPr>
          <w:rFonts w:ascii="Calibri" w:cs="Calibri" w:eastAsia="Calibri" w:hAnsi="Calibri"/>
          <w:b/>
          <w:bCs/>
          <w:color w:val="1C1915"/>
          <w:sz w:val="30"/>
          <w:szCs w:val="30"/>
        </w:rPr>
        <w:t>Endorsement Library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8300"/>
      </w:tblGrid>
      <w:tr>
        <w:trPr>
          <w:tblHeader/>
        </w:trPr>
        <w:tc>
          <w:tcPr>
            <w:tcW w:type="dxa" w:w="1200"/>
            <w:shd w:fill="E2D9C8" w:val="clear"/>
            <w:tcMar>
              <w:top w:type="dxa" w:w="100"/>
              <w:left w:type="dxa" w:w="100"/>
              <w:bottom w:type="dxa" w:w="100"/>
              <w:right w:type="dxa" w:w="100"/>
            </w:tcMar>
            <w:vAlign w:val="top"/>
          </w:tcPr>
          <w:p>
            <w:r>
              <w:rPr>
                <w:rFonts w:ascii="Calibri" w:cs="Calibri" w:eastAsia="Calibri" w:hAnsi="Calibri"/>
                <w:b/>
                <w:bCs/>
                <w:sz w:val="20"/>
                <w:szCs w:val="20"/>
              </w:rPr>
              <w:t xml:space="preserve">Ref</w:t>
            </w:r>
          </w:p>
        </w:tc>
        <w:tc>
          <w:tcPr>
            <w:tcW w:type="dxa" w:w="8300"/>
            <w:shd w:fill="E2D9C8" w:val="clear"/>
            <w:tcMar>
              <w:top w:type="dxa" w:w="100"/>
              <w:left w:type="dxa" w:w="100"/>
              <w:bottom w:type="dxa" w:w="100"/>
              <w:right w:type="dxa" w:w="100"/>
            </w:tcMar>
            <w:vAlign w:val="top"/>
          </w:tcPr>
          <w:p>
            <w:r>
              <w:rPr>
                <w:rFonts w:ascii="Calibri" w:cs="Calibri" w:eastAsia="Calibri" w:hAnsi="Calibri"/>
                <w:b/>
                <w:bCs/>
                <w:sz w:val="20"/>
                <w:szCs w:val="20"/>
              </w:rPr>
              <w:t xml:space="preserve">Endorsement</w:t>
            </w:r>
          </w:p>
        </w:tc>
      </w:tr>
      <w:tr>
        <w:tc>
          <w:tcPr>
            <w:tcW w:type="dxa" w:w="1200"/>
            <w:tcMar>
              <w:top w:type="dxa" w:w="100"/>
              <w:left w:type="dxa" w:w="100"/>
              <w:bottom w:type="dxa" w:w="100"/>
              <w:right w:type="dxa" w:w="100"/>
            </w:tcMar>
            <w:vAlign w:val="top"/>
          </w:tcPr>
          <w:p>
            <w:r>
              <w:rPr>
                <w:rFonts w:ascii="Calibri" w:cs="Calibri" w:eastAsia="Calibri" w:hAnsi="Calibri"/>
                <w:b/>
                <w:bCs/>
                <w:sz w:val="20"/>
                <w:szCs w:val="20"/>
              </w:rPr>
              <w:t>E01</w:t>
            </w:r>
          </w:p>
        </w:tc>
        <w:tc>
          <w:tcPr>
            <w:tcW w:type="dxa" w:w="8300"/>
            <w:tcMar>
              <w:top w:type="dxa" w:w="100"/>
              <w:left w:type="dxa" w:w="100"/>
              <w:bottom w:type="dxa" w:w="100"/>
              <w:right w:type="dxa" w:w="100"/>
            </w:tcMar>
            <w:vAlign w:val="top"/>
          </w:tcPr>
          <w:p>
            <w:r>
              <w:rPr>
                <w:rFonts w:ascii="Calibri" w:cs="Calibri" w:eastAsia="Calibri" w:hAnsi="Calibri"/>
                <w:i w:val="false"/>
                <w:iCs w:val="false"/>
                <w:sz w:val="20"/>
                <w:szCs w:val="20"/>
              </w:rPr>
              <w:t>Extended discovery period (12, 24, 36, or 72 months, as shown in the schedule)</w:t>
            </w:r>
          </w:p>
        </w:tc>
      </w:tr>
      <w:tr>
        <w:tc>
          <w:tcPr>
            <w:tcW w:type="dxa" w:w="1200"/>
            <w:tcMar>
              <w:top w:type="dxa" w:w="100"/>
              <w:left w:type="dxa" w:w="100"/>
              <w:bottom w:type="dxa" w:w="100"/>
              <w:right w:type="dxa" w:w="100"/>
            </w:tcMar>
            <w:vAlign w:val="top"/>
          </w:tcPr>
          <w:p>
            <w:r>
              <w:rPr>
                <w:rFonts w:ascii="Calibri" w:cs="Calibri" w:eastAsia="Calibri" w:hAnsi="Calibri"/>
                <w:b/>
                <w:bCs/>
                <w:sz w:val="20"/>
                <w:szCs w:val="20"/>
              </w:rPr>
              <w:t>E02</w:t>
            </w:r>
          </w:p>
        </w:tc>
        <w:tc>
          <w:tcPr>
            <w:tcW w:type="dxa" w:w="8300"/>
            <w:tcMar>
              <w:top w:type="dxa" w:w="100"/>
              <w:left w:type="dxa" w:w="100"/>
              <w:bottom w:type="dxa" w:w="100"/>
              <w:right w:type="dxa" w:w="100"/>
            </w:tcMar>
            <w:vAlign w:val="top"/>
          </w:tcPr>
          <w:p>
            <w:r>
              <w:rPr>
                <w:rFonts w:ascii="Calibri" w:cs="Calibri" w:eastAsia="Calibri" w:hAnsi="Calibri"/>
                <w:i w:val="false"/>
                <w:iCs w:val="false"/>
                <w:sz w:val="20"/>
                <w:szCs w:val="20"/>
              </w:rPr>
              <w:t>Defence costs in addition to the limit of liability</w:t>
            </w:r>
          </w:p>
        </w:tc>
      </w:tr>
      <w:tr>
        <w:tc>
          <w:tcPr>
            <w:tcW w:type="dxa" w:w="1200"/>
            <w:tcMar>
              <w:top w:type="dxa" w:w="100"/>
              <w:left w:type="dxa" w:w="100"/>
              <w:bottom w:type="dxa" w:w="100"/>
              <w:right w:type="dxa" w:w="100"/>
            </w:tcMar>
            <w:vAlign w:val="top"/>
          </w:tcPr>
          <w:p>
            <w:r>
              <w:rPr>
                <w:rFonts w:ascii="Calibri" w:cs="Calibri" w:eastAsia="Calibri" w:hAnsi="Calibri"/>
                <w:b/>
                <w:bCs/>
                <w:sz w:val="20"/>
                <w:szCs w:val="20"/>
              </w:rPr>
              <w:t>E03</w:t>
            </w:r>
          </w:p>
        </w:tc>
        <w:tc>
          <w:tcPr>
            <w:tcW w:type="dxa" w:w="8300"/>
            <w:tcMar>
              <w:top w:type="dxa" w:w="100"/>
              <w:left w:type="dxa" w:w="100"/>
              <w:bottom w:type="dxa" w:w="100"/>
              <w:right w:type="dxa" w:w="100"/>
            </w:tcMar>
            <w:vAlign w:val="top"/>
          </w:tcPr>
          <w:p>
            <w:r>
              <w:rPr>
                <w:rFonts w:ascii="Calibri" w:cs="Calibri" w:eastAsia="Calibri" w:hAnsi="Calibri"/>
                <w:i w:val="false"/>
                <w:iCs w:val="false"/>
                <w:sz w:val="20"/>
                <w:szCs w:val="20"/>
              </w:rPr>
              <w:t>United States / Canada jurisdiction extension</w:t>
            </w:r>
          </w:p>
        </w:tc>
      </w:tr>
      <w:tr>
        <w:tc>
          <w:tcPr>
            <w:tcW w:type="dxa" w:w="1200"/>
            <w:tcMar>
              <w:top w:type="dxa" w:w="100"/>
              <w:left w:type="dxa" w:w="100"/>
              <w:bottom w:type="dxa" w:w="100"/>
              <w:right w:type="dxa" w:w="100"/>
            </w:tcMar>
            <w:vAlign w:val="top"/>
          </w:tcPr>
          <w:p>
            <w:r>
              <w:rPr>
                <w:rFonts w:ascii="Calibri" w:cs="Calibri" w:eastAsia="Calibri" w:hAnsi="Calibri"/>
                <w:b/>
                <w:bCs/>
                <w:sz w:val="20"/>
                <w:szCs w:val="20"/>
              </w:rPr>
              <w:t>E04</w:t>
            </w:r>
          </w:p>
        </w:tc>
        <w:tc>
          <w:tcPr>
            <w:tcW w:type="dxa" w:w="8300"/>
            <w:tcMar>
              <w:top w:type="dxa" w:w="100"/>
              <w:left w:type="dxa" w:w="100"/>
              <w:bottom w:type="dxa" w:w="100"/>
              <w:right w:type="dxa" w:w="100"/>
            </w:tcMar>
            <w:vAlign w:val="top"/>
          </w:tcPr>
          <w:p>
            <w:r>
              <w:rPr>
                <w:rFonts w:ascii="Calibri" w:cs="Calibri" w:eastAsia="Calibri" w:hAnsi="Calibri"/>
                <w:i w:val="false"/>
                <w:iCs w:val="false"/>
                <w:sz w:val="20"/>
                <w:szCs w:val="20"/>
              </w:rPr>
              <w:t>Difference in Conditions — drop-down cover (operative text below)</w:t>
            </w:r>
          </w:p>
        </w:tc>
      </w:tr>
    </w:tbl>
    <w:p>
      <w:pPr>
        <w:pStyle w:val="Heading2"/>
        <w:spacing w:after="100" w:before="240"/>
      </w:pPr>
      <w:r>
        <w:rPr>
          <w:rFonts w:ascii="Calibri" w:cs="Calibri" w:eastAsia="Calibri" w:hAnsi="Calibri"/>
          <w:b/>
          <w:bCs/>
          <w:color w:val="1C1915"/>
          <w:sz w:val="24"/>
          <w:szCs w:val="24"/>
        </w:rPr>
        <w:t>Endorsement E04 — Difference in Conditions</w:t>
      </w:r>
    </w:p>
    <w:p>
      <w:pPr>
        <w:spacing w:after="160"/>
        <w:jc w:val="both"/>
      </w:pPr>
      <w:r>
        <w:rPr>
          <w:rFonts w:ascii="Calibri" w:cs="Calibri" w:eastAsia="Calibri" w:hAnsi="Calibri"/>
          <w:i w:val="false"/>
          <w:iCs w:val="false"/>
          <w:sz w:val="21"/>
          <w:szCs w:val="21"/>
        </w:rPr>
        <w:t>This endorsement applies only where the schedule shows that it applies.</w:t>
      </w:r>
    </w:p>
    <w:p>
      <w:pPr>
        <w:spacing w:after="160"/>
        <w:jc w:val="both"/>
      </w:pPr>
      <w:r>
        <w:rPr>
          <w:rFonts w:ascii="Calibri" w:cs="Calibri" w:eastAsia="Calibri" w:hAnsi="Calibri"/>
          <w:i w:val="false"/>
          <w:iCs w:val="false"/>
          <w:sz w:val="21"/>
          <w:szCs w:val="21"/>
        </w:rPr>
        <w:t>Where it applies, we will also pay an insured person's non-indemnifiable loss arising from a claim covered by Side A Excess Cover (apart from the attachment point), in excess of the DIC retention shown in the schedule, where the underlying D&amp;O insurance does not pay that loss for any of the following reasons:</w:t>
      </w:r>
    </w:p>
    <w:p>
      <w:pPr>
        <w:spacing w:after="160"/>
        <w:jc w:val="both"/>
      </w:pPr>
      <w:r>
        <w:rPr>
          <w:rFonts w:ascii="Calibri" w:cs="Calibri" w:eastAsia="Calibri" w:hAnsi="Calibri"/>
          <w:i w:val="false"/>
          <w:iCs w:val="false"/>
          <w:sz w:val="21"/>
          <w:szCs w:val="21"/>
        </w:rPr>
        <w:t>(a) the underlying insurer is insolvent, is placed into liquidation, or is otherwise unable to pay;</w:t>
      </w:r>
    </w:p>
    <w:p>
      <w:pPr>
        <w:spacing w:after="160"/>
        <w:jc w:val="both"/>
      </w:pPr>
      <w:r>
        <w:rPr>
          <w:rFonts w:ascii="Calibri" w:cs="Calibri" w:eastAsia="Calibri" w:hAnsi="Calibri"/>
          <w:i w:val="false"/>
          <w:iCs w:val="false"/>
          <w:sz w:val="21"/>
          <w:szCs w:val="21"/>
        </w:rPr>
        <w:t>(b) the underlying insurer denies cover for the claim, or avoids or cancels the underlying D&amp;O insurance, because of: (i) a breach of the duty of disclosure or a misrepresentation in the application for the underlying D&amp;O insurance, made without the knowledge of the insured person seeking cover; (ii) a failure by the company (not the insured person) to comply with a condition of the underlying D&amp;O insurance; (iii) an exclusion in the underlying D&amp;O insurance that is not in What Is Not Covered; or (iv) a provision of the underlying D&amp;O insurance that attributes the knowledge or conduct of one insured person to another, innocent insured person; or</w:t>
      </w:r>
    </w:p>
    <w:p>
      <w:pPr>
        <w:spacing w:after="160"/>
        <w:jc w:val="both"/>
      </w:pPr>
      <w:r>
        <w:rPr>
          <w:rFonts w:ascii="Calibri" w:cs="Calibri" w:eastAsia="Calibri" w:hAnsi="Calibri"/>
          <w:i w:val="false"/>
          <w:iCs w:val="false"/>
          <w:sz w:val="21"/>
          <w:szCs w:val="21"/>
        </w:rPr>
        <w:t>(c) the underlying D&amp;O insurance is cancelled or not renewed (other than by the company for non-payment of premium), and the company has been unable to obtain replacement cover on substantially similar terms.</w:t>
      </w:r>
    </w:p>
    <w:p>
      <w:pPr>
        <w:spacing w:after="160"/>
        <w:jc w:val="both"/>
      </w:pPr>
      <w:r>
        <w:rPr>
          <w:rFonts w:ascii="Calibri" w:cs="Calibri" w:eastAsia="Calibri" w:hAnsi="Calibri"/>
          <w:i w:val="false"/>
          <w:iCs w:val="false"/>
          <w:sz w:val="21"/>
          <w:szCs w:val="21"/>
        </w:rPr>
        <w:t>For cover under this endorsement, No Drop-Down does not apply, and this policy does not follow the exclusions of the underlying D&amp;O insurance; only the exclusions in What Is Not Covered apply.</w:t>
      </w:r>
    </w:p>
    <w:p>
      <w:pPr>
        <w:spacing w:after="160"/>
        <w:jc w:val="both"/>
      </w:pPr>
      <w:r>
        <w:rPr>
          <w:rFonts w:ascii="Calibri" w:cs="Calibri" w:eastAsia="Calibri" w:hAnsi="Calibri"/>
          <w:i w:val="false"/>
          <w:iCs w:val="false"/>
          <w:sz w:val="21"/>
          <w:szCs w:val="21"/>
        </w:rPr>
        <w:t>This endorsement does not apply where: (a) the insured person seeking cover personally participated in the conduct that caused the underlying insurer to deny or avoid cover; or (b) the company voluntarily cancelled the underlying D&amp;O insurance and the insured person knew of the cancellation but did not tell us.</w:t>
      </w:r>
    </w:p>
    <w:p>
      <w:pPr>
        <w:spacing w:after="160"/>
        <w:jc w:val="both"/>
      </w:pPr>
      <w:r>
        <w:rPr>
          <w:rFonts w:ascii="Calibri" w:cs="Calibri" w:eastAsia="Calibri" w:hAnsi="Calibri"/>
          <w:i w:val="false"/>
          <w:iCs w:val="false"/>
          <w:sz w:val="21"/>
          <w:szCs w:val="21"/>
        </w:rPr>
        <w:t>When we pay under this endorsement, we also take over the insured person's rights against the underlying insurer, under Subrogation and Recovery.</w:t>
      </w:r>
    </w:p>
    <w:p>
      <w:pPr>
        <w:spacing w:before="400"/>
      </w:pPr>
    </w:p>
    <w:p>
      <w:pPr>
        <w:spacing w:after="160"/>
        <w:jc w:val="both"/>
      </w:pPr>
      <w:r>
        <w:rPr>
          <w:rFonts w:ascii="Calibri" w:cs="Calibri" w:eastAsia="Calibri" w:hAnsi="Calibri"/>
          <w:b/>
          <w:bCs/>
          <w:i w:val="false"/>
          <w:iCs w:val="false"/>
          <w:sz w:val="21"/>
          <w:szCs w:val="21"/>
        </w:rPr>
        <w:t>Meridian Commons — Open Source Insurance Wording</w:t>
      </w:r>
      <w:r>
        <w:rPr>
          <w:rFonts w:ascii="Calibri" w:cs="Calibri" w:eastAsia="Calibri" w:hAnsi="Calibri"/>
          <w:i w:val="false"/>
          <w:iCs w:val="false"/>
          <w:sz w:val="21"/>
          <w:szCs w:val="21"/>
        </w:rPr>
        <w:t xml:space="preserve"> · CC BY 4.0 applies to the wording text only; the Meridian name, bearing mark, and Cuttleflow brand assets are excluded from the licence. Doc ref 2026/SADO/0001 · v2.0.0-DRAFT · October 2026. This version supersedes v1.2.0 (July 2026, superseded).</w:t>
      </w:r>
    </w:p>
    <w:p>
      <w:pPr>
        <w:spacing w:after="160"/>
        <w:jc w:val="both"/>
      </w:pPr>
      <w:r>
        <w:rPr>
          <w:rFonts w:ascii="Calibri" w:cs="Calibri" w:eastAsia="Calibri" w:hAnsi="Calibri"/>
          <w:i w:val="false"/>
          <w:iCs w:val="false"/>
          <w:sz w:val="21"/>
          <w:szCs w:val="21"/>
        </w:rPr>
        <w:t xml:space="preserve">Designed for the Australian market. Assumes application of the Insurance Contracts Act 1984 (Cth). Adopters must obtain their own legal advice and their capacity provider's approval before use. This document is DRAFT — SUBJECT TO LEGAL REVIEW — NOT FOR USE until Wording Partner sign-off; the Wording Partner's review letter runs to Cuttleflow Systems Pty Ltd only. Users are responsible for their own legal review, regulatory compliance, and reinsurance alignment.</w:t>
      </w:r>
    </w:p>
    <w:sectPr>
      <w:headerReference w:type="default" r:id="rId7"/>
      <w:footerReference w:type="default" r:id="rId8"/>
      <w:headerReference w:type="first" r:id="rId10"/>
      <w:footerReference w:type="firs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9C8" w:sz="4"/>
      </w:pBdr>
      <w:tabs>
        <w:tab w:val="right" w:pos="9026"/>
      </w:tabs>
      <w:spacing w:before="120"/>
    </w:pPr>
    <w:r>
      <w:rPr>
        <w:rFonts w:ascii="Calibri" w:cs="Calibri" w:eastAsia="Calibri" w:hAnsi="Calibri"/>
        <w:color w:val="1C1915"/>
        <w:sz w:val="15"/>
        <w:szCs w:val="15"/>
      </w:rPr>
      <w:t>Meridian Side A D&amp;O — 2026/SADO/0001 · v2.0.0-DRAFT · DRAFT — SUBJECT TO LEGAL REVIEW — NOT FOR USE</w:t>
      <w:tab/>
    </w:r>
    <w:r>
      <w:rPr>
        <w:rFonts w:ascii="Calibri" w:cs="Calibri" w:eastAsia="Calibri" w:hAnsi="Calibri"/>
        <w:color w:val="1C1915"/>
        <w:sz w:val="15"/>
        <w:szCs w:val="15"/>
      </w:rPr>
      <w:t xml:space="preserve">Page </w:t>
    </w:r>
    <w:r>
      <w:rPr>
        <w:rFonts w:ascii="Calibri" w:cs="Calibri" w:eastAsia="Calibri" w:hAnsi="Calibri"/>
        <w:color w:val="1C1915"/>
        <w:sz w:val="15"/>
        <w:szCs w:val="15"/>
      </w:rPr>
      <w:fldChar w:fldCharType="begin"/>
      <w:instrText xml:space="preserve">PAGE</w:instrText>
      <w:fldChar w:fldCharType="separate"/>
      <w:fldChar w:fldCharType="end"/>
    </w:r>
    <w:r>
      <w:rPr>
        <w:rFonts w:ascii="Calibri" w:cs="Calibri" w:eastAsia="Calibri" w:hAnsi="Calibri"/>
        <w:color w:val="1C1915"/>
        <w:sz w:val="15"/>
        <w:szCs w:val="15"/>
      </w:rPr>
      <w:t xml:space="preserve"> of </w:t>
    </w:r>
    <w:r>
      <w:rPr>
        <w:rFonts w:ascii="Calibri" w:cs="Calibri" w:eastAsia="Calibri" w:hAnsi="Calibri"/>
        <w:color w:val="1C1915"/>
        <w:sz w:val="15"/>
        <w:szCs w:val="15"/>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24E2C" w:sz="4"/>
      </w:pBdr>
      <w:spacing w:after="120"/>
      <w:jc w:val="center"/>
    </w:pPr>
    <w:r>
      <w:rPr>
        <w:rFonts w:ascii="Calibri" w:cs="Calibri" w:eastAsia="Calibri" w:hAnsi="Calibri"/>
        <w:b/>
        <w:bCs/>
        <w:color w:val="1C1915"/>
        <w:sz w:val="16"/>
        <w:szCs w:val="16"/>
      </w:rPr>
      <w:t xml:space="preserve">DRAFT — SUBJECT TO LEGAL REVIEW — NOT FOR USE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1C1915"/>
      <w:sz w:val="32"/>
      <w:szCs w:val="32"/>
    </w:rPr>
  </w:style>
  <w:style w:type="paragraph" w:styleId="Heading2">
    <w:name w:val="Heading 2"/>
    <w:basedOn w:val="Normal"/>
    <w:next w:val="Normal"/>
    <w:qFormat/>
    <w:rPr>
      <w:color w:val="1C1915"/>
      <w:sz w:val="26"/>
      <w:szCs w:val="26"/>
    </w:rPr>
  </w:style>
  <w:style w:type="paragraph" w:styleId="Heading3">
    <w:name w:val="Heading 3"/>
    <w:basedOn w:val="Normal"/>
    <w:next w:val="Normal"/>
    <w:qFormat/>
    <w:rPr>
      <w:color w:val="1C1915"/>
      <w:sz w:val="24"/>
      <w:szCs w:val="24"/>
    </w:rPr>
  </w:style>
  <w:style w:type="paragraph" w:styleId="Heading4">
    <w:name w:val="Heading 4"/>
    <w:basedOn w:val="Normal"/>
    <w:next w:val="Normal"/>
    <w:qFormat/>
    <w:rPr>
      <w:i/>
      <w:iCs/>
      <w:color w:val="1C1915"/>
    </w:rPr>
  </w:style>
  <w:style w:type="paragraph" w:styleId="Heading5">
    <w:name w:val="Heading 5"/>
    <w:basedOn w:val="Normal"/>
    <w:next w:val="Normal"/>
    <w:qFormat/>
    <w:rPr>
      <w:color w:val="1C1915"/>
    </w:rPr>
  </w:style>
  <w:style w:type="paragraph" w:styleId="Heading6">
    <w:name w:val="Heading 6"/>
    <w:basedOn w:val="Normal"/>
    <w:next w:val="Normal"/>
    <w:qFormat/>
    <w:rPr>
      <w:color w:val="1C1915"/>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1C1915"/>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Bearing" Type="http://schemas.openxmlformats.org/officeDocument/2006/relationships/image" Target="media/bearing.png"/><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2026-07-18T01:24:40.903Z</dcterms:created>
  <dcterms:modified xsi:type="dcterms:W3CDTF">2026-07-18T01:24:40.903Z</dcterms:modified>
</cp:coreProperties>
</file>

<file path=docProps/custom.xml><?xml version="1.0" encoding="utf-8"?>
<Properties xmlns="http://schemas.openxmlformats.org/officeDocument/2006/custom-properties" xmlns:vt="http://schemas.openxmlformats.org/officeDocument/2006/docPropsVTypes"/>
</file>