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r>
        <w:rPr>
          <w:rFonts w:ascii="Consolas" w:hAnsi="Consolas" w:eastAsia="Consolas"/>
          <w:b w:val="0"/>
          <w:i w:val="0"/>
          <w:sz w:val="24"/>
        </w:rPr>
        <w:t xml:space="preserve">cuttleflow </w:t>
      </w:r>
      <w:r>
        <w:rPr>
          <w:rFonts w:ascii="Consolas" w:hAnsi="Consolas" w:eastAsia="Consolas"/>
          <w:b/>
          <w:i w:val="0"/>
          <w:sz w:val="24"/>
        </w:rPr>
        <w:t>SYSTEMS</w:t>
      </w:r>
    </w:p>
    <w:p>
      <w:r>
        <w:rPr>
          <w:rFonts w:ascii="Consolas" w:hAnsi="Consolas" w:eastAsia="Consolas"/>
          <w:b w:val="0"/>
          <w:i w:val="0"/>
          <w:color w:val="C24E2C"/>
          <w:sz w:val="18"/>
        </w:rPr>
        <w:t>PROFESSIONAL INDEMNITY INSURANCE · EDUCATION AND TRAINING</w:t>
      </w:r>
    </w:p>
    <w:p>
      <w:r>
        <w:rPr>
          <w:rFonts w:ascii="Georgia" w:hAnsi="Georgia" w:eastAsia="Georgia"/>
          <w:b/>
          <w:i w:val="0"/>
          <w:sz w:val="60"/>
        </w:rPr>
        <w:t>Education and Training Professional Indemnity Insurance — Endorsement</w:t>
      </w:r>
    </w:p>
    <w:p>
      <w:r>
        <w:rPr>
          <w:rFonts w:ascii="Georgia" w:hAnsi="Georgia" w:eastAsia="Georgia"/>
          <w:b w:val="0"/>
          <w:i/>
          <w:color w:val="2E5C4E"/>
          <w:sz w:val="28"/>
        </w:rPr>
        <w:t>Policy endorsement</w:t>
      </w:r>
    </w:p>
    <w:p>
      <w:r>
        <w:rPr>
          <w:rFonts w:ascii="Georgia" w:hAnsi="Georgia" w:eastAsia="Georgia"/>
          <w:b w:val="0"/>
          <w:i/>
          <w:color w:val="2E5C4E"/>
          <w:sz w:val="26"/>
        </w:rPr>
        <w:t>Cuttleflow Systems — Open Source Insurance Wording</w:t>
      </w:r>
    </w:p>
    <w:p>
      <w:r>
        <w:rPr>
          <w:rFonts w:ascii="Consolas" w:hAnsi="Consolas" w:eastAsia="Consolas"/>
          <w:b w:val="0"/>
          <w:i w:val="0"/>
          <w:color w:val="2E5C4E"/>
          <w:sz w:val="18"/>
        </w:rPr>
        <w:t>Version 1.0.0-DRAFT · October 2026 · CC BY 4.0 (wording text only)</w:t>
      </w:r>
    </w:p>
    <w:p>
      <w:r>
        <w:rPr>
          <w:rFonts w:ascii="Consolas" w:hAnsi="Consolas" w:eastAsia="Consolas"/>
          <w:b w:val="0"/>
          <w:i w:val="0"/>
          <w:color w:val="2E5C4E"/>
          <w:sz w:val="18"/>
        </w:rPr>
        <w:t>Attaches to base wording pi-base@1.4.0-DRAFT</w:t>
      </w:r>
    </w:p>
    <w:p>
      <w:r>
        <w:rPr>
          <w:rFonts w:ascii="Consolas" w:hAnsi="Consolas" w:eastAsia="Consolas"/>
          <w:b w:val="0"/>
          <w:i w:val="0"/>
          <w:sz w:val="18"/>
        </w:rPr>
        <w:t>Document ref 2026/PI/0010 · CUTTLEFLOW PTY LTD T/A CUTTLEFLOW SYSTEMS</w:t>
      </w:r>
    </w:p>
    <w:p>
      <w:r>
        <w:rPr>
          <w:b/>
          <w:i w:val="0"/>
          <w:color w:val="C24E2C"/>
        </w:rPr>
        <w:t>DRAFT — SUBJECT TO LEGAL REVIEW — NOT FOR USE</w:t>
      </w:r>
    </w:p>
    <w:p/>
    <w:p/>
    <w:p/>
    <w:p/>
    <w:p/>
    <w:p/>
    <w:p/>
    <w:p/>
    <w:p>
      <w:r>
        <w:rPr>
          <w:rFonts w:ascii="Consolas" w:hAnsi="Consolas" w:eastAsia="Consolas"/>
          <w:b w:val="0"/>
          <w:i w:val="0"/>
          <w:sz w:val="16"/>
        </w:rPr>
        <w:t>33°53′S · 151°16′E · Sydney</w:t>
      </w:r>
      <w:r>
        <w:br w:type="page"/>
      </w:r>
    </w:p>
    <w:p>
      <w:bookmarkStart w:id="0" w:name="c_end_application"/>
      <w:r>
        <w:rPr>
          <w:rFonts w:ascii="Georgia" w:hAnsi="Georgia" w:eastAsia="Georgia"/>
          <w:b/>
          <w:i w:val="0"/>
          <w:color w:val="1C1915"/>
          <w:sz w:val="32"/>
        </w:rPr>
        <w:t>Application</w:t>
      </w:r>
      <w:bookmarkEnd w:id="0"/>
    </w:p>
    <w:p>
      <w:r>
        <w:rPr>
          <w:b w:val="0"/>
          <w:i w:val="0"/>
        </w:rPr>
        <w:t>This endorsement attaches to and forms part of the Meridian Professional Indemnity Insurance wording, version 1.4.0-DRAFT (document reference 2026/PI/0001), referred to here as the base wording. It changes the base wording only as set out below. All other terms, conditions, exclusions and limits of the base wording continue to apply.</w:t>
      </w:r>
    </w:p>
    <w:p>
      <w:r>
        <w:rPr>
          <w:b w:val="0"/>
          <w:i w:val="0"/>
        </w:rPr>
        <w:t>Words defined in the base wording have the same meaning in this endorsement. Where this endorsement and the base wording conflict, this endorsement applies to the extent of the conflict.</w:t>
      </w:r>
    </w:p>
    <w:p>
      <w:r>
        <w:rPr>
          <w:b w:val="0"/>
          <w:i w:val="0"/>
        </w:rPr>
        <w:t>The same terms are published as a single integrated wording, Education and Training Professional Indemnity Insurance, version 1.0.0-DRAFT. Both documents are generated from the same source and have the same effect.</w:t>
      </w:r>
    </w:p>
    <w:p>
      <w:bookmarkStart w:id="1" w:name="c_end_0"/>
      <w:r>
        <w:rPr>
          <w:rFonts w:ascii="Georgia" w:hAnsi="Georgia" w:eastAsia="Georgia"/>
          <w:b/>
          <w:i w:val="0"/>
          <w:color w:val="1C1915"/>
          <w:sz w:val="32"/>
        </w:rPr>
        <w:t>Replaced: Professional services</w:t>
      </w:r>
      <w:bookmarkEnd w:id="1"/>
    </w:p>
    <w:p>
      <w:r>
        <w:rPr>
          <w:b w:val="0"/>
          <w:i w:val="0"/>
        </w:rPr>
        <w:t>The definition of Professional services in the base wording is deleted and replaced with the following.</w:t>
      </w:r>
    </w:p>
    <w:p>
      <w:r>
        <w:rPr>
          <w:b/>
          <w:i w:val="0"/>
        </w:rPr>
        <w:t>Professional services</w:t>
      </w:r>
    </w:p>
    <w:p>
      <w:r>
        <w:rPr>
          <w:b w:val="0"/>
          <w:i w:val="0"/>
        </w:rPr>
        <w:t>The following services provided for a fee, a grant or other funding:</w:t>
      </w:r>
    </w:p>
    <w:p>
      <w:r>
        <w:rPr>
          <w:b w:val="0"/>
          <w:i w:val="0"/>
        </w:rPr>
        <w:t>(a) education and training by a school, higher education provider or registered training organisation, including teaching, assessment, the issue of qualifications and statements of attainment, and student support;</w:t>
      </w:r>
    </w:p>
    <w:p>
      <w:r>
        <w:rPr>
          <w:b w:val="0"/>
          <w:i w:val="0"/>
        </w:rPr>
        <w:t>(b) tutoring and coaching;</w:t>
      </w:r>
    </w:p>
    <w:p>
      <w:r>
        <w:rPr>
          <w:b w:val="0"/>
          <w:i w:val="0"/>
        </w:rPr>
        <w:t>(c) course and curriculum design;</w:t>
      </w:r>
    </w:p>
    <w:p>
      <w:r>
        <w:rPr>
          <w:b w:val="0"/>
          <w:i w:val="0"/>
        </w:rPr>
        <w:t>(d) recruiting and advising students as an education agent; and</w:t>
      </w:r>
    </w:p>
    <w:p>
      <w:r>
        <w:rPr>
          <w:b w:val="0"/>
          <w:i w:val="0"/>
        </w:rPr>
        <w:t>(e) any other service shown in the schedule as a professional service.</w:t>
      </w:r>
    </w:p>
    <w:p>
      <w:r>
        <w:rPr>
          <w:b w:val="0"/>
          <w:i w:val="0"/>
        </w:rPr>
        <w:t>A service in (a) is a professional service only while you hold the registration that the law requires to provide it.</w:t>
      </w:r>
    </w:p>
    <w:p>
      <w:bookmarkStart w:id="2" w:name="c_end_1"/>
      <w:r>
        <w:rPr>
          <w:rFonts w:ascii="Georgia" w:hAnsi="Georgia" w:eastAsia="Georgia"/>
          <w:b/>
          <w:i w:val="0"/>
          <w:color w:val="1C1915"/>
          <w:sz w:val="32"/>
        </w:rPr>
        <w:t>Added: Failure to Educate</w:t>
      </w:r>
      <w:bookmarkEnd w:id="2"/>
    </w:p>
    <w:p>
      <w:r>
        <w:rPr>
          <w:b w:val="0"/>
          <w:i w:val="0"/>
        </w:rPr>
        <w:t>The following extension is added to the base wording, after the Subcontractors and Outsourcers extension.</w:t>
      </w:r>
    </w:p>
    <w:p>
      <w:r>
        <w:rPr>
          <w:b/>
          <w:i w:val="0"/>
        </w:rPr>
        <w:t>Failure to Educate</w:t>
      </w:r>
    </w:p>
    <w:p>
      <w:r>
        <w:rPr>
          <w:b w:val="0"/>
          <w:i w:val="0"/>
        </w:rPr>
        <w:t>We cover you for a claim by a student, or a person paying for a student, that you failed to provide the education, training or assessment that you promised or that the law required, including a claim arising from the cancellation of a qualification or statement of attainment that you issued.</w:t>
      </w:r>
    </w:p>
    <w:p>
      <w:bookmarkStart w:id="3" w:name="c_end_2"/>
      <w:r>
        <w:rPr>
          <w:rFonts w:ascii="Georgia" w:hAnsi="Georgia" w:eastAsia="Georgia"/>
          <w:b/>
          <w:i w:val="0"/>
          <w:color w:val="1C1915"/>
          <w:sz w:val="32"/>
        </w:rPr>
        <w:t>Added: Re-assessment and Re-issue Costs</w:t>
      </w:r>
      <w:bookmarkEnd w:id="3"/>
    </w:p>
    <w:p>
      <w:r>
        <w:rPr>
          <w:b w:val="0"/>
          <w:i w:val="0"/>
        </w:rPr>
        <w:t>The following extension is added to the base wording, after the Failure to Educate extension.</w:t>
      </w:r>
    </w:p>
    <w:p>
      <w:r>
        <w:rPr>
          <w:b/>
          <w:i w:val="0"/>
        </w:rPr>
        <w:t>Re-assessment and Re-issue Costs</w:t>
      </w:r>
    </w:p>
    <w:p>
      <w:r>
        <w:rPr>
          <w:b w:val="0"/>
          <w:i w:val="0"/>
        </w:rPr>
        <w:t>If a regulator finds that your assessment of students did not meet the standards that apply, we will pay the reasonable costs, incurred with our consent, of re-assessing the affected students, providing additional training to them, and re-issuing their qualifications or statements of attainment.</w:t>
      </w:r>
    </w:p>
    <w:p>
      <w:r>
        <w:rPr>
          <w:b w:val="0"/>
          <w:i w:val="0"/>
        </w:rPr>
        <w:t>The most we will pay under this extension in the policy period is the sub-limit shown in the schedule, which is part of the limit of liability.</w:t>
      </w:r>
    </w:p>
    <w:p>
      <w:bookmarkStart w:id="4" w:name="c_end_3"/>
      <w:r>
        <w:rPr>
          <w:rFonts w:ascii="Georgia" w:hAnsi="Georgia" w:eastAsia="Georgia"/>
          <w:b/>
          <w:i w:val="0"/>
          <w:color w:val="1C1915"/>
          <w:sz w:val="32"/>
        </w:rPr>
        <w:t>Added: Education Regulators</w:t>
      </w:r>
      <w:bookmarkEnd w:id="4"/>
    </w:p>
    <w:p>
      <w:r>
        <w:rPr>
          <w:b w:val="0"/>
          <w:i w:val="0"/>
        </w:rPr>
        <w:t>The following extension is added to the base wording, after the Re-assessment and Re-issue Costs extension.</w:t>
      </w:r>
    </w:p>
    <w:p>
      <w:r>
        <w:rPr>
          <w:b/>
          <w:i w:val="0"/>
        </w:rPr>
        <w:t>Education Regulators</w:t>
      </w:r>
    </w:p>
    <w:p>
      <w:r>
        <w:rPr>
          <w:b w:val="0"/>
          <w:i w:val="0"/>
        </w:rPr>
        <w:t xml:space="preserve">We also pay defence costs under </w:t>
      </w:r>
      <w:hyperlink w:anchor="c_pi_ext_inquiry_costs">
        <w:r>
          <w:rPr>
            <w:color w:val="2E5C4E"/>
            <w:u w:val="single"/>
          </w:rPr>
          <w:t xml:space="preserve">the Inquiry Costs extension</w:t>
        </w:r>
      </w:hyperlink>
      <w:r>
        <w:rPr>
          <w:b w:val="0"/>
          <w:i w:val="0"/>
        </w:rPr>
        <w:t xml:space="preserve"> for an audit, investigation or inquiry into your conduct by an education regulator, including ASQA, TEQSA, the Victorian Registration and Qualifications Authority, the Training Accreditation Council of Western Australia, and a state or territory school registration authority.</w:t>
      </w:r>
    </w:p>
    <w:p>
      <w:r>
        <w:rPr>
          <w:b w:val="0"/>
          <w:i w:val="0"/>
        </w:rPr>
        <w:t>This extension does not cover the cost of a routine registration or re-registration audit.</w:t>
      </w:r>
    </w:p>
    <w:p>
      <w:bookmarkStart w:id="5" w:name="c_end_4"/>
      <w:r>
        <w:rPr>
          <w:rFonts w:ascii="Georgia" w:hAnsi="Georgia" w:eastAsia="Georgia"/>
          <w:b/>
          <w:i w:val="0"/>
          <w:color w:val="1C1915"/>
          <w:sz w:val="32"/>
        </w:rPr>
        <w:t>Added: Teachers, Contractors and Volunteers</w:t>
      </w:r>
      <w:bookmarkEnd w:id="5"/>
    </w:p>
    <w:p>
      <w:r>
        <w:rPr>
          <w:b w:val="0"/>
          <w:i w:val="0"/>
        </w:rPr>
        <w:t>The following extension is added to the base wording, after the Education Regulators extension.</w:t>
      </w:r>
    </w:p>
    <w:p>
      <w:r>
        <w:rPr>
          <w:b/>
          <w:i w:val="0"/>
        </w:rPr>
        <w:t>Teachers, Contractors and Volunteers</w:t>
      </w:r>
    </w:p>
    <w:p>
      <w:r>
        <w:rPr>
          <w:b w:val="0"/>
          <w:i w:val="0"/>
        </w:rPr>
        <w:t>A teacher, trainer, assessor or tutor engaged by you as a contractor, and a volunteer acting for you, is an insured person for the professional services they provide on your behalf.</w:t>
      </w:r>
    </w:p>
    <w:p>
      <w:bookmarkStart w:id="6" w:name="c_end_5"/>
      <w:r>
        <w:rPr>
          <w:rFonts w:ascii="Georgia" w:hAnsi="Georgia" w:eastAsia="Georgia"/>
          <w:b/>
          <w:i w:val="0"/>
          <w:color w:val="1C1915"/>
          <w:sz w:val="32"/>
        </w:rPr>
        <w:t>Added: Abuse</w:t>
      </w:r>
      <w:bookmarkEnd w:id="6"/>
    </w:p>
    <w:p>
      <w:r>
        <w:rPr>
          <w:b w:val="0"/>
          <w:i w:val="0"/>
        </w:rPr>
        <w:t>The following exclusion is added to the base wording, after the Bodily Injury and Property Damage exclusion.</w:t>
      </w:r>
    </w:p>
    <w:p>
      <w:r>
        <w:rPr>
          <w:b/>
          <w:i w:val="0"/>
        </w:rPr>
        <w:t>Abuse</w:t>
      </w:r>
    </w:p>
    <w:p>
      <w:r>
        <w:rPr>
          <w:b w:val="0"/>
          <w:i w:val="0"/>
        </w:rPr>
        <w:t>Arising from the sexual, physical or psychological abuse, molestation or harassment of any person, or from any failure to prevent, detect, report or respond to it, whether the claim is for negligence, breach of a non-delegable duty or any other cause of action.</w:t>
      </w:r>
    </w:p>
    <w:p>
      <w:r>
        <w:rPr>
          <w:b w:val="0"/>
          <w:i w:val="0"/>
        </w:rPr>
        <w:t>This exposure is designed to be covered under an abuse liability policy.</w:t>
      </w:r>
    </w:p>
    <w:p>
      <w:bookmarkStart w:id="7" w:name="c_end_6"/>
      <w:r>
        <w:rPr>
          <w:rFonts w:ascii="Georgia" w:hAnsi="Georgia" w:eastAsia="Georgia"/>
          <w:b/>
          <w:i w:val="0"/>
          <w:color w:val="1C1915"/>
          <w:sz w:val="32"/>
        </w:rPr>
        <w:t>Added: Fee Refunds</w:t>
      </w:r>
      <w:bookmarkEnd w:id="7"/>
    </w:p>
    <w:p>
      <w:r>
        <w:rPr>
          <w:b w:val="0"/>
          <w:i w:val="0"/>
        </w:rPr>
        <w:t>The following exclusion is added to the base wording, after the Trading Debts and Business Losses exclusion.</w:t>
      </w:r>
    </w:p>
    <w:p>
      <w:r>
        <w:rPr>
          <w:b/>
          <w:i w:val="0"/>
        </w:rPr>
        <w:t>Fee Refunds</w:t>
      </w:r>
    </w:p>
    <w:p>
      <w:r>
        <w:rPr>
          <w:b w:val="0"/>
          <w:i w:val="0"/>
        </w:rPr>
        <w:t>For the refund or re-crediting of tuition fees, student loan amounts or levies, including amounts payable under a tuition protection scheme, except to the extent that a court or tribunal orders them as compensation for your negligence.</w:t>
      </w:r>
    </w:p>
    <w:p>
      <w:bookmarkStart w:id="8" w:name="c_end_7"/>
      <w:r>
        <w:rPr>
          <w:rFonts w:ascii="Georgia" w:hAnsi="Georgia" w:eastAsia="Georgia"/>
          <w:b/>
          <w:i w:val="0"/>
          <w:color w:val="1C1915"/>
          <w:sz w:val="32"/>
        </w:rPr>
        <w:t>Added: Research</w:t>
      </w:r>
      <w:bookmarkEnd w:id="8"/>
    </w:p>
    <w:p>
      <w:r>
        <w:rPr>
          <w:b w:val="0"/>
          <w:i w:val="0"/>
        </w:rPr>
        <w:t>The following exclusion is added to the base wording, after the Fee Refunds exclusion.</w:t>
      </w:r>
    </w:p>
    <w:p>
      <w:r>
        <w:rPr>
          <w:b/>
          <w:i w:val="0"/>
        </w:rPr>
        <w:t>Research</w:t>
      </w:r>
    </w:p>
    <w:p>
      <w:r>
        <w:rPr>
          <w:b w:val="0"/>
          <w:i w:val="0"/>
        </w:rPr>
        <w:t>Arising from research, clinical trials or product development, other than research carried out by students as part of their course.</w:t>
      </w:r>
    </w:p>
    <w:p>
      <w:bookmarkStart w:id="9" w:name="c_end_8"/>
      <w:r>
        <w:rPr>
          <w:rFonts w:ascii="Georgia" w:hAnsi="Georgia" w:eastAsia="Georgia"/>
          <w:b/>
          <w:i w:val="0"/>
          <w:color w:val="1C1915"/>
          <w:sz w:val="32"/>
        </w:rPr>
        <w:t>Education and Training Endorsements</w:t>
      </w:r>
      <w:bookmarkEnd w:id="9"/>
    </w:p>
    <w:p>
      <w:r>
        <w:rPr>
          <w:b w:val="0"/>
          <w:i w:val="0"/>
        </w:rPr>
        <w:t>The following endorsements apply to this policy only when the schedule shows that they apply.</w:t>
      </w:r>
    </w:p>
    <w:p>
      <w:bookmarkStart w:id="10" w:name="c_end_9"/>
      <w:r>
        <w:rPr>
          <w:rFonts w:ascii="Georgia" w:hAnsi="Georgia" w:eastAsia="Georgia"/>
          <w:b/>
          <w:i w:val="0"/>
          <w:color w:val="1C1915"/>
          <w:sz w:val="32"/>
        </w:rPr>
        <w:t>Third-Party Delivery Exclusion</w:t>
      </w:r>
      <w:bookmarkEnd w:id="10"/>
    </w:p>
    <w:p>
      <w:r>
        <w:rPr>
          <w:b w:val="0"/>
          <w:i w:val="0"/>
        </w:rPr>
        <w:t>We do not cover any claim, loss or liability arising from training or assessment delivered on your behalf, or under your registration, by a third party that is not your employee, including under an auspicing, partnership or licensing arrangement.</w:t>
      </w:r>
    </w:p>
    <w:p>
      <w:bookmarkStart w:id="11" w:name="c_end_10"/>
      <w:r>
        <w:rPr>
          <w:rFonts w:ascii="Georgia" w:hAnsi="Georgia" w:eastAsia="Georgia"/>
          <w:b/>
          <w:i w:val="0"/>
          <w:color w:val="1C1915"/>
          <w:sz w:val="32"/>
        </w:rPr>
        <w:t>International Students Sub-limit</w:t>
      </w:r>
      <w:bookmarkEnd w:id="11"/>
    </w:p>
    <w:p>
      <w:r>
        <w:rPr>
          <w:b w:val="0"/>
          <w:i w:val="0"/>
        </w:rPr>
        <w:t>For all claims arising from services to international students, including services as an education agent, the most we will pay in total, including defence costs, is the sub-limit shown in the schedule for this endorsement. The sub-limit is part of, and not in addition to, the limit of liability.</w:t>
      </w:r>
    </w:p>
    <w:p>
      <w:bookmarkStart w:id="12" w:name="c_end_11"/>
      <w:r>
        <w:rPr>
          <w:rFonts w:ascii="Georgia" w:hAnsi="Georgia" w:eastAsia="Georgia"/>
          <w:b/>
          <w:i w:val="0"/>
          <w:color w:val="1C1915"/>
          <w:sz w:val="32"/>
        </w:rPr>
        <w:t>VET Student Loans Exclusion</w:t>
      </w:r>
      <w:bookmarkEnd w:id="12"/>
    </w:p>
    <w:p>
      <w:r>
        <w:rPr>
          <w:b w:val="0"/>
          <w:i w:val="0"/>
        </w:rPr>
        <w:t>We do not cover any claim, loss or liability arising from your participation in the VET Student Loans program, including any requirement to repay or re-credit loan amounts.</w:t>
      </w:r>
    </w:p>
    <w:p>
      <w:bookmarkStart w:id="13" w:name="c_end_12"/>
      <w:r>
        <w:rPr>
          <w:rFonts w:ascii="Georgia" w:hAnsi="Georgia" w:eastAsia="Georgia"/>
          <w:b/>
          <w:i w:val="0"/>
          <w:color w:val="1C1915"/>
          <w:sz w:val="32"/>
        </w:rPr>
        <w:t>High-Risk Practical Training Exclusion</w:t>
      </w:r>
      <w:bookmarkEnd w:id="13"/>
    </w:p>
    <w:p>
      <w:r>
        <w:rPr>
          <w:b w:val="0"/>
          <w:i w:val="0"/>
        </w:rPr>
        <w:t>We do not cover any claim, loss or liability arising from practical training in high-risk work, including work that requires a high-risk work licence, working at heights, confined spaces, driving, aviation, maritime and firearms training.</w:t>
      </w:r>
    </w:p>
    <w:p>
      <w:bookmarkStart w:id="14" w:name="c_end_13"/>
      <w:r>
        <w:rPr>
          <w:rFonts w:ascii="Georgia" w:hAnsi="Georgia" w:eastAsia="Georgia"/>
          <w:b/>
          <w:i w:val="0"/>
          <w:color w:val="1C1915"/>
          <w:sz w:val="32"/>
        </w:rPr>
        <w:t>Increased Re-assessment Sub-limit</w:t>
      </w:r>
      <w:bookmarkEnd w:id="14"/>
    </w:p>
    <w:p>
      <w:r>
        <w:rPr>
          <w:b w:val="0"/>
          <w:i w:val="0"/>
        </w:rPr>
        <w:t xml:space="preserve">The sub-limit for </w:t>
      </w:r>
      <w:hyperlink w:anchor="c_pi_et_ext_reassessment_costs">
        <w:r>
          <w:rPr>
            <w:color w:val="2E5C4E"/>
            <w:u w:val="single"/>
          </w:rPr>
          <w:t xml:space="preserve">the Re-assessment and Re-issue Costs extension</w:t>
        </w:r>
      </w:hyperlink>
      <w:r>
        <w:rPr>
          <w:b w:val="0"/>
          <w:i w:val="0"/>
        </w:rPr>
        <w:t xml:space="preserve"> is increased to the amount shown in the schedule for this endorsement.</w:t>
      </w:r>
    </w:p>
    <w:p>
      <w:r>
        <w:rPr>
          <w:b w:val="0"/>
          <w:i/>
          <w:sz w:val="18"/>
        </w:rPr>
        <w:t>Cuttleflow Systems — Open Source Insurance Wording</w:t>
      </w:r>
    </w:p>
    <w:p>
      <w:r>
        <w:rPr>
          <w:rFonts w:ascii="Consolas" w:hAnsi="Consolas" w:eastAsia="Consolas"/>
          <w:b w:val="0"/>
          <w:i w:val="0"/>
          <w:sz w:val="16"/>
        </w:rPr>
        <w:t>2026/PI/0010 · v1.0.0-DRAFT · October 2026 · © 2026 Cuttleflow Pty Ltd trading as Cuttleflow Systems</w:t>
      </w:r>
    </w:p>
    <w:p>
      <w:r>
        <w:rPr>
          <w:b w:val="0"/>
          <w:i/>
          <w:sz w:val="18"/>
        </w:rPr>
        <w:t>This document is a draft subject to legal review. It must not be issued, quoted from, or bound until Wording Partner sign-off.</w:t>
      </w:r>
    </w:p>
    <w:sectPr w:rsidR="00FC693F" w:rsidRPr="0006063C" w:rsidSect="00034616">
      <w:headerReference w:type="default" r:id="rId9"/>
      <w:footerReference w:type="default" r:id="rId10"/>
      <w:pgSz w:w="12240" w:h="15840"/>
      <w:pgMar w:top="1134" w:right="1247" w:bottom="1134"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onsolas" w:hAnsi="Consolas" w:eastAsia="Consolas"/>
        <w:b w:val="0"/>
        <w:i w:val="0"/>
        <w:sz w:val="16"/>
      </w:rPr>
      <w:t>33°53′S · 151°16′E · Sydney     2026/PI/0010 · CUTTLEFLOW PTY LTD T/A CUTTLEFLOW SYSTEMS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onsolas" w:hAnsi="Consolas" w:eastAsia="Consolas"/>
        <w:b w:val="0"/>
        <w:i w:val="0"/>
        <w:color w:val="2E5C4E"/>
        <w:sz w:val="16"/>
      </w:rPr>
      <w:t>DRAFT — NOT FOR USE · EDUCATION AND TRAINING PROFESSIONAL INDEMNITY INSURANCE — ENDORSEMENT · V1.0.0-DRAFT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C191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 and Training Professional Indemnity Insurance — Endorsement</dc:title>
  <dc:subject/>
  <dc:creator>Cuttleflow Pty Ltd trading as Cuttleflow Systems</dc:creator>
  <cp:keywords/>
  <dc:description>generated by python-docx</dc:description>
  <cp:lastModifiedBy/>
  <cp:revision>1</cp:revision>
  <dcterms:created xsi:type="dcterms:W3CDTF">2013-12-23T23:15:00Z</dcterms:created>
  <dcterms:modified xsi:type="dcterms:W3CDTF">2013-12-23T23:15:00Z</dcterms:modified>
  <cp:category/>
</cp:coreProperties>
</file>