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850027" wp14:paraId="166FC6EA" wp14:textId="63BD1B92">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HR wants to understand why people are leaving. I was asked to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look into</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I merged two data sets and worked with fields such as Age, Attrition, Department, Education, Gender,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high_income</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JobRole</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JobSatisfaction</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MaritalStatus</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MonthlyIncome</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NumCompaniesWorked</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PerformanceRating</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StockOptionLevel</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tenured,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TotalWorkingYears</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TrainingTimesLastYear</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YearsAtCompany</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YearsInCurrentRole</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YearsWithCurrManager</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After loading the </w:t>
      </w:r>
      <w:r w:rsidRPr="32850027" w:rsidR="2B82F8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confirmed a clean merge on the shared key. The merged set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one thousand four hundred seventy rows and about thirty columns, which matches the lab. Columns are well </w:t>
      </w:r>
      <w:r w:rsidRPr="32850027" w:rsidR="3A80CE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formed,</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 did not see missing values that would block analysis. The target class is smaller than the </w:t>
      </w:r>
      <w:r w:rsidRPr="32850027" w:rsidR="7E8505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non-target</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class, so I judged models with precision and recall in mind, not accuracy alone.</w:t>
      </w:r>
    </w:p>
    <w:p xmlns:wp14="http://schemas.microsoft.com/office/word/2010/wordml" w:rsidP="32850027" wp14:paraId="1E0798F9" wp14:textId="3FF1B91F">
      <w:pPr>
        <w:spacing w:line="480" w:lineRule="auto"/>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44E0B6DC">
        <w:drawing>
          <wp:inline xmlns:wp14="http://schemas.microsoft.com/office/word/2010/wordprocessingDrawing" wp14:editId="63D457BF" wp14:anchorId="6B7BBD20">
            <wp:extent cx="5943600" cy="3371850"/>
            <wp:effectExtent l="0" t="0" r="0" b="0"/>
            <wp:docPr id="356083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083337" name=""/>
                    <pic:cNvPicPr/>
                  </pic:nvPicPr>
                  <pic:blipFill>
                    <a:blip xmlns:r="http://schemas.openxmlformats.org/officeDocument/2006/relationships" r:embed="rId2071292847">
                      <a:extLst>
                        <a:ext xmlns:a="http://schemas.openxmlformats.org/drawingml/2006/main"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xmlns:wp14="http://schemas.microsoft.com/office/word/2010/wordml" w:rsidP="32850027" wp14:paraId="305D58A9" wp14:textId="00518D12">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 first, I looked at the total working years. The baseline patterns show that attrition peaks in the first few years of a career and then again around the twenty-year mark. That late peak may reflect retirement depending on when someone started. I also looked at the time with the company and saw the same shape. The models reflected this pattern as well. Predictions were highest in the first few years and again near the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twenty-year</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mark, and lower through the long middle.</w:t>
      </w:r>
    </w:p>
    <w:p xmlns:wp14="http://schemas.microsoft.com/office/word/2010/wordml" w:rsidP="32850027" wp14:paraId="225855E2" wp14:textId="06FB077B">
      <w:pPr>
        <w:spacing w:line="480" w:lineRule="auto"/>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44E0B6DC">
        <w:drawing>
          <wp:inline xmlns:wp14="http://schemas.microsoft.com/office/word/2010/wordprocessingDrawing" wp14:editId="01A4957C" wp14:anchorId="44953E08">
            <wp:extent cx="5486400" cy="3171825"/>
            <wp:effectExtent l="0" t="0" r="0" b="0"/>
            <wp:docPr id="817289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7289096" name=""/>
                    <pic:cNvPicPr/>
                  </pic:nvPicPr>
                  <pic:blipFill>
                    <a:blip xmlns:r="http://schemas.openxmlformats.org/officeDocument/2006/relationships" r:embed="rId44585583">
                      <a:extLst>
                        <a:ext xmlns:a="http://schemas.openxmlformats.org/drawingml/2006/main" uri="{28A0092B-C50C-407E-A947-70E740481C1C}">
                          <a14:useLocalDpi xmlns:a14="http://schemas.microsoft.com/office/drawing/2010/main" val="0"/>
                        </a:ext>
                      </a:extLst>
                    </a:blip>
                    <a:stretch>
                      <a:fillRect/>
                    </a:stretch>
                  </pic:blipFill>
                  <pic:spPr>
                    <a:xfrm>
                      <a:off x="0" y="0"/>
                      <a:ext cx="5486400" cy="3171825"/>
                    </a:xfrm>
                    <a:prstGeom prst="rect">
                      <a:avLst/>
                    </a:prstGeom>
                  </pic:spPr>
                </pic:pic>
              </a:graphicData>
            </a:graphic>
          </wp:inline>
        </w:drawing>
      </w:r>
    </w:p>
    <w:p xmlns:wp14="http://schemas.microsoft.com/office/word/2010/wordml" w:rsidP="32850027" wp14:paraId="636778C0" wp14:textId="78D0A03C">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Next, I looked at how people rated their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job</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odd pattern was that employees who chose three on the satisfaction scale were more likely to leave than other groups. The models picked up that same signal. The fours and ones sat closer together. One reading of this is that fours are doing well and may be attractive to other employers, while ones leave because they are unhappy. The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three</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 harder to read. They may be disengaged but not flagging it as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one</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or they may be sitting in the middle with unclear growth, which can lead to quiet searching and exits.</w:t>
      </w:r>
    </w:p>
    <w:p xmlns:wp14="http://schemas.microsoft.com/office/word/2010/wordml" w:rsidP="32850027" wp14:paraId="2E763B79" wp14:textId="210A4A9A">
      <w:pPr>
        <w:spacing w:line="480" w:lineRule="auto"/>
        <w:ind w:firstLine="0"/>
        <w:rPr>
          <w:rFonts w:ascii="Aptos" w:hAnsi="Aptos" w:eastAsia="Aptos" w:cs="Aptos"/>
          <w:b w:val="0"/>
          <w:bCs w:val="0"/>
          <w:i w:val="0"/>
          <w:iCs w:val="0"/>
          <w:caps w:val="0"/>
          <w:smallCaps w:val="0"/>
          <w:noProof w:val="0"/>
          <w:color w:val="000000" w:themeColor="text1" w:themeTint="FF" w:themeShade="FF"/>
          <w:sz w:val="24"/>
          <w:szCs w:val="24"/>
          <w:lang w:val="en-US"/>
        </w:rPr>
      </w:pPr>
      <w:r w:rsidR="44E0B6DC">
        <w:drawing>
          <wp:inline xmlns:wp14="http://schemas.microsoft.com/office/word/2010/wordprocessingDrawing" wp14:editId="30451F23" wp14:anchorId="6DD33D91">
            <wp:extent cx="5486400" cy="3286125"/>
            <wp:effectExtent l="0" t="0" r="0" b="0"/>
            <wp:docPr id="1229427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427457" name=""/>
                    <pic:cNvPicPr/>
                  </pic:nvPicPr>
                  <pic:blipFill>
                    <a:blip xmlns:r="http://schemas.openxmlformats.org/officeDocument/2006/relationships" r:embed="rId1785726204">
                      <a:extLst>
                        <a:ext xmlns:a="http://schemas.openxmlformats.org/drawingml/2006/main" uri="{28A0092B-C50C-407E-A947-70E740481C1C}">
                          <a14:useLocalDpi xmlns:a14="http://schemas.microsoft.com/office/drawing/2010/main" val="0"/>
                        </a:ext>
                      </a:extLst>
                    </a:blip>
                    <a:stretch>
                      <a:fillRect/>
                    </a:stretch>
                  </pic:blipFill>
                  <pic:spPr>
                    <a:xfrm>
                      <a:off x="0" y="0"/>
                      <a:ext cx="5486400" cy="3286125"/>
                    </a:xfrm>
                    <a:prstGeom prst="rect">
                      <a:avLst/>
                    </a:prstGeom>
                  </pic:spPr>
                </pic:pic>
              </a:graphicData>
            </a:graphic>
          </wp:inline>
        </w:drawing>
      </w:r>
    </w:p>
    <w:p xmlns:wp14="http://schemas.microsoft.com/office/word/2010/wordml" w:rsidP="32850027" wp14:paraId="0FD4B45E" wp14:textId="7C17450E">
      <w:pPr>
        <w:spacing w:line="480" w:lineRule="auto"/>
        <w:ind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applied two predictive models from Module Five to show variation in results. Random Forest and AdaBoost both handle mixed feature types and require very little manual scaling. I used a seventy and thirty split for training and testing with a fixed seed for repeat work. Random Forest used a small grid over depth and the number of trees with class weight set to balanced. AdaBoost used a small grid over the learning rate and the number of estimators. On the held out test set Random Forest reached accuracy zero point eight five, precision zero point eight zero, and recall zero point five two. AdaBoost reached accuracy zero point eight four, precision zero point seven eight, and recall zero point five zero. The two models are close, with Random Forest slightly stronger on precision and accuracy. Recall is about one half for both models, which is normal for an imbalanced target without heavy tuning. If leaders want to catch more at risk employees we can lower the decision threshold to raise recall, or we can add more signal tied to schedule stability, manager changes, commute, and overtime.</w:t>
      </w:r>
      <w:r w:rsidR="44E0B6DC">
        <w:drawing>
          <wp:inline xmlns:wp14="http://schemas.microsoft.com/office/word/2010/wordprocessingDrawing" wp14:editId="7892E7DE" wp14:anchorId="14C9C44D">
            <wp:extent cx="5486400" cy="2743200"/>
            <wp:effectExtent l="0" t="0" r="0" b="0"/>
            <wp:docPr id="91812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812223" name=""/>
                    <pic:cNvPicPr/>
                  </pic:nvPicPr>
                  <pic:blipFill>
                    <a:blip xmlns:r="http://schemas.openxmlformats.org/officeDocument/2006/relationships" r:embed="rId129337984">
                      <a:extLst>
                        <a:ext xmlns:a="http://schemas.openxmlformats.org/drawingml/2006/main"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xmlns:wp14="http://schemas.microsoft.com/office/word/2010/wordml" w:rsidP="32850027" wp14:paraId="0A37A034" wp14:textId="5A41F2B7">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point of this work is to help HR see why people are leaving and what to do first. The data suggests two main stories. Early career and short tenure are the highest risk, which points to onboarding quality, early growth, and pay clarity. </w:t>
      </w:r>
      <w:r w:rsidRPr="32850027" w:rsidR="18A945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other </w:t>
      </w:r>
      <w:r w:rsidRPr="32850027" w:rsidR="74F7C9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hand</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long service exits often line up with retirement timing. There is also a management story. Turnover is highest in manager roles, and frequent leadership changes create instability under them. When managers churn, teams are more likely to disengage and leave. Regulars learn that leaders will not stay, so they stop investing. New hires assume this is normal and move on.</w:t>
      </w:r>
    </w:p>
    <w:p xmlns:wp14="http://schemas.microsoft.com/office/word/2010/wordml" w:rsidP="32850027" wp14:paraId="670E52BA" wp14:textId="002B5724">
      <w:pPr>
        <w:pStyle w:val="Normal"/>
        <w:spacing w:line="480" w:lineRule="auto"/>
        <w:ind w:firstLine="0"/>
      </w:pPr>
      <w:r w:rsidR="70D0B274">
        <w:drawing>
          <wp:inline xmlns:wp14="http://schemas.microsoft.com/office/word/2010/wordprocessingDrawing" wp14:editId="1ECEDF24" wp14:anchorId="4EB68EC8">
            <wp:extent cx="5943600" cy="3324225"/>
            <wp:effectExtent l="0" t="0" r="0" b="0"/>
            <wp:docPr id="1379561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561078" name=""/>
                    <pic:cNvPicPr/>
                  </pic:nvPicPr>
                  <pic:blipFill>
                    <a:blip xmlns:r="http://schemas.openxmlformats.org/officeDocument/2006/relationships" r:embed="rId710327542">
                      <a:extLst>
                        <a:ext xmlns:a="http://schemas.openxmlformats.org/drawingml/2006/main"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xmlns:wp14="http://schemas.microsoft.com/office/word/2010/wordml" w:rsidP="32850027" wp14:paraId="1F3D6321" wp14:textId="561438E8">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Based on this, the practical focus is clear. For short tenure employees, invest in strong onboarding, early skill plans, and predictable pay steps. For the satisfaction pattern, treat </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threes</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a watch list group and check in on path and growth so they do not </w:t>
      </w:r>
      <w:r w:rsidRPr="32850027" w:rsidR="1E90B7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drift. If tis not a four, </w:t>
      </w:r>
      <w:r w:rsidRPr="32850027" w:rsidR="1E90B7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32850027" w:rsidR="1E90B7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bad.</w:t>
      </w:r>
      <w:r w:rsidRPr="32850027" w:rsidR="44E0B6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manager turnover, stabilize leadership assignments, set longer rotations where possible, and support new managers with coaching so teams feel consistent direction. These steps align with what the models found and give HR a straightforward way to act.</w:t>
      </w:r>
    </w:p>
    <w:p xmlns:wp14="http://schemas.microsoft.com/office/word/2010/wordml" wp14:paraId="2C078E63" wp14:textId="2F96A2F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2894FF"/>
    <w:rsid w:val="0E2894FF"/>
    <w:rsid w:val="14E51B95"/>
    <w:rsid w:val="18A945A1"/>
    <w:rsid w:val="1E90B791"/>
    <w:rsid w:val="2B82F827"/>
    <w:rsid w:val="32850027"/>
    <w:rsid w:val="3A80CE91"/>
    <w:rsid w:val="44E0B6DC"/>
    <w:rsid w:val="4D14C5C8"/>
    <w:rsid w:val="61B6F974"/>
    <w:rsid w:val="70D0B274"/>
    <w:rsid w:val="74F7C9EE"/>
    <w:rsid w:val="7E85056B"/>
    <w:rsid w:val="7F1AE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894FF"/>
  <w15:chartTrackingRefBased/>
  <w15:docId w15:val="{ABE22BC6-971A-4FA9-82B3-03BF16C2A9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71292847" /><Relationship Type="http://schemas.openxmlformats.org/officeDocument/2006/relationships/image" Target="/media/image2.png" Id="rId44585583" /><Relationship Type="http://schemas.openxmlformats.org/officeDocument/2006/relationships/image" Target="/media/image3.png" Id="rId1785726204" /><Relationship Type="http://schemas.openxmlformats.org/officeDocument/2006/relationships/image" Target="/media/image4.png" Id="rId129337984" /><Relationship Type="http://schemas.openxmlformats.org/officeDocument/2006/relationships/image" Target="/media/image5.png" Id="rId7103275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2025-10-16T20:17:27.0636347Z</dcterms:created>
  <dcterms:modified xsi:type="dcterms:W3CDTF">2025-10-16T20:23:09.2304403Z</dcterms:modified>
  <dc:creator>Brugnoli, Christopher</dc:creator>
  <lastModifiedBy>Brugnoli, Christopher</lastModifiedBy>
</coreProperties>
</file>