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pStyle w:val="000002"/>
        <w:keepNext w:val="1"/>
        <w:keepLines w:val="1"/>
        <w:pBdr>
          <w:bottom w:val="single" w:color="0d47a1" w:sz="12" w:space="4"/>
        </w:pBdr>
        <w:spacing w:before="330" w:beforeAutospacing="1" w:after="330" w:afterAutospacing="1" w:line="408"/>
        <w:ind w:left="330" w:right="33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6"/>
        </w:rPr>
        <w:t>门诊后随访现状流程图与分析报告</w:t>
      </w:r>
    </w:p>
    <w:p w14:paraId="51492BA1">
      <w:pPr>
        <w:spacing w:before="90" w:after="90" w:line="408"/>
        <w:ind w:left="90" w:right="90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4"/>
        </w:rPr>
        <w:t>数据来源：discovery-report.md（36 条事实条目，覆盖率 35/36）。</w:t>
      </w:r>
    </w:p>
    <w:p w14:paraId="09DF320A">
      <w:pPr>
        <w:spacing w:before="90" w:after="90" w:line="408"/>
        <w:ind w:left="90" w:right="90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4"/>
        </w:rPr>
        <w:t>说明：除已确认数字外，所有工时 / 缺口 / 成本均为基于已确认数字的推算值，非实测基线；报告本身仅含患者服务经理一人的直接访谈，护士、医生、信息、隐私四类角色仅有事实条目、无直接访谈。对外承诺前须补访谈核实（见第五章）。</w:t>
      </w:r>
    </w:p>
    <w:p w14:paraId="29EDE35B">
      <w:pPr>
        <w:pStyle w:val="000002"/>
        <w:keepNext w:val="1"/>
        <w:keepLines w:val="1"/>
        <w:pBdr>
          <w:bottom w:val="single" w:color="0d47a1" w:sz="12" w:space="4"/>
        </w:pBdr>
        <w:spacing w:before="330" w:beforeAutospacing="1" w:after="330" w:afterAutospacing="1" w:line="408"/>
        <w:ind w:left="330" w:right="33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6"/>
        </w:rPr>
        <w:t>一、随访现状流程图（判断框流程图）</w:t>
      </w:r>
    </w:p>
    <w:p w14:paraId="3C7D803F">
      <w:pPr>
        <w:spacing w:before="90" w:after="90" w:line="408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下图为标准流程图：圆角框为起止、矩形为流程框、菱形为判断框（带「是 / 否」分支）。</w:t>
      </w:r>
    </w:p>
    <w:p w14:paraId="79C9C91E">
      <w:pPr>
        <w:spacing w:line="408"/>
        <w:rPr>
          <w:color w:val="1a1a1a"/>
        </w:rPr>
      </w:pPr>
      <w:r>
        <w:drawing>
          <wp:inline>
            <wp:extent cx="5274310" cy="8099833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A605">
      <w:pPr>
        <w:spacing w:before="60" w:after="90" w:line="408"/>
        <w:ind w:left="90" w:right="9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2"/>
        </w:rPr>
        <w:t>图 1　门诊后随访现状判断框流程图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d47a1" w:sz="24"/>
              <w:bottom w:val="none" w:sz="8"/>
              <w:right w:val="none" w:sz="8"/>
            </w:tcBorders>
            <w:shd w:val="clear" w:fill="f5f7fa"/>
            <w:vAlign w:val="center"/>
          </w:tcPr>
          <w:p w14:paraId="330079C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图例：</w:t>
            </w:r>
            <w:r>
              <w:rPr>
                <w:rFonts w:hint="eastAsia" w:ascii="SimSun" w:hAnsi="SimSun" w:eastAsia="SimSun" w:cs="SimSun"/>
                <w:b w:val="1"/>
                <w:color w:val="1565c0"/>
                <w:sz w:val="22"/>
              </w:rPr>
              <w:t>蓝＝人工审核关卡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；</w:t>
            </w:r>
            <w:r>
              <w:rPr>
                <w:rFonts w:hint="eastAsia" w:ascii="SimSun" w:hAnsi="SimSun" w:eastAsia="SimSun" w:cs="SimSun"/>
                <w:b w:val="1"/>
                <w:color w:val="c62828"/>
                <w:sz w:val="22"/>
              </w:rPr>
              <w:t>红＝数据隐私落点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；</w:t>
            </w:r>
            <w:r>
              <w:rPr>
                <w:rFonts w:hint="eastAsia" w:ascii="SimSun" w:hAnsi="SimSun" w:eastAsia="SimSun" w:cs="SimSun"/>
                <w:b w:val="1"/>
                <w:color w:val="ef6c00"/>
                <w:sz w:val="22"/>
              </w:rPr>
              <w:t>橙＝流程断点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；</w:t>
            </w:r>
            <w:r>
              <w:rPr>
                <w:rFonts w:hint="eastAsia" w:ascii="SimSun" w:hAnsi="SimSun" w:eastAsia="SimSun" w:cs="SimSun"/>
                <w:b w:val="1"/>
                <w:color w:val="f9a825"/>
                <w:sz w:val="22"/>
              </w:rPr>
              <w:t>琥珀＝判断框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。 </w:t>
            </w:r>
          </w:p>
        </w:tc>
      </w:tr>
    </w:tbl>
    <w:p w14:paraId="1792F12B">
      <w:pPr>
        <w:spacing w:before="90" w:after="90" w:line="408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流程中的 5 个判断框：</w:t>
      </w:r>
    </w:p>
    <w:p w14:paraId="28006A1F">
      <w:pPr>
        <w:numPr>
          <w:ilvl w:val="0"/>
          <w:numId w:val="1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联系人 / 授权有效？</w:t>
      </w:r>
      <w:r>
        <w:rPr>
          <w:rFonts w:hint="eastAsia" w:ascii="SimSun" w:hAnsi="SimSun" w:eastAsia="SimSun" w:cs="SimSun"/>
          <w:color w:val="1a1a1a"/>
          <w:sz w:val="24"/>
        </w:rPr>
        <w:t xml:space="preserve"> —— 否 → 人工核对补录</w:t>
      </w:r>
    </w:p>
    <w:p w14:paraId="516551B0">
      <w:pPr>
        <w:numPr>
          <w:ilvl w:val="0"/>
          <w:numId w:val="1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接通并完成问卷？</w:t>
      </w:r>
      <w:r>
        <w:rPr>
          <w:rFonts w:hint="eastAsia" w:ascii="SimSun" w:hAnsi="SimSun" w:eastAsia="SimSun" w:cs="SimSun"/>
          <w:color w:val="1a1a1a"/>
          <w:sz w:val="24"/>
        </w:rPr>
        <w:t xml:space="preserve"> —— 否 → 三次未接·标记未触达（断点）</w:t>
      </w:r>
    </w:p>
    <w:p w14:paraId="5CF29FE2">
      <w:pPr>
        <w:numPr>
          <w:ilvl w:val="0"/>
          <w:numId w:val="1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出现红旗症状？</w:t>
      </w:r>
      <w:r>
        <w:rPr>
          <w:rFonts w:hint="eastAsia" w:ascii="SimSun" w:hAnsi="SimSun" w:eastAsia="SimSun" w:cs="SimSun"/>
          <w:color w:val="1a1a1a"/>
          <w:sz w:val="24"/>
        </w:rPr>
        <w:t xml:space="preserve"> —— 是 → 立即停问卷·升级专科（人工）</w:t>
      </w:r>
    </w:p>
    <w:p w14:paraId="75CECD07">
      <w:pPr>
        <w:numPr>
          <w:ilvl w:val="0"/>
          <w:numId w:val="1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需专科处置？</w:t>
      </w:r>
      <w:r>
        <w:rPr>
          <w:rFonts w:hint="eastAsia" w:ascii="SimSun" w:hAnsi="SimSun" w:eastAsia="SimSun" w:cs="SimSun"/>
          <w:color w:val="1a1a1a"/>
          <w:sz w:val="24"/>
        </w:rPr>
        <w:t xml:space="preserve"> —— 是 → 专科确认与处置</w:t>
      </w:r>
    </w:p>
    <w:p w14:paraId="1C95EAB1">
      <w:pPr>
        <w:numPr>
          <w:ilvl w:val="0"/>
          <w:numId w:val="1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反馈关联完整？</w:t>
      </w:r>
      <w:r>
        <w:rPr>
          <w:rFonts w:hint="eastAsia" w:ascii="SimSun" w:hAnsi="SimSun" w:eastAsia="SimSun" w:cs="SimSun"/>
          <w:color w:val="1a1a1a"/>
          <w:sz w:val="24"/>
        </w:rPr>
        <w:t xml:space="preserve"> —— 否 → 系统补录（关联合规，禁止群聊）</w:t>
      </w:r>
    </w:p>
    <w:p w14:paraId="6315B74F">
      <w:pPr>
        <w:spacing w:before="90" w:after="90" w:line="408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可见：所有「红 / 蓝」节点（授权核查、红旗升级、专科处置、记录覆盖前确认、90 天归档）即 AI 不可越线的人工关卡；「名单导出」与「群聊补录」两个红框是隐私最大暴露面。</w:t>
      </w:r>
    </w:p>
    <w:p w14:paraId="2F923EC4">
      <w:pPr>
        <w:pStyle w:val="000002"/>
        <w:keepNext w:val="1"/>
        <w:keepLines w:val="1"/>
        <w:pBdr>
          <w:bottom w:val="single" w:color="0d47a1" w:sz="12" w:space="4"/>
        </w:pBdr>
        <w:spacing w:before="330" w:beforeAutospacing="1" w:after="330" w:afterAutospacing="1" w:line="408"/>
        <w:ind w:left="330" w:right="33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6"/>
        </w:rPr>
        <w:t>二、哪些环节费钱费时</w:t>
      </w:r>
    </w:p>
    <w:p w14:paraId="0A49196E">
      <w:pPr>
        <w:spacing w:before="90" w:after="90" w:line="408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按「已确认的事实」排序，越靠前越确定：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3f2fd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927AAF">
            <w:pPr>
              <w:jc w:val="left"/>
              <w:rPr>
                <w:b w:val="1"/>
                <w:bCs w:val="1"/>
                <w:color w:val="0d47a1"/>
              </w:rPr>
            </w:pPr>
            <w:r>
              <w:rPr>
                <w:rFonts w:hint="eastAsia" w:ascii="SimSun" w:hAnsi="SimSun" w:eastAsia="SimSun" w:cs="SimSun"/>
                <w:b w:val="1"/>
                <w:color w:val="0d47a1"/>
                <w:sz w:val="22"/>
              </w:rPr>
              <w:t>环节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3f2fd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25EAF2">
            <w:pPr>
              <w:jc w:val="left"/>
              <w:rPr>
                <w:b w:val="1"/>
                <w:bCs w:val="1"/>
                <w:color w:val="0d47a1"/>
              </w:rPr>
            </w:pPr>
            <w:r>
              <w:rPr>
                <w:rFonts w:hint="eastAsia" w:ascii="SimSun" w:hAnsi="SimSun" w:eastAsia="SimSun" w:cs="SimSun"/>
                <w:b w:val="1"/>
                <w:color w:val="0d47a1"/>
                <w:sz w:val="22"/>
              </w:rPr>
              <w:t>量化依据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3f2fd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790888">
            <w:pPr>
              <w:jc w:val="left"/>
              <w:rPr>
                <w:b w:val="1"/>
                <w:bCs w:val="1"/>
                <w:color w:val="0d47a1"/>
              </w:rPr>
            </w:pPr>
            <w:r>
              <w:rPr>
                <w:rFonts w:hint="eastAsia" w:ascii="SimSun" w:hAnsi="SimSun" w:eastAsia="SimSun" w:cs="SimSun"/>
                <w:b w:val="1"/>
                <w:color w:val="0d47a1"/>
                <w:sz w:val="22"/>
              </w:rPr>
              <w:t>性质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EE8B0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① 逐个拨号触达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B915C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号码失效、患者在上班、方言不通，三次未接即搁置 [f10]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00771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最大时间黑洞，且 39% 的人（约 468 人/月）根本没被触达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646E8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② 重复填写记录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004A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12 分钟里 4 分钟跨系统重复填，占 33% [f12]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2CDB4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约 49 工时/月纯浪费，零产出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7646A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③ 导出名单+手工分组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E4CEA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每月 1200 人全人工分批，无统一访谈 ID 靠住院号+出院时间辨认 [f01][f30]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E53F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排程成本，直接压住完成率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5B1ED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④ 群聊→系统双录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B9FC0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异常原因先落群聊/个人表，再回系统补一次 [f14]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F61B7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隐性成本，从未计入工时统计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FFB3E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⑤ 转交专科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4AE9D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发消息≠责任转移，缺业务编号与版本，导致返工 [f23]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9391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返工成本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00C6A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⑥ 接口/培训/复核/维护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1FAE2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18 万预算需扣除这四项，既有系统采购不计入节省额 [f03]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5925C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一次性投入，且复核是持续性支出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80FCF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⑦ 完成率口径不统一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FDE01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发送量常被当成完成量，各部门口径不同 [f51][f53]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EF213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管理与扯皮成本，无法定价</w:t>
            </w:r>
          </w:p>
        </w:tc>
      </w:tr>
    </w:tbl>
    <w:p w14:paraId="7B643923">
      <w:pPr>
        <w:spacing w:before="90" w:after="90" w:line="408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关键一笔账：</w:t>
      </w:r>
      <w:r>
        <w:rPr>
          <w:rFonts w:hint="eastAsia" w:ascii="SimSun" w:hAnsi="SimSun" w:eastAsia="SimSun" w:cs="SimSun"/>
          <w:color w:val="1a1a1a"/>
          <w:sz w:val="24"/>
        </w:rPr>
        <w:t>达标 85% 不一定要加人。若沿用现状方式硬撑，护士工时要从约 146 涨到 204 工时/月（+40%）；若先把那 4 分钟重复填写去掉，达标后总工时是 136——比现状还低约 10 工时。这正是报告把「排程与记录辅助」定为 P0 切入点的原因。</w:t>
      </w:r>
    </w:p>
    <w:p w14:paraId="00A4EC91">
      <w:pPr>
        <w:pStyle w:val="000002"/>
        <w:keepNext w:val="1"/>
        <w:keepLines w:val="1"/>
        <w:pBdr>
          <w:bottom w:val="single" w:color="0d47a1" w:sz="12" w:space="4"/>
        </w:pBdr>
        <w:spacing w:before="330" w:beforeAutospacing="1" w:after="330" w:afterAutospacing="1" w:line="408"/>
        <w:ind w:left="330" w:right="33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6"/>
        </w:rPr>
        <w:t>三、哪些环节必须人工审核</w:t>
      </w:r>
    </w:p>
    <w:p w14:paraId="6FD9CE9F">
      <w:pPr>
        <w:spacing w:before="90" w:after="90" w:line="408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分两类，性质完全不同：</w:t>
      </w:r>
    </w:p>
    <w:p w14:paraId="657FF825">
      <w:pPr>
        <w:pStyle w:val="000006"/>
        <w:keepNext w:val="1"/>
        <w:keepLines w:val="1"/>
        <w:spacing w:before="270" w:beforeAutospacing="1" w:after="270" w:afterAutospacing="1" w:line="408"/>
        <w:ind w:left="270" w:right="270"/>
        <w:outlineLvl w:val="1"/>
        <w:rPr>
          <w:color w:val="1565c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565c0"/>
          <w:sz w:val="28"/>
        </w:rPr>
        <w:t>硬关卡（AI 越线即不可逆，不能自动化）</w:t>
      </w:r>
    </w:p>
    <w:p w14:paraId="6800A0A9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问卷模板发布与变更：骨科专科逐条签核，记版本与生效日期 [f21]</w:t>
      </w:r>
    </w:p>
    <w:p w14:paraId="7D58C228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红旗症状：立即停问卷、转具名接手人、记录触发原因与人工确认时间 [f11][f44]</w:t>
      </w:r>
    </w:p>
    <w:p w14:paraId="5600EE29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AI 输出复核：只能整理患者陈述，诊断、调药、代签一律禁止 [f22][f52]</w:t>
      </w:r>
    </w:p>
    <w:p w14:paraId="307661F3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覆盖原记录前：每条辅助结果须显示原记录，未经专科确认不得覆盖 [f15]</w:t>
      </w:r>
    </w:p>
    <w:p w14:paraId="2EEE6351">
      <w:pPr>
        <w:pStyle w:val="000006"/>
        <w:keepNext w:val="1"/>
        <w:keepLines w:val="1"/>
        <w:spacing w:before="270" w:beforeAutospacing="1" w:after="270" w:afterAutospacing="1" w:line="408"/>
        <w:ind w:left="270" w:right="270"/>
        <w:outlineLvl w:val="1"/>
        <w:rPr>
          <w:color w:val="1565c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565c0"/>
          <w:sz w:val="28"/>
        </w:rPr>
        <w:t>兜底关卡（异常时才触发，但要预置责任人）</w:t>
      </w:r>
    </w:p>
    <w:p w14:paraId="327B489D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联系人身份不明 / 患者撤回授权 → 先由专科医生核对 [f15]</w:t>
      </w:r>
    </w:p>
    <w:p w14:paraId="7B7548AC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关键字段缺失 → 进人工修复队列，不允许猜测值补齐 [f33]</w:t>
      </w:r>
    </w:p>
    <w:p w14:paraId="78E42058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异常分派须写明处理人、截止时间、退回原因，超时交护理部 [f25]</w:t>
      </w:r>
    </w:p>
    <w:p w14:paraId="28DB1AF1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交接确认：接手人明确确认后本岗待办才结束 [f23]</w:t>
      </w:r>
    </w:p>
    <w:p w14:paraId="34C8BDD8">
      <w:pPr>
        <w:numPr>
          <w:ilvl w:val="0"/>
          <w:numId w:val="2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90 天到期删除或归档：由隐私与质控专员确认 [f43]，傅景对风险条款有否决权 [f04]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9a825" w:sz="24"/>
              <w:bottom w:val="none" w:sz="8"/>
              <w:right w:val="none" w:sz="8"/>
            </w:tcBorders>
            <w:shd w:val="clear" w:fill="fff8e1"/>
            <w:vAlign w:val="center"/>
          </w:tcPr>
          <w:p w14:paraId="46B63DB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注意：红旗升级是整套流程里唯一不可逆的环节，而它的接手人、时限、记录字段目前都还没结构化 [f44]——这是必须先补的口子。</w:t>
            </w:r>
          </w:p>
        </w:tc>
      </w:tr>
    </w:tbl>
    <w:p w14:paraId="2C078274">
      <w:pPr>
        <w:pStyle w:val="000002"/>
        <w:keepNext w:val="1"/>
        <w:keepLines w:val="1"/>
        <w:pBdr>
          <w:bottom w:val="single" w:color="0d47a1" w:sz="12" w:space="4"/>
        </w:pBdr>
        <w:spacing w:before="330" w:beforeAutospacing="1" w:after="330" w:afterAutospacing="1" w:line="408"/>
        <w:ind w:left="330" w:right="33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6"/>
        </w:rPr>
        <w:t>四、数据隐私位置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3f2fd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243CB6">
            <w:pPr>
              <w:jc w:val="left"/>
              <w:rPr>
                <w:b w:val="1"/>
                <w:bCs w:val="1"/>
                <w:color w:val="0d47a1"/>
              </w:rPr>
            </w:pPr>
            <w:r>
              <w:rPr>
                <w:rFonts w:hint="eastAsia" w:ascii="SimSun" w:hAnsi="SimSun" w:eastAsia="SimSun" w:cs="SimSun"/>
                <w:b w:val="1"/>
                <w:color w:val="0d47a1"/>
                <w:sz w:val="22"/>
              </w:rPr>
              <w:t>落点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3f2fd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575AC7">
            <w:pPr>
              <w:jc w:val="left"/>
              <w:rPr>
                <w:b w:val="1"/>
                <w:bCs w:val="1"/>
                <w:color w:val="0d47a1"/>
              </w:rPr>
            </w:pPr>
            <w:r>
              <w:rPr>
                <w:rFonts w:hint="eastAsia" w:ascii="SimSun" w:hAnsi="SimSun" w:eastAsia="SimSun" w:cs="SimSun"/>
                <w:b w:val="1"/>
                <w:color w:val="0d47a1"/>
                <w:sz w:val="22"/>
              </w:rPr>
              <w:t>风险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754BE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名单导出到本地表格 [f01]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5A5A1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患者身份、术式、出院时间脱库，暴露面最大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A52E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家属号码 + 授权状态 [f31][f33]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7DE8F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家属 ≠ 已授权联系人，授权必须是独立字段，且是随访发起的前置校验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12CE2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随访录音 [f41]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F2C08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需告知授权；撤回后不得继续用于模型训练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BD63F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群聊与个人表 [f14]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8175C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健康信息流入非受控渠道，审计日志完全覆盖不到，是最大的暗数据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037E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AI 处理位置 [f40][f32]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6E48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院内处理、最小必要、不外发；接口只读，无处方/挂号写权限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F7B94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审核日志与快照 [f45][f34]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fafcf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6B28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记版本、建议内容、修正与签核人；不记口令；过期快照须标「待刷新」，不得伪装当前状态</w:t>
            </w:r>
          </w:p>
        </w:tc>
      </w:tr>
    </w:tbl>
    <w:p w14:paraId="5A80AA15">
      <w:pPr>
        <w:pStyle w:val="000002"/>
        <w:keepNext w:val="1"/>
        <w:keepLines w:val="1"/>
        <w:pBdr>
          <w:bottom w:val="single" w:color="0d47a1" w:sz="12" w:space="4"/>
        </w:pBdr>
        <w:spacing w:before="330" w:beforeAutospacing="1" w:after="330" w:afterAutospacing="1" w:line="408"/>
        <w:ind w:left="330" w:right="33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6"/>
        </w:rPr>
        <w:t>五、判断与建议</w:t>
      </w:r>
    </w:p>
    <w:p w14:paraId="1EE4398D">
      <w:pPr>
        <w:spacing w:before="90" w:after="90" w:line="408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建议切入点：</w:t>
      </w:r>
      <w:r>
        <w:rPr>
          <w:rFonts w:hint="eastAsia" w:ascii="SimSun" w:hAnsi="SimSun" w:eastAsia="SimSun" w:cs="SimSun"/>
          <w:color w:val="1a1a1a"/>
          <w:sz w:val="24"/>
        </w:rPr>
        <w:t>先做「排程 + 记录辅助 + 红旗升级留痕」，历史回放 → 并行试点，不关掉现有人工流程 [f05]。理由是价值直接、可拦截、可回退。</w:t>
      </w:r>
    </w:p>
    <w:p w14:paraId="45CA4700">
      <w:pPr>
        <w:spacing w:before="90" w:after="90" w:line="408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请注意证据强度：</w:t>
      </w:r>
      <w:r>
        <w:rPr>
          <w:rFonts w:hint="eastAsia" w:ascii="SimSun" w:hAnsi="SimSun" w:eastAsia="SimSun" w:cs="SimSun"/>
          <w:color w:val="1a1a1a"/>
          <w:sz w:val="24"/>
        </w:rPr>
        <w:t>35/36 覆盖率不等于验收通过。所有量化（146 工时、468 人缺口、49 工时浪费）均为基于已确认数字的推算，非实测基线。对外承诺前至少先补三件事：</w:t>
      </w:r>
    </w:p>
    <w:p w14:paraId="30DE35C0">
      <w:pPr>
        <w:numPr>
          <w:ilvl w:val="0"/>
          <w:numId w:val="3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顾明岚书面固定「7 天完成率」与「红旗全部升级」的分母、周期、排除规则 [f53]</w:t>
      </w:r>
    </w:p>
    <w:p w14:paraId="60F53376">
      <w:pPr>
        <w:numPr>
          <w:ilvl w:val="0"/>
          <w:numId w:val="3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秦芮给出授权状态字段的权威来源与缺失比例 [f31]</w:t>
      </w:r>
    </w:p>
    <w:p w14:paraId="20C9D127">
      <w:pPr>
        <w:numPr>
          <w:ilvl w:val="0"/>
          <w:numId w:val="3"/>
        </w:numPr>
        <w:spacing w:before="60" w:after="60" w:line="408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实测现状工时与红旗漏报基线——顾明岚三次强调「没拿到基线我不敢定阈值」</w:t>
      </w:r>
    </w:p>
    <w:p w14:paraId="4681ADA6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4" w:uiPriority="9" w:semiHidden="1" w:unhideWhenUsed="1" w:qFormat="1"/>
    <w:lsdException w:name="envelope address" w:semiHidden="1" w:unhideWhenUsed="1"/>
    <w:lsdException w:name="List Number 3" w:semiHidden="1" w:unhideWhenUsed="1"/>
    <w:lsdException w:name="heading 2" w:uiPriority="9" w:semiHidden="1" w:unhideWhenUsed="1" w:qFormat="1"/>
    <w:lsdException w:name="Message Header" w:semiHidden="1" w:unhideWhenUsed="1"/>
    <w:lsdException w:name="heading 1" w:uiPriority="9" w:qFormat="1"/>
    <w:lsdException w:name="heading 6" w:uiPriority="9" w:semiHidden="1" w:unhideWhenUsed="1" w:qFormat="1"/>
    <w:lsdException w:name="header" w:semiHidden="1" w:unhideWhenUsed="1"/>
    <w:lsdException w:name="Body Text Indent" w:semiHidden="1" w:unhideWhenUsed="1"/>
    <w:lsdException w:name="annotation reference" w:semiHidden="1" w:unhideWhenUsed="1"/>
    <w:lsdException w:name="toa heading" w:semiHidden="1" w:unhideWhenUsed="1"/>
    <w:lsdException w:name="List" w:semiHidden="1" w:unhideWhenUsed="1"/>
    <w:lsdException w:name="index 5" w:semiHidden="1" w:unhideWhenUsed="1"/>
    <w:lsdException w:name="Body Text" w:semiHidden="1" w:unhideWhenUsed="1"/>
    <w:lsdException w:name="footnote reference" w:semiHidden="1" w:unhideWhenUsed="1"/>
    <w:lsdException w:name="List Bullet 2" w:semiHidden="1" w:unhideWhenUsed="1"/>
    <w:lsdException w:name="List Bullet 4" w:semiHidden="1" w:unhideWhenUsed="1"/>
    <w:lsdException w:name="Date" w:semiHidden="1" w:unhideWhenUsed="1"/>
    <w:lsdException w:name="List 3" w:semiHidden="1" w:unhideWhenUsed="1"/>
    <w:lsdException w:name="List Bullet" w:semiHidden="1" w:unhideWhenUsed="1"/>
    <w:lsdException w:name="envelope return" w:semiHidden="1" w:unhideWhenUsed="1"/>
    <w:lsdException w:name="Hyperlink" w:semiHidden="1" w:unhideWhenUsed="1"/>
    <w:lsdException w:name="line number" w:semiHidden="1" w:unhideWhenUsed="1"/>
    <w:lsdException w:name="List Number 4" w:semiHidden="1" w:unhideWhenUsed="1"/>
    <w:lsdException w:name="table of authorities" w:semiHidden="1" w:unhideWhenUsed="1"/>
    <w:lsdException w:name="heading 9" w:uiPriority="9" w:semiHidden="1" w:unhideWhenUsed="1" w:qFormat="1"/>
    <w:lsdException w:name="Body Text 2" w:semiHidden="1" w:unhideWhenUsed="1"/>
    <w:lsdException w:name="List Continue 5" w:semiHidden="1" w:unhideWhenUsed="1"/>
    <w:lsdException w:name="index heading" w:semiHidden="1" w:unhideWhenUsed="1"/>
    <w:lsdException w:name="Block Text" w:semiHidden="1" w:unhideWhenUsed="1"/>
    <w:lsdException w:name="index 8" w:semiHidden="1" w:unhideWhenUsed="1"/>
    <w:lsdException w:name="heading 5" w:uiPriority="9" w:semiHidden="1" w:unhideWhenUsed="1" w:qFormat="1"/>
    <w:lsdException w:name="Salutation" w:semiHidden="1" w:unhideWhenUsed="1"/>
    <w:lsdException w:name="table of figures" w:semiHidden="1" w:unhideWhenUsed="1"/>
    <w:lsdException w:name="List 5" w:semiHidden="1" w:unhideWhenUsed="1"/>
    <w:lsdException w:name="List 2" w:semiHidden="1" w:unhideWhenUsed="1"/>
    <w:lsdException w:name="Normal Indent" w:semiHidden="1" w:unhideWhenUsed="1"/>
    <w:lsdException w:name="Closing" w:semiHidden="1" w:unhideWhenUsed="1"/>
    <w:lsdException w:name="List Number" w:semiHidden="1" w:unhideWhenUsed="1"/>
    <w:lsdException w:name="Strong" w:uiPriority="22" w:qFormat="1"/>
    <w:lsdException w:name="List Bullet 3" w:semiHidden="1" w:unhideWhenUsed="1"/>
    <w:lsdException w:name="List Continue" w:semiHidden="1" w:unhideWhenUsed="1"/>
    <w:lsdException w:name="List 4" w:semiHidden="1" w:unhideWhenUsed="1"/>
    <w:lsdException w:name="Subtitle" w:uiPriority="11" w:qFormat="1"/>
    <w:lsdException w:name="Default Paragraph Font" w:uiPriority="1" w:semiHidden="1" w:unhideWhenUsed="1"/>
    <w:lsdException w:name="toc 7" w:uiPriority="39" w:semiHidden="1" w:unhideWhenUsed="1"/>
    <w:lsdException w:name="List Continue 2" w:semiHidden="1" w:unhideWhenUsed="1"/>
    <w:lsdException w:name="List Number 5" w:semiHidden="1" w:unhideWhenUsed="1"/>
    <w:lsdException w:name="macro" w:semiHidden="1" w:unhideWhenUsed="1"/>
    <w:lsdException w:name="List Continue 4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footer" w:semiHidden="1" w:unhideWhenUsed="1"/>
    <w:lsdException w:name="FollowedHyperlink" w:semiHidden="1" w:unhideWhenUsed="1"/>
    <w:lsdException w:name="Body Text First Indent" w:semiHidden="1" w:unhideWhenUsed="1"/>
    <w:lsdException w:name="Body Text Indent 3" w:semiHidden="1" w:unhideWhenUsed="1"/>
    <w:lsdException w:name="List Bullet 5" w:semiHidden="1" w:unhideWhenUsed="1"/>
    <w:lsdException w:name="toc 4" w:uiPriority="39" w:semiHidden="1" w:unhideWhenUsed="1"/>
    <w:lsdException w:name="page number" w:semiHidden="1" w:unhideWhenUsed="1"/>
    <w:lsdException w:name="caption" w:uiPriority="35" w:semiHidden="1" w:unhideWhenUsed="1" w:qFormat="1"/>
    <w:lsdException w:name="toc 2" w:uiPriority="39" w:semiHidden="1" w:unhideWhenUsed="1"/>
    <w:lsdException w:name="index 7" w:semiHidden="1" w:unhideWhenUsed="1"/>
    <w:lsdException w:name="List Continue 3" w:semiHidden="1" w:unhideWhenUsed="1"/>
    <w:lsdException w:name="Note Heading" w:semiHidden="1" w:unhideWhenUsed="1"/>
    <w:lsdException w:name="Body Text First Indent 2" w:semiHidden="1" w:unhideWhenUsed="1"/>
    <w:lsdException w:name="List Number 2" w:semiHidden="1" w:unhideWhenUsed="1"/>
    <w:lsdException w:name="index 6" w:semiHidden="1" w:unhideWhenUsed="1"/>
    <w:lsdException w:name="Body Text Indent 2" w:semiHidden="1" w:unhideWhenUsed="1"/>
    <w:lsdException w:name="heading 7" w:uiPriority="9" w:semiHidden="1" w:unhideWhenUsed="1" w:qFormat="1"/>
    <w:lsdException w:name="endnote text" w:semiHidden="1" w:unhideWhenUsed="1"/>
    <w:lsdException w:name="index 2" w:semiHidden="1" w:unhideWhenUsed="1"/>
    <w:lsdException w:name="index 9" w:semiHidden="1" w:unhideWhenUsed="1"/>
    <w:lsdException w:name="index 4" w:semiHidden="1" w:unhideWhenUsed="1"/>
    <w:lsdException w:name="annotation text" w:semiHidden="1" w:unhideWhenUsed="1"/>
    <w:lsdException w:name="Normal" w:uiPriority="0" w:qFormat="1"/>
    <w:lsdException w:name="footnote text" w:semiHidden="1" w:unhideWhenUsed="1"/>
    <w:lsdException w:name="Signature" w:semiHidden="1" w:unhideWhenUsed="1"/>
    <w:lsdException w:name="toc 9" w:uiPriority="39" w:semiHidden="1" w:unhideWhenUsed="1"/>
    <w:lsdException w:name="Body Text 3" w:semiHidden="1" w:unhideWhenUsed="1"/>
    <w:lsdException w:name="Title" w:uiPriority="10" w:qFormat="1"/>
    <w:lsdException w:name="endnote reference" w:semiHidden="1" w:unhideWhenUsed="1"/>
    <w:lsdException w:name="toc 6" w:uiPriority="39" w:semiHidden="1" w:unhideWhenUsed="1"/>
    <w:lsdException w:name="toc 3" w:uiPriority="39" w:semiHidden="1" w:unhideWhenUsed="1"/>
    <w:lsdException w:name="toc 8" w:uiPriority="39" w:semiHidden="1" w:unhideWhenUsed="1"/>
    <w:lsdException w:name="toc 1" w:uiPriority="39" w:semiHidden="1" w:unhideWhenUsed="1"/>
    <w:lsdException w:name="index 1" w:semiHidden="1" w:unhideWhenUsed="1"/>
    <w:lsdException w:name="toc 5" w:uiPriority="39" w:semiHidden="1" w:unhideWhenUsed="1"/>
    <w:lsdException w:name="index 3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2026-10-23T10:42:31Z</dcterms:created>
  <dcterms:modified xsi:type="dcterms:W3CDTF">2026-10-23T10:42:31Z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"01a166a1f3e47cff88c6919bcbf9a91e", "ReservedCode1": "", "ContentPropagator": "00119111010856365494821B355", "PropagateID": "01a166a1f3e47cff88c6919bcbf9a91e", "ReservedCode2": ""}}</vt:lpwstr>
  </property>
</Properties>
</file>