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7A8006A1">
      <w:pPr>
        <w:pStyle w:val="000002"/>
        <w:keepNext w:val="1"/>
        <w:keepLines w:val="1"/>
        <w:spacing w:before="270" w:beforeAutospacing="1" w:after="270" w:afterAutospacing="1" w:line="408"/>
        <w:ind w:left="270" w:right="270"/>
        <w:jc w:val="center"/>
        <w:outlineLvl w:val="0"/>
        <w:rPr>
          <w:color w:val="1f2329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f2329"/>
          <w:sz w:val="40"/>
        </w:rPr>
        <w:t>门诊后随访 AI 辅助系统 · 行业分析</w:t>
      </w:r>
    </w:p>
    <w:p w14:paraId="4BCF3D07">
      <w:pPr>
        <w:spacing w:after="270" w:line="408"/>
        <w:jc w:val="center"/>
        <w:rPr>
          <w:color w:val="5a6573"/>
        </w:rPr>
      </w:pPr>
      <w:r>
        <w:rPr>
          <w:rFonts w:hint="eastAsia" w:ascii="SimSun" w:hAnsi="SimSun" w:eastAsia="SimSun" w:cs="SimSun"/>
          <w:color w:val="5a6573"/>
          <w:sz w:val="22"/>
        </w:rPr>
        <w:t>清禾综合医院 · 内部立项决策参考 ｜ 编制日期：2026-10-23 ｜ 数据口径：公开资料检索（截至 2026-10）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9d8ff" w:sz="6"/>
              <w:left w:val="single" w:color="c9d8ff" w:sz="6"/>
              <w:bottom w:val="single" w:color="c9d8ff" w:sz="6"/>
              <w:right w:val="single" w:color="c9d8ff" w:sz="6"/>
            </w:tcBorders>
            <w:shd w:val="clear" w:fill="eef3ff"/>
            <w:vAlign w:val="center"/>
          </w:tcPr>
          <w:p w14:paraId="25ECF14D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2f6bff"/>
                <w:sz w:val="24"/>
              </w:rPr>
              <w:t>执行摘要（给决策层的一句话）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1f2329"/>
                <w:sz w:val="24"/>
              </w:rPr>
              <w:t xml:space="preserve"> 院后随访 AI 化已从"可选功能"变为政策与行业的"刚需"：2025 年国家卫健委等五部门明确把智能随访列入"人工智能+医疗卫生"重点应用，2026 年医保首次将 AI 辅助诊疗纳入支付。市场上已有中山火炬（通义千问+企业微信，效率提升 25 倍）、软佳（人力-97.5%、完成率 75%→92%）等可对标案例。对清禾而言，自研/选型的关键不在"能不能做"，而在于</w:t>
            </w:r>
            <w:r>
              <w:rPr>
                <w:rFonts w:hint="eastAsia" w:ascii="SimSun" w:hAnsi="SimSun" w:eastAsia="SimSun" w:cs="SimSun"/>
                <w:b w:val="1"/>
                <w:color w:val="2f6bff"/>
                <w:sz w:val="24"/>
              </w:rPr>
              <w:t>院内私有化合规部署 + 红旗升级等硬关卡护栏 + 以效果（完成率/工时）而非买断计费的商业模式</w:t>
            </w:r>
            <w:r>
              <w:rPr>
                <w:rFonts w:hint="eastAsia" w:ascii="SimSun" w:hAnsi="SimSun" w:eastAsia="SimSun" w:cs="SimSun"/>
                <w:color w:val="1f2329"/>
                <w:sz w:val="24"/>
              </w:rPr>
              <w:t xml:space="preserve">。本报告建议：以骨科试点切入，采用"基础费+效果浮动"模式，试错成本低、回退路径清晰。 </w:t>
            </w:r>
          </w:p>
        </w:tc>
      </w:tr>
    </w:tbl>
    <w:p w14:paraId="2D322F76">
      <w:pPr>
        <w:pStyle w:val="000003"/>
        <w:keepNext w:val="1"/>
        <w:keepLines w:val="1"/>
        <w:pBdr>
          <w:left w:val="single" w:color="2f6bff" w:sz="24" w:space="6"/>
        </w:pBdr>
        <w:spacing w:before="270" w:beforeAutospacing="1" w:after="270" w:afterAutospacing="1" w:line="408"/>
        <w:ind w:left="270" w:right="270"/>
        <w:outlineLvl w:val="1"/>
        <w:rPr>
          <w:color w:val="1f3a8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a8a"/>
          <w:sz w:val="28"/>
        </w:rPr>
        <w:t>一、政策与监管环境</w:t>
      </w:r>
    </w:p>
    <w:p w14:paraId="7C9795AD">
      <w:pPr>
        <w:spacing w:before="90" w:after="90" w:line="408"/>
        <w:ind w:left="90" w:right="90" w:firstLine="480"/>
        <w:rPr>
          <w:color w:val="1f2329"/>
        </w:rPr>
      </w:pPr>
      <w:r>
        <w:rPr>
          <w:rFonts w:hint="eastAsia" w:ascii="SimSun" w:hAnsi="SimSun" w:eastAsia="SimSun" w:cs="SimSun"/>
          <w:color w:val="1f2329"/>
          <w:sz w:val="24"/>
        </w:rPr>
        <w:t>政策对院后随访 AI 化的态度已从"鼓励探索"转向"明确要求"，对清禾立项构成正面支撑：</w:t>
      </w:r>
    </w:p>
    <w:p w14:paraId="3DE4C2DA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《关于促进和规范"人工智能+医疗卫生"应用发展的实施意见》（国卫办规划发〔2025〕30 号，2025-10-20）</w:t>
      </w:r>
      <w:r>
        <w:rPr>
          <w:rFonts w:hint="eastAsia" w:ascii="SimSun" w:hAnsi="SimSun" w:eastAsia="SimSun" w:cs="SimSun"/>
          <w:color w:val="1f2329"/>
          <w:sz w:val="24"/>
        </w:rPr>
        <w:t>：五部门联合印发，将"智能随访""诊前诊中诊后全流程服务"列为重点应用，提出到 2027 年形成专病专科大模型与智能体、到 2030 年二级以上医院普遍开展 AI 应用。明确要求"院内处理、数据安全和个人隐私保护、分级分类监管、大模型备案"。</w:t>
      </w:r>
    </w:p>
    <w:p w14:paraId="20E4CA7A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卫健委对"互联网+诊后管理"提案的答复（2025-07）</w:t>
      </w:r>
      <w:r>
        <w:rPr>
          <w:rFonts w:hint="eastAsia" w:ascii="SimSun" w:hAnsi="SimSun" w:eastAsia="SimSun" w:cs="SimSun"/>
          <w:color w:val="1f2329"/>
          <w:sz w:val="24"/>
        </w:rPr>
        <w:t>：明确"加强诊后管理与随访，建立患者随访档案和随访计划，建设基于患者服务为核心的多途径智能随访平台"，并纳入改善就医感受主题活动（2023-2025）。</w:t>
      </w:r>
    </w:p>
    <w:p w14:paraId="411276CF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五部门"人工智能+医疗卫生"应用推进（2025-11，业内称 273 号文）</w:t>
      </w:r>
      <w:r>
        <w:rPr>
          <w:rFonts w:hint="eastAsia" w:ascii="SimSun" w:hAnsi="SimSun" w:eastAsia="SimSun" w:cs="SimSun"/>
          <w:color w:val="1f2329"/>
          <w:sz w:val="24"/>
        </w:rPr>
        <w:t>：提出"加快推进数智赋能签约服务，推进人工智能技术赋能家庭医生"，AI 辅助随访被定义为"必备工具"。</w:t>
      </w:r>
    </w:p>
    <w:p w14:paraId="2EF290EF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医保支付拐点（2026-05）</w:t>
      </w:r>
      <w:r>
        <w:rPr>
          <w:rFonts w:hint="eastAsia" w:ascii="SimSun" w:hAnsi="SimSun" w:eastAsia="SimSun" w:cs="SimSun"/>
          <w:color w:val="1f2329"/>
          <w:sz w:val="24"/>
        </w:rPr>
        <w:t>：国家医保局将 12 项 AI 辅助诊疗项目纳入全国统一医保乙类目录，70%-85% 由医保支付，首批覆盖 837 家三甲医院——标志 AI 医疗商业化进入支付驱动阶段。</w:t>
      </w:r>
    </w:p>
    <w:p w14:paraId="0E25E545">
      <w:pPr>
        <w:pBdr>
          <w:top w:val="single" w:color="e3e8ef" w:sz="6" w:space="6"/>
        </w:pBdr>
        <w:spacing w:before="270" w:after="90" w:line="408"/>
        <w:ind w:left="90" w:right="90" w:firstLine="480"/>
        <w:rPr>
          <w:color w:val="8a94a6"/>
        </w:rPr>
      </w:pPr>
      <w:r>
        <w:rPr>
          <w:rFonts w:hint="eastAsia" w:ascii="SimSun" w:hAnsi="SimSun" w:eastAsia="SimSun" w:cs="SimSun"/>
          <w:color w:val="8a94a6"/>
          <w:sz w:val="19"/>
        </w:rPr>
        <w:t>对清禾含义：立项有政策背书，但"院内处理、数据不出院、大模型备案、分级监管"是硬约束，选型必须把合规前置。</w:t>
      </w:r>
    </w:p>
    <w:p w14:paraId="7548EACF">
      <w:pPr>
        <w:pStyle w:val="000003"/>
        <w:keepNext w:val="1"/>
        <w:keepLines w:val="1"/>
        <w:pBdr>
          <w:left w:val="single" w:color="2f6bff" w:sz="24" w:space="6"/>
        </w:pBdr>
        <w:spacing w:before="270" w:beforeAutospacing="1" w:after="270" w:afterAutospacing="1" w:line="408"/>
        <w:ind w:left="270" w:right="270"/>
        <w:outlineLvl w:val="1"/>
        <w:rPr>
          <w:color w:val="1f3a8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a8a"/>
          <w:sz w:val="28"/>
        </w:rPr>
        <w:t>二、行业痛点与清禾映射</w:t>
      </w:r>
    </w:p>
    <w:p w14:paraId="677E9814">
      <w:pPr>
        <w:spacing w:before="90" w:after="90" w:line="408"/>
        <w:ind w:left="90" w:right="90" w:firstLine="480"/>
        <w:rPr>
          <w:color w:val="1f2329"/>
        </w:rPr>
      </w:pPr>
      <w:r>
        <w:rPr>
          <w:rFonts w:hint="eastAsia" w:ascii="SimSun" w:hAnsi="SimSun" w:eastAsia="SimSun" w:cs="SimSun"/>
          <w:color w:val="1f2329"/>
          <w:sz w:val="24"/>
        </w:rPr>
        <w:t>全国医院随访的共性痛点与清禾《业务需求发现报告》高度吻合，说明这是行业级问题而非清禾个案：</w:t>
      </w:r>
    </w:p>
    <w:tbl>
      <w:tblPr>
        <w:tblW w:w="8306" w:type="dxa"/>
        <w:shd w:color="1f232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2491"/>
        <w:gridCol w:w="3986"/>
      </w:tblGrid>
      <w:tr>
        <w:trPr>
          <w:tblHeader w:val="1"/>
        </w:trPr>
        <w:tc>
          <w:tcPr>
            <w:tcW w:w="182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4BF9C20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行业共性痛点</w:t>
            </w:r>
          </w:p>
        </w:tc>
        <w:tc>
          <w:tcPr>
            <w:tcW w:w="2491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00D02C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公开案例数据</w:t>
            </w:r>
          </w:p>
        </w:tc>
        <w:tc>
          <w:tcPr>
            <w:tcW w:w="398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B95C48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清禾现状映射</w:t>
            </w:r>
          </w:p>
        </w:tc>
      </w:tr>
      <w:tr>
        <w:trPr/>
        <w:tc>
          <w:tcPr>
            <w:tcW w:w="182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C8EFD7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护士人力不足、效率受限</w:t>
            </w:r>
          </w:p>
        </w:tc>
        <w:tc>
          <w:tcPr>
            <w:tcW w:w="2491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006AE9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中山火炬：20 名护士兼职仅日随访 200 例；广东注册护士每千人口 3.69 人，缺口仍在</w:t>
            </w:r>
          </w:p>
        </w:tc>
        <w:tc>
          <w:tcPr>
            <w:tcW w:w="398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244AF9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月出院 1200 人，单通 12 分钟，护士"电话打不过来"</w:t>
            </w:r>
          </w:p>
        </w:tc>
      </w:tr>
      <w:tr>
        <w:trPr/>
        <w:tc>
          <w:tcPr>
            <w:tcW w:w="182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643923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覆盖率低、大量患者失联</w:t>
            </w:r>
          </w:p>
        </w:tc>
        <w:tc>
          <w:tcPr>
            <w:tcW w:w="2491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162F93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软佳：触达率 60%→85%；传统随访长期游走于 80% 以下</w:t>
            </w:r>
          </w:p>
        </w:tc>
        <w:tc>
          <w:tcPr>
            <w:tcW w:w="398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6DA942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7 天完成率仅 61%，39%（约 468 人/月）未触达</w:t>
            </w:r>
          </w:p>
        </w:tc>
      </w:tr>
      <w:tr>
        <w:trPr/>
        <w:tc>
          <w:tcPr>
            <w:tcW w:w="182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A4CD76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重复填写、数据无结构</w:t>
            </w:r>
          </w:p>
        </w:tc>
        <w:tc>
          <w:tcPr>
            <w:tcW w:w="2491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AB3331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软佳：人工记录标准不一、数据散落纸张</w:t>
            </w:r>
          </w:p>
        </w:tc>
        <w:tc>
          <w:tcPr>
            <w:tcW w:w="398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CE892D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单通 4 分钟为跨系统重复填写（占 33%）</w:t>
            </w:r>
          </w:p>
        </w:tc>
      </w:tr>
      <w:tr>
        <w:trPr/>
        <w:tc>
          <w:tcPr>
            <w:tcW w:w="182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B7BDFB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异常响应慢、暗数据多</w:t>
            </w:r>
          </w:p>
        </w:tc>
        <w:tc>
          <w:tcPr>
            <w:tcW w:w="2491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1DB6B9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行业：异常值靠人工发现，响应以"天"计</w:t>
            </w:r>
          </w:p>
        </w:tc>
        <w:tc>
          <w:tcPr>
            <w:tcW w:w="398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CBB497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异常先落群聊/个人表再补录，审计覆盖不到</w:t>
            </w:r>
          </w:p>
        </w:tc>
      </w:tr>
    </w:tbl>
    <w:p w14:paraId="6058CA48">
      <w:pPr>
        <w:pBdr>
          <w:top w:val="single" w:color="e3e8ef" w:sz="6" w:space="6"/>
        </w:pBdr>
        <w:spacing w:before="270" w:after="90" w:line="408"/>
        <w:ind w:left="90" w:right="90" w:firstLine="480"/>
        <w:rPr>
          <w:color w:val="8a94a6"/>
        </w:rPr>
      </w:pPr>
      <w:r>
        <w:rPr>
          <w:rFonts w:hint="eastAsia" w:ascii="SimSun" w:hAnsi="SimSun" w:eastAsia="SimSun" w:cs="SimSun"/>
          <w:color w:val="8a94a6"/>
          <w:sz w:val="19"/>
        </w:rPr>
        <w:t>清禾的痛点不是孤例，而是行业普遍瓶颈——这意味着解决方案与成效有可对标基准，立项风险相对可控。</w:t>
      </w:r>
    </w:p>
    <w:p w14:paraId="4EF99055">
      <w:pPr>
        <w:pStyle w:val="000003"/>
        <w:keepNext w:val="1"/>
        <w:keepLines w:val="1"/>
        <w:pBdr>
          <w:left w:val="single" w:color="2f6bff" w:sz="24" w:space="6"/>
        </w:pBdr>
        <w:spacing w:before="270" w:beforeAutospacing="1" w:after="270" w:afterAutospacing="1" w:line="408"/>
        <w:ind w:left="270" w:right="270"/>
        <w:outlineLvl w:val="1"/>
        <w:rPr>
          <w:color w:val="1f3a8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a8a"/>
          <w:sz w:val="28"/>
        </w:rPr>
        <w:t>三、市场规模与赛道空间</w:t>
      </w:r>
    </w:p>
    <w:p w14:paraId="612707EA">
      <w:pPr>
        <w:spacing w:before="90" w:after="90" w:line="408"/>
        <w:ind w:left="90" w:right="90" w:firstLine="480"/>
        <w:rPr>
          <w:color w:val="1f2329"/>
        </w:rPr>
      </w:pPr>
      <w:r>
        <w:rPr>
          <w:rFonts w:hint="eastAsia" w:ascii="SimSun" w:hAnsi="SimSun" w:eastAsia="SimSun" w:cs="SimSun"/>
          <w:color w:val="1f2329"/>
          <w:sz w:val="24"/>
        </w:rPr>
        <w:t>从清禾单院视角看，市场规模数字仅作背景，重点在"本院可采购/自研的空间"；但赛道高速增长说明供给成熟、选型议价空间大：</w:t>
      </w:r>
    </w:p>
    <w:tbl>
      <w:tblPr>
        <w:tblW w:w="8306" w:type="dxa"/>
        <w:shd w:color="1f232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2740"/>
        <w:gridCol w:w="2740"/>
      </w:tblGrid>
      <w:tr>
        <w:trPr>
          <w:tblHeader w:val="1"/>
        </w:trPr>
        <w:tc>
          <w:tcPr>
            <w:tcW w:w="2824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0797B4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指标</w:t>
            </w:r>
          </w:p>
        </w:tc>
        <w:tc>
          <w:tcPr>
            <w:tcW w:w="2740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2504C5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数值（公开来源）</w:t>
            </w:r>
          </w:p>
        </w:tc>
        <w:tc>
          <w:tcPr>
            <w:tcW w:w="2740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BD3C4A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对清禾含义</w:t>
            </w:r>
          </w:p>
        </w:tc>
      </w:tr>
      <w:tr>
        <w:trPr/>
        <w:tc>
          <w:tcPr>
            <w:tcW w:w="2824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CB7165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中国 AI+医疗市场（2025）</w:t>
            </w:r>
          </w:p>
        </w:tc>
        <w:tc>
          <w:tcPr>
            <w:tcW w:w="2740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15C3F9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突破 1500 亿元，CAGR 40%-50%</w:t>
            </w:r>
          </w:p>
        </w:tc>
        <w:tc>
          <w:tcPr>
            <w:tcW w:w="2740" w:type="dxa"/>
            <w:vMerge w:val="restart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6F1ADA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赛道高速扩张，供应商充足、技术成熟</w:t>
            </w:r>
          </w:p>
        </w:tc>
      </w:tr>
      <w:tr>
        <w:trPr/>
        <w:tc>
          <w:tcPr>
            <w:tcW w:w="2824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C8BDD8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弗若斯特沙利文预测</w:t>
            </w:r>
          </w:p>
        </w:tc>
        <w:tc>
          <w:tcPr>
            <w:tcW w:w="2740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CA7F8B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2023 年 88 亿 → 2033 年 3157 亿，CAGR 43.1%</w:t>
            </w:r>
          </w:p>
        </w:tc>
        <w:tc>
          <w:tcPr>
            <w:tcW w:w="2740" w:type="dxa"/>
            <w:vMerge w:val="continue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F58AF88">
            <w:pPr>
              <w:rPr>
                <w:color w:val="1f2329"/>
              </w:rPr>
            </w:pPr>
          </w:p>
        </w:tc>
      </w:tr>
      <w:tr>
        <w:trPr/>
        <w:tc>
          <w:tcPr>
            <w:tcW w:w="2824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DC3672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中国医院 AI 解决方案市场</w:t>
            </w:r>
          </w:p>
        </w:tc>
        <w:tc>
          <w:tcPr>
            <w:tcW w:w="2740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E730C4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2025 年 60 亿 → 2026 年 74 亿</w:t>
            </w:r>
          </w:p>
        </w:tc>
        <w:tc>
          <w:tcPr>
            <w:tcW w:w="2740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018029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单院级随访模块属该细分，价格透明</w:t>
            </w:r>
          </w:p>
        </w:tc>
      </w:tr>
      <w:tr>
        <w:trPr/>
        <w:tc>
          <w:tcPr>
            <w:tcW w:w="2824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EC1132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三级医院 AI 辅助诊断渗透率</w:t>
            </w:r>
          </w:p>
        </w:tc>
        <w:tc>
          <w:tcPr>
            <w:tcW w:w="2740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49A93D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&gt;65%；二级医院约 40%</w:t>
            </w:r>
          </w:p>
        </w:tc>
        <w:tc>
          <w:tcPr>
            <w:tcW w:w="2740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9AF776B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清禾若为中高级别医院，属主流采纳阶段</w:t>
            </w:r>
          </w:p>
        </w:tc>
      </w:tr>
    </w:tbl>
    <w:p w14:paraId="2B640A88">
      <w:pPr>
        <w:pBdr>
          <w:top w:val="single" w:color="e3e8ef" w:sz="6" w:space="6"/>
        </w:pBdr>
        <w:spacing w:before="270" w:after="90" w:line="408"/>
        <w:ind w:left="90" w:right="90" w:firstLine="480"/>
        <w:rPr>
          <w:color w:val="8a94a6"/>
        </w:rPr>
      </w:pPr>
      <w:r>
        <w:rPr>
          <w:rFonts w:hint="eastAsia" w:ascii="SimSun" w:hAnsi="SimSun" w:eastAsia="SimSun" w:cs="SimSun"/>
          <w:color w:val="8a94a6"/>
          <w:sz w:val="19"/>
        </w:rPr>
        <w:t>院内可投入区间参考：本试点报价封顶 ¥180,000（见《随访系统报价单》），相对赛道规模属轻量投入，试错成本极低。</w:t>
      </w:r>
    </w:p>
    <w:p w14:paraId="702D331F">
      <w:pPr>
        <w:pStyle w:val="000003"/>
        <w:keepNext w:val="1"/>
        <w:keepLines w:val="1"/>
        <w:pBdr>
          <w:left w:val="single" w:color="2f6bff" w:sz="24" w:space="6"/>
        </w:pBdr>
        <w:spacing w:before="270" w:beforeAutospacing="1" w:after="270" w:afterAutospacing="1" w:line="408"/>
        <w:ind w:left="270" w:right="270"/>
        <w:outlineLvl w:val="1"/>
        <w:rPr>
          <w:color w:val="1f3a8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a8a"/>
          <w:sz w:val="28"/>
        </w:rPr>
        <w:t>四、竞争格局与对标（全覆盖）</w:t>
      </w:r>
    </w:p>
    <w:p w14:paraId="462D55C9">
      <w:pPr>
        <w:spacing w:before="90" w:after="90" w:line="408"/>
        <w:ind w:left="90" w:right="90" w:firstLine="480"/>
        <w:rPr>
          <w:color w:val="1f2329"/>
        </w:rPr>
      </w:pPr>
      <w:r>
        <w:rPr>
          <w:rFonts w:hint="eastAsia" w:ascii="SimSun" w:hAnsi="SimSun" w:eastAsia="SimSun" w:cs="SimSun"/>
          <w:color w:val="1f2329"/>
          <w:sz w:val="24"/>
        </w:rPr>
        <w:t>市场已形成三类玩家，清禾选型应"借力而非重复造轮子"：</w:t>
      </w:r>
    </w:p>
    <w:p w14:paraId="2ACBCF0A">
      <w:pPr>
        <w:pStyle w:val="000006"/>
        <w:keepNext w:val="1"/>
        <w:keepLines w:val="1"/>
        <w:spacing w:before="180" w:beforeAutospacing="1" w:after="180" w:afterAutospacing="1" w:line="408"/>
        <w:ind w:left="180" w:right="180"/>
        <w:outlineLvl w:val="2"/>
        <w:rPr>
          <w:color w:val="3341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3415c"/>
          <w:sz w:val="24"/>
        </w:rPr>
        <w:t>4.1 通用医疗 IT 厂商（HIS/医院信息化基本盘）</w:t>
      </w:r>
    </w:p>
    <w:tbl>
      <w:tblPr>
        <w:tblW w:w="8306" w:type="dxa"/>
        <w:shd w:color="1f232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3488"/>
        <w:gridCol w:w="3488"/>
      </w:tblGrid>
      <w:tr>
        <w:trPr>
          <w:tblHeader w:val="1"/>
        </w:trPr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EB6F0C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厂商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008F0E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打法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496F72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对清禾的启示</w:t>
            </w:r>
          </w:p>
        </w:tc>
      </w:tr>
      <w:tr>
        <w:trPr/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C9B4F9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卫宁健康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D972D6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传统单体架构，与自有 HIS 绑定；AI 功能较少，以人工随访为主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AC0305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若清禾已用其 HIS，对接快；但 AI 随访能力弱，需叠加</w:t>
            </w:r>
          </w:p>
        </w:tc>
      </w:tr>
      <w:tr>
        <w:trPr/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240498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创业慧康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FFE837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智慧家医云，服务近 7000 家机构、2.5 亿份健康档案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95276C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平台型家医/随访产品成熟，可作基座</w:t>
            </w:r>
          </w:p>
        </w:tc>
      </w:tr>
      <w:tr>
        <w:trPr/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BD2CBC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东软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03643E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慢病管理平台，等保三级、落地 3000+ 机构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2C0B27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资质与合规完备，适合合规敏感场景</w:t>
            </w:r>
          </w:p>
        </w:tc>
      </w:tr>
    </w:tbl>
    <w:p w14:paraId="4F364440">
      <w:pPr>
        <w:pStyle w:val="000006"/>
        <w:keepNext w:val="1"/>
        <w:keepLines w:val="1"/>
        <w:spacing w:before="180" w:beforeAutospacing="1" w:after="180" w:afterAutospacing="1" w:line="408"/>
        <w:ind w:left="180" w:right="180"/>
        <w:outlineLvl w:val="2"/>
        <w:rPr>
          <w:color w:val="3341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3415c"/>
          <w:sz w:val="24"/>
        </w:rPr>
        <w:t>4.2 专科随访 / SaaS 运营方</w:t>
      </w:r>
    </w:p>
    <w:tbl>
      <w:tblPr>
        <w:tblW w:w="8306" w:type="dxa"/>
        <w:shd w:color="1f232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3488"/>
        <w:gridCol w:w="3488"/>
      </w:tblGrid>
      <w:tr>
        <w:trPr>
          <w:tblHeader w:val="1"/>
        </w:trPr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6732FB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厂商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80E035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打法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398429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对清禾的启示</w:t>
            </w:r>
          </w:p>
        </w:tc>
      </w:tr>
      <w:tr>
        <w:trPr/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B97D9C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智云健康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AB5707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云原生、糖尿病单病种深耕，单病种 AI 强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81A45E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单病种深但泛化弱，骨科适配需评估</w:t>
            </w:r>
          </w:p>
        </w:tc>
      </w:tr>
      <w:tr>
        <w:trPr/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952EEA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微医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CA730A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数字健共体（天津），家医签约+AI 随访+医保支付闭环，健管师人效 3.5 倍，WHO 公报收录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75A72BA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"按人头付费+AI"闭环是效果付费范本</w:t>
            </w:r>
          </w:p>
        </w:tc>
      </w:tr>
      <w:tr>
        <w:trPr/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81ADA6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平安好医生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81DE22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"平安医博通"多模态大模型，7+N+1 产品体系（AI 家医/养老/慢病管理师）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731881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C 端流量+大模型，适合患者端延展</w:t>
            </w:r>
          </w:p>
        </w:tc>
      </w:tr>
    </w:tbl>
    <w:p w14:paraId="5F015199">
      <w:pPr>
        <w:pStyle w:val="000006"/>
        <w:keepNext w:val="1"/>
        <w:keepLines w:val="1"/>
        <w:spacing w:before="180" w:beforeAutospacing="1" w:after="180" w:afterAutospacing="1" w:line="408"/>
        <w:ind w:left="180" w:right="180"/>
        <w:outlineLvl w:val="2"/>
        <w:rPr>
          <w:color w:val="3341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3415c"/>
          <w:sz w:val="24"/>
        </w:rPr>
        <w:t>4.3 大模型医疗应用方</w:t>
      </w:r>
    </w:p>
    <w:tbl>
      <w:tblPr>
        <w:tblW w:w="8306" w:type="dxa"/>
        <w:shd w:color="1f232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3488"/>
        <w:gridCol w:w="3488"/>
      </w:tblGrid>
      <w:tr>
        <w:trPr>
          <w:tblHeader w:val="1"/>
        </w:trPr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E4229E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厂商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B994DC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打法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769B50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对清禾的启示</w:t>
            </w:r>
          </w:p>
        </w:tc>
      </w:tr>
      <w:tr>
        <w:trPr/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EE6BC7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讯飞医疗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B39D3F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智医助理覆盖 31 省 7.7 万基层机构、市占率&gt;80%；AI 诊疗助理收入同比+47.5%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BA2C27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产品输出型标杆，可采购其随访模块</w:t>
            </w:r>
          </w:p>
        </w:tc>
      </w:tr>
      <w:tr>
        <w:trPr/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3667BB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医渡科技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80C408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YiduCore 处理 40 亿+ 医疗记录，落地 133+ 头部医院、50+ 三甲 AI 中台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5AE27A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数据治理+大模型底座，适合院内私有化</w:t>
            </w:r>
          </w:p>
        </w:tc>
      </w:tr>
      <w:tr>
        <w:trPr/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DA22EF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百川智能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1D7E63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Baichuan-M2-32B 开源医疗推理大模型，RTX4090 单卡可部署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128F7B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低成本私有化部署选项，数据不出院</w:t>
            </w:r>
          </w:p>
        </w:tc>
      </w:tr>
      <w:tr>
        <w:trPr/>
        <w:tc>
          <w:tcPr>
            <w:tcW w:w="132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331C9E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通义/蚂蚁阿福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1F4A42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通义千问+企业微信全病程随访（中山火炬案例）；蚂蚁阿福 1 亿+ 用户</w:t>
            </w:r>
          </w:p>
        </w:tc>
        <w:tc>
          <w:tcPr>
            <w:tcW w:w="3488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2C3B62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已有可对标落地案例，实施路径清晰</w:t>
            </w:r>
          </w:p>
        </w:tc>
      </w:tr>
    </w:tbl>
    <w:p w14:paraId="77F18090">
      <w:pPr>
        <w:pStyle w:val="000006"/>
        <w:keepNext w:val="1"/>
        <w:keepLines w:val="1"/>
        <w:spacing w:before="180" w:beforeAutospacing="1" w:after="180" w:afterAutospacing="1" w:line="408"/>
        <w:ind w:left="180" w:right="180"/>
        <w:outlineLvl w:val="2"/>
        <w:rPr>
          <w:color w:val="3341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3415c"/>
          <w:sz w:val="24"/>
        </w:rPr>
        <w:t>4.4 对标结论</w:t>
      </w:r>
    </w:p>
    <w:p w14:paraId="035D6632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color w:val="1f2329"/>
          <w:sz w:val="24"/>
        </w:rPr>
        <w:t>清禾</w:t>
      </w:r>
      <w:r>
        <w:rPr>
          <w:rFonts w:hint="eastAsia" w:ascii="SimSun" w:hAnsi="SimSun" w:eastAsia="SimSun" w:cs="SimSun"/>
          <w:b w:val="1"/>
          <w:color w:val="1f2329"/>
          <w:sz w:val="24"/>
        </w:rPr>
        <w:t>不必从零自研大模型</w:t>
      </w:r>
      <w:r>
        <w:rPr>
          <w:rFonts w:hint="eastAsia" w:ascii="SimSun" w:hAnsi="SimSun" w:eastAsia="SimSun" w:cs="SimSun"/>
          <w:color w:val="1f2329"/>
          <w:sz w:val="24"/>
        </w:rPr>
        <w:t>，可采购"通用 IT 厂商基座 + 大模型医疗方能力"的组合。</w:t>
      </w:r>
    </w:p>
    <w:p w14:paraId="52BA1C7A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color w:val="1f2329"/>
          <w:sz w:val="24"/>
        </w:rPr>
        <w:t>差异化护城河应在</w:t>
      </w:r>
      <w:r>
        <w:rPr>
          <w:rFonts w:hint="eastAsia" w:ascii="SimSun" w:hAnsi="SimSun" w:eastAsia="SimSun" w:cs="SimSun"/>
          <w:b w:val="1"/>
          <w:color w:val="1f2329"/>
          <w:sz w:val="24"/>
        </w:rPr>
        <w:t>院内私有化合规 + 红旗升级等硬关卡护栏 + 以效果计费</w:t>
      </w:r>
      <w:r>
        <w:rPr>
          <w:rFonts w:hint="eastAsia" w:ascii="SimSun" w:hAnsi="SimSun" w:eastAsia="SimSun" w:cs="SimSun"/>
          <w:color w:val="1f2329"/>
          <w:sz w:val="24"/>
        </w:rPr>
        <w:t>，而非模型本身。</w:t>
      </w:r>
    </w:p>
    <w:p w14:paraId="22168ABF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color w:val="1f2329"/>
          <w:sz w:val="24"/>
        </w:rPr>
        <w:t>微医"按人头/效果付费"与本院"基础费+效果浮动"报价思路一致，是可借鉴的商业模式范本。</w:t>
      </w:r>
    </w:p>
    <w:p w14:paraId="7E9F7A4B">
      <w:pPr>
        <w:pStyle w:val="000003"/>
        <w:keepNext w:val="1"/>
        <w:keepLines w:val="1"/>
        <w:pBdr>
          <w:left w:val="single" w:color="2f6bff" w:sz="24" w:space="6"/>
        </w:pBdr>
        <w:spacing w:before="270" w:beforeAutospacing="1" w:after="270" w:afterAutospacing="1" w:line="408"/>
        <w:ind w:left="270" w:right="270"/>
        <w:outlineLvl w:val="1"/>
        <w:rPr>
          <w:color w:val="1f3a8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a8a"/>
          <w:sz w:val="28"/>
        </w:rPr>
        <w:t>五、技术趋势</w:t>
      </w:r>
    </w:p>
    <w:p w14:paraId="4DECD946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LLM 语音随访成主流</w:t>
      </w:r>
      <w:r>
        <w:rPr>
          <w:rFonts w:hint="eastAsia" w:ascii="SimSun" w:hAnsi="SimSun" w:eastAsia="SimSun" w:cs="SimSun"/>
          <w:color w:val="1f2329"/>
          <w:sz w:val="24"/>
        </w:rPr>
        <w:t>：得助智能外呼（接入 DeepSeek）单机器人日呼 1000+ 通、替代 10 名人工坐席，接通率&gt;80%、出院患者触达近 90%。</w:t>
      </w:r>
    </w:p>
    <w:p w14:paraId="2A7D783A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人机协同而非替代</w:t>
      </w:r>
      <w:r>
        <w:rPr>
          <w:rFonts w:hint="eastAsia" w:ascii="SimSun" w:hAnsi="SimSun" w:eastAsia="SimSun" w:cs="SimSun"/>
          <w:color w:val="1f2329"/>
          <w:sz w:val="24"/>
        </w:rPr>
        <w:t>：中山火炬"AI 批量生成+初筛，护士审核异常"模式，效率提升约 25 倍——与清禾"AI 辅助、人为主体"的设计原则一致。</w:t>
      </w:r>
    </w:p>
    <w:p w14:paraId="3D7A7894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私有化部署普及</w:t>
      </w:r>
      <w:r>
        <w:rPr>
          <w:rFonts w:hint="eastAsia" w:ascii="SimSun" w:hAnsi="SimSun" w:eastAsia="SimSun" w:cs="SimSun"/>
          <w:color w:val="1f2329"/>
          <w:sz w:val="24"/>
        </w:rPr>
        <w:t>：百川 M2-32B 等开源医疗模型支持单卡部署，满足"数据不出院"硬约束，token 成本转为一次性算力摊销。</w:t>
      </w:r>
    </w:p>
    <w:p w14:paraId="3F6F51E0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Agent 化</w:t>
      </w:r>
      <w:r>
        <w:rPr>
          <w:rFonts w:hint="eastAsia" w:ascii="SimSun" w:hAnsi="SimSun" w:eastAsia="SimSun" w:cs="SimSun"/>
          <w:color w:val="1f2329"/>
          <w:sz w:val="24"/>
        </w:rPr>
        <w:t>：国家 AI 应用中试基地已汇聚 100+ 医疗智能体，覆盖 30 场景，随访是高频场景之一。</w:t>
      </w:r>
    </w:p>
    <w:p w14:paraId="35955700">
      <w:pPr>
        <w:pStyle w:val="000003"/>
        <w:keepNext w:val="1"/>
        <w:keepLines w:val="1"/>
        <w:pBdr>
          <w:left w:val="single" w:color="2f6bff" w:sz="24" w:space="6"/>
        </w:pBdr>
        <w:spacing w:before="270" w:beforeAutospacing="1" w:after="270" w:afterAutospacing="1" w:line="408"/>
        <w:ind w:left="270" w:right="270"/>
        <w:outlineLvl w:val="1"/>
        <w:rPr>
          <w:color w:val="1f3a8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a8a"/>
          <w:sz w:val="28"/>
        </w:rPr>
        <w:t>六、商业模式参考（呼应"效果浮动"报价）</w:t>
      </w:r>
    </w:p>
    <w:p w14:paraId="5315DE5D">
      <w:pPr>
        <w:spacing w:before="90" w:after="90" w:line="408"/>
        <w:ind w:left="90" w:right="90" w:firstLine="480"/>
        <w:rPr>
          <w:color w:val="1f2329"/>
        </w:rPr>
      </w:pPr>
      <w:r>
        <w:rPr>
          <w:rFonts w:hint="eastAsia" w:ascii="SimSun" w:hAnsi="SimSun" w:eastAsia="SimSun" w:cs="SimSun"/>
          <w:color w:val="1f2329"/>
          <w:sz w:val="24"/>
        </w:rPr>
        <w:t>行业计费正从"买断/订阅"走向"按效果付费"，与本院报价单设计契合：</w:t>
      </w:r>
    </w:p>
    <w:tbl>
      <w:tblPr>
        <w:tblW w:w="8306" w:type="dxa"/>
        <w:shd w:color="1f232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3156"/>
        <w:gridCol w:w="3156"/>
      </w:tblGrid>
      <w:tr>
        <w:trPr>
          <w:tblHeader w:val="1"/>
        </w:trPr>
        <w:tc>
          <w:tcPr>
            <w:tcW w:w="1993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31BC5F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模式</w:t>
            </w:r>
          </w:p>
        </w:tc>
        <w:tc>
          <w:tcPr>
            <w:tcW w:w="315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5611C1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代表</w:t>
            </w:r>
          </w:p>
        </w:tc>
        <w:tc>
          <w:tcPr>
            <w:tcW w:w="315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871255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适用性与风险</w:t>
            </w:r>
          </w:p>
        </w:tc>
      </w:tr>
      <w:tr>
        <w:trPr/>
        <w:tc>
          <w:tcPr>
            <w:tcW w:w="1993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AFAAE5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买断/项目制</w:t>
            </w:r>
          </w:p>
        </w:tc>
        <w:tc>
          <w:tcPr>
            <w:tcW w:w="315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2DA39D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卫宁/东软等传统 IT 采购</w:t>
            </w:r>
          </w:p>
        </w:tc>
        <w:tc>
          <w:tcPr>
            <w:tcW w:w="315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C84DAC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清禾一次性投入高、效果不保，与 18 万预算匹配但风险在甲方</w:t>
            </w:r>
          </w:p>
        </w:tc>
      </w:tr>
      <w:tr>
        <w:trPr/>
        <w:tc>
          <w:tcPr>
            <w:tcW w:w="1993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E5A155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SaaS 订阅</w:t>
            </w:r>
          </w:p>
        </w:tc>
        <w:tc>
          <w:tcPr>
            <w:tcW w:w="315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96BEDA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智云/微医 SaaS</w:t>
            </w:r>
          </w:p>
        </w:tc>
        <w:tc>
          <w:tcPr>
            <w:tcW w:w="315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566E23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持续付费，数据出院内网风险需评估</w:t>
            </w:r>
          </w:p>
        </w:tc>
      </w:tr>
      <w:tr>
        <w:trPr/>
        <w:tc>
          <w:tcPr>
            <w:tcW w:w="1993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FE8896">
            <w:pPr>
              <w:rPr>
                <w:color w:val="1f3a8a"/>
              </w:rPr>
            </w:pPr>
            <w:r>
              <w:rPr>
                <w:rFonts w:hint="eastAsia" w:ascii="SimSun" w:hAnsi="SimSun" w:eastAsia="SimSun" w:cs="SimSun"/>
                <w:b w:val="1"/>
                <w:color w:val="1f3a8a"/>
                <w:sz w:val="21"/>
              </w:rPr>
              <w:t>按效果/人头付费</w:t>
            </w:r>
          </w:p>
        </w:tc>
        <w:tc>
          <w:tcPr>
            <w:tcW w:w="315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030868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微医健共体（按人头）、本院"基础费+效果浮动"</w:t>
            </w:r>
          </w:p>
        </w:tc>
        <w:tc>
          <w:tcPr>
            <w:tcW w:w="3156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3DF3DF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风险转移乙方、对齐完成率目标，最契合清禾试点</w:t>
            </w:r>
          </w:p>
        </w:tc>
      </w:tr>
    </w:tbl>
    <w:p w14:paraId="003D5CB5">
      <w:pPr>
        <w:pBdr>
          <w:top w:val="single" w:color="e3e8ef" w:sz="6" w:space="6"/>
        </w:pBdr>
        <w:spacing w:before="270" w:after="90" w:line="408"/>
        <w:ind w:left="90" w:right="90" w:firstLine="480"/>
        <w:rPr>
          <w:color w:val="8a94a6"/>
        </w:rPr>
      </w:pPr>
      <w:r>
        <w:rPr>
          <w:rFonts w:hint="eastAsia" w:ascii="SimSun" w:hAnsi="SimSun" w:eastAsia="SimSun" w:cs="SimSun"/>
          <w:color w:val="8a94a6"/>
          <w:sz w:val="19"/>
        </w:rPr>
        <w:t>本院《随访系统报价单》采用"基础费 ¥90,000 + 月运维 ¥2,500 + 完成率每提升 1pp ¥3,000（封顶 ¥72,000）+ 红旗留痕奖励 ¥3,000"，试点总封顶 ¥180,000，属行业领先的"效果对齐"计费。</w:t>
      </w:r>
    </w:p>
    <w:p w14:paraId="5C915B1E">
      <w:pPr>
        <w:pStyle w:val="000003"/>
        <w:keepNext w:val="1"/>
        <w:keepLines w:val="1"/>
        <w:pBdr>
          <w:left w:val="single" w:color="2f6bff" w:sz="24" w:space="6"/>
        </w:pBdr>
        <w:spacing w:before="270" w:beforeAutospacing="1" w:after="270" w:afterAutospacing="1" w:line="408"/>
        <w:ind w:left="270" w:right="270"/>
        <w:outlineLvl w:val="1"/>
        <w:rPr>
          <w:color w:val="1f3a8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a8a"/>
          <w:sz w:val="28"/>
        </w:rPr>
        <w:t>七、合规要点（红线）</w:t>
      </w:r>
    </w:p>
    <w:p w14:paraId="5A486426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上位法</w:t>
      </w:r>
      <w:r>
        <w:rPr>
          <w:rFonts w:hint="eastAsia" w:ascii="SimSun" w:hAnsi="SimSun" w:eastAsia="SimSun" w:cs="SimSun"/>
          <w:color w:val="1f2329"/>
          <w:sz w:val="24"/>
        </w:rPr>
        <w:t>：《数据安全法》《个人信息保护法》《网络安全法》《民法典》共同构成框架；健康医疗数据多属敏感个人信息。</w:t>
      </w:r>
    </w:p>
    <w:p w14:paraId="52977A5D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医疗器械监管</w:t>
      </w:r>
      <w:r>
        <w:rPr>
          <w:rFonts w:hint="eastAsia" w:ascii="SimSun" w:hAnsi="SimSun" w:eastAsia="SimSun" w:cs="SimSun"/>
          <w:color w:val="1f2329"/>
          <w:sz w:val="24"/>
        </w:rPr>
        <w:t>：《医疗器械监督管理条例》+《人工智能医疗器械注册审查指导原则》+《医疗器械网络安全注册审查指导原则（2022 修订）》——若涉及辅助诊断功能需注册/备案。</w:t>
      </w:r>
    </w:p>
    <w:p w14:paraId="404A3726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生成式 AI</w:t>
      </w:r>
      <w:r>
        <w:rPr>
          <w:rFonts w:hint="eastAsia" w:ascii="SimSun" w:hAnsi="SimSun" w:eastAsia="SimSun" w:cs="SimSun"/>
          <w:color w:val="1f2329"/>
          <w:sz w:val="24"/>
        </w:rPr>
        <w:t>：《生成式人工智能服务管理暂行办法》要求训练数据合法、算法备案、科技伦理审查。</w:t>
      </w:r>
    </w:p>
    <w:p w14:paraId="092F8562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等保</w:t>
      </w:r>
      <w:r>
        <w:rPr>
          <w:rFonts w:hint="eastAsia" w:ascii="SimSun" w:hAnsi="SimSun" w:eastAsia="SimSun" w:cs="SimSun"/>
          <w:color w:val="1f2329"/>
          <w:sz w:val="24"/>
        </w:rPr>
        <w:t>：医院/医共体系统通常要求等保三级，支持加密存储传输、知情同意、全程留痕。</w:t>
      </w:r>
    </w:p>
    <w:p w14:paraId="10ECB9BC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院内红线（来自需求报告）</w:t>
      </w:r>
      <w:r>
        <w:rPr>
          <w:rFonts w:hint="eastAsia" w:ascii="SimSun" w:hAnsi="SimSun" w:eastAsia="SimSun" w:cs="SimSun"/>
          <w:color w:val="1f2329"/>
          <w:sz w:val="24"/>
        </w:rPr>
        <w:t>：接口只读、无处方/挂号写权限；AI 仅整理陈述，禁诊断/调药/代签；红旗必升；覆盖原记录前须专科确认；90 天到期删除/归档。</w:t>
      </w:r>
    </w:p>
    <w:p w14:paraId="77FC98A0">
      <w:pPr>
        <w:pBdr>
          <w:top w:val="single" w:color="e3e8ef" w:sz="6" w:space="6"/>
        </w:pBdr>
        <w:spacing w:before="270" w:after="90" w:line="408"/>
        <w:ind w:left="90" w:right="90" w:firstLine="480"/>
        <w:rPr>
          <w:color w:val="8a94a6"/>
        </w:rPr>
      </w:pPr>
      <w:r>
        <w:rPr>
          <w:rFonts w:hint="eastAsia" w:ascii="SimSun" w:hAnsi="SimSun" w:eastAsia="SimSun" w:cs="SimSun"/>
          <w:color w:val="8a94a6"/>
          <w:sz w:val="19"/>
        </w:rPr>
        <w:t>清禾方案以"院内私有化 + 只读接口 + 最小必要 + 全程留痕"直接满足上述要求，合规优势明显。</w:t>
      </w:r>
    </w:p>
    <w:p w14:paraId="783BC5B4">
      <w:pPr>
        <w:pStyle w:val="000003"/>
        <w:keepNext w:val="1"/>
        <w:keepLines w:val="1"/>
        <w:pBdr>
          <w:left w:val="single" w:color="2f6bff" w:sz="24" w:space="6"/>
        </w:pBdr>
        <w:spacing w:before="270" w:beforeAutospacing="1" w:after="270" w:afterAutospacing="1" w:line="408"/>
        <w:ind w:left="270" w:right="270"/>
        <w:outlineLvl w:val="1"/>
        <w:rPr>
          <w:color w:val="1f3a8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a8a"/>
          <w:sz w:val="28"/>
        </w:rPr>
        <w:t>八、风险与缓解</w:t>
      </w:r>
    </w:p>
    <w:tbl>
      <w:tblPr>
        <w:tblW w:w="8306" w:type="dxa"/>
        <w:shd w:color="1f232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2907"/>
        <w:gridCol w:w="2907"/>
      </w:tblGrid>
      <w:tr>
        <w:trPr>
          <w:tblHeader w:val="1"/>
        </w:trPr>
        <w:tc>
          <w:tcPr>
            <w:tcW w:w="2491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5A75F2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风险</w:t>
            </w:r>
          </w:p>
        </w:tc>
        <w:tc>
          <w:tcPr>
            <w:tcW w:w="290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82E1B8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表现</w:t>
            </w:r>
          </w:p>
        </w:tc>
        <w:tc>
          <w:tcPr>
            <w:tcW w:w="290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shd w:val="clear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64B17F">
            <w:pPr>
              <w:jc w:val="center"/>
              <w:rPr>
                <w:b w:val="1"/>
                <w:bCs w:val="1"/>
                <w:color w:val="1f2329"/>
              </w:rPr>
            </w:pPr>
            <w:r>
              <w:rPr>
                <w:rFonts w:hint="eastAsia" w:ascii="SimSun" w:hAnsi="SimSun" w:eastAsia="SimSun" w:cs="SimSun"/>
                <w:b w:val="1"/>
                <w:color w:val="1f2329"/>
                <w:sz w:val="21"/>
              </w:rPr>
              <w:t>缓解</w:t>
            </w:r>
          </w:p>
        </w:tc>
      </w:tr>
      <w:tr>
        <w:trPr/>
        <w:tc>
          <w:tcPr>
            <w:tcW w:w="2491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5DDAF4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效果不达预期</w:t>
            </w:r>
          </w:p>
        </w:tc>
        <w:tc>
          <w:tcPr>
            <w:tcW w:w="290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0F239E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节省工时未转化为完成率提升（报告已警示）</w:t>
            </w:r>
          </w:p>
        </w:tc>
        <w:tc>
          <w:tcPr>
            <w:tcW w:w="290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15F277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采用效果浮动计费，未达标不付浮动费</w:t>
            </w:r>
          </w:p>
        </w:tc>
      </w:tr>
      <w:tr>
        <w:trPr/>
        <w:tc>
          <w:tcPr>
            <w:tcW w:w="2491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48011A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合规穿透式监管</w:t>
            </w:r>
          </w:p>
        </w:tc>
        <w:tc>
          <w:tcPr>
            <w:tcW w:w="290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4A5449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大模型应用需备案、数据安全负面清单</w:t>
            </w:r>
          </w:p>
        </w:tc>
        <w:tc>
          <w:tcPr>
            <w:tcW w:w="290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4E5F6F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私有化部署 + 等保三级 + 留痕审计</w:t>
            </w:r>
          </w:p>
        </w:tc>
      </w:tr>
      <w:tr>
        <w:trPr/>
        <w:tc>
          <w:tcPr>
            <w:tcW w:w="2491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7F60AA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数据不通成孤岛</w:t>
            </w:r>
          </w:p>
        </w:tc>
        <w:tc>
          <w:tcPr>
            <w:tcW w:w="290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01550D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HIS 对接失败（行业常见"坑"）</w:t>
            </w:r>
          </w:p>
        </w:tc>
        <w:tc>
          <w:tcPr>
            <w:tcW w:w="290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A3ABA9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优先确认 HIS 只读接口可行性（P0 前置）</w:t>
            </w:r>
          </w:p>
        </w:tc>
      </w:tr>
      <w:tr>
        <w:trPr/>
        <w:tc>
          <w:tcPr>
            <w:tcW w:w="2491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138B4A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上线即闲置</w:t>
            </w:r>
          </w:p>
        </w:tc>
        <w:tc>
          <w:tcPr>
            <w:tcW w:w="290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A5A574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"只买系统不做运营"，3 个月无人用</w:t>
            </w:r>
          </w:p>
        </w:tc>
        <w:tc>
          <w:tcPr>
            <w:tcW w:w="290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4E6E89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纳入护士培训 + 持续运营，写入报价运维项</w:t>
            </w:r>
          </w:p>
        </w:tc>
      </w:tr>
      <w:tr>
        <w:trPr/>
        <w:tc>
          <w:tcPr>
            <w:tcW w:w="2491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ED6F97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"AI 智障"增负</w:t>
            </w:r>
          </w:p>
        </w:tc>
        <w:tc>
          <w:tcPr>
            <w:tcW w:w="290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348460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通用模型套壳，异常识别不出</w:t>
            </w:r>
          </w:p>
        </w:tc>
        <w:tc>
          <w:tcPr>
            <w:tcW w:w="2907" w:type="dxa"/>
            <w:tcBorders>
              <w:top w:val="single" w:color="b9c2d0" w:sz="6"/>
              <w:left w:val="single" w:color="b9c2d0" w:sz="6"/>
              <w:bottom w:val="single" w:color="b9c2d0" w:sz="6"/>
              <w:right w:val="single" w:color="b9c2d0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B12DCA">
            <w:pPr>
              <w:rPr>
                <w:color w:val="1f2329"/>
              </w:rPr>
            </w:pPr>
            <w:r>
              <w:rPr>
                <w:rFonts w:hint="eastAsia" w:ascii="SimSun" w:hAnsi="SimSun" w:eastAsia="SimSun" w:cs="SimSun"/>
                <w:color w:val="1f2329"/>
                <w:sz w:val="21"/>
              </w:rPr>
              <w:t>用真实病例做 POC，看自动处理率/识别准确率</w:t>
            </w:r>
          </w:p>
        </w:tc>
      </w:tr>
    </w:tbl>
    <w:p w14:paraId="51B11CEC">
      <w:pPr>
        <w:pStyle w:val="000003"/>
        <w:keepNext w:val="1"/>
        <w:keepLines w:val="1"/>
        <w:pBdr>
          <w:left w:val="single" w:color="2f6bff" w:sz="24" w:space="6"/>
        </w:pBdr>
        <w:spacing w:before="270" w:beforeAutospacing="1" w:after="270" w:afterAutospacing="1" w:line="408"/>
        <w:ind w:left="270" w:right="270"/>
        <w:outlineLvl w:val="1"/>
        <w:rPr>
          <w:color w:val="1f3a8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3a8a"/>
          <w:sz w:val="28"/>
        </w:rPr>
        <w:t>九、对清禾立项的建议</w:t>
      </w:r>
    </w:p>
    <w:p w14:paraId="0064B961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结论</w:t>
      </w:r>
      <w:r>
        <w:rPr>
          <w:rFonts w:hint="eastAsia" w:ascii="SimSun" w:hAnsi="SimSun" w:eastAsia="SimSun" w:cs="SimSun"/>
          <w:color w:val="1f2329"/>
          <w:sz w:val="24"/>
        </w:rPr>
        <w:t>：政策支持、供给成熟、痛点行业级、合规路径清晰——</w:t>
      </w:r>
      <w:r>
        <w:rPr>
          <w:rFonts w:hint="eastAsia" w:ascii="SimSun" w:hAnsi="SimSun" w:eastAsia="SimSun" w:cs="SimSun"/>
          <w:b w:val="1"/>
          <w:color w:val="1f2329"/>
          <w:sz w:val="24"/>
        </w:rPr>
        <w:t>建议立项</w:t>
      </w:r>
      <w:r>
        <w:rPr>
          <w:rFonts w:hint="eastAsia" w:ascii="SimSun" w:hAnsi="SimSun" w:eastAsia="SimSun" w:cs="SimSun"/>
          <w:color w:val="1f2329"/>
          <w:sz w:val="24"/>
        </w:rPr>
        <w:t>，以骨科常规术后为试点。</w:t>
      </w:r>
    </w:p>
    <w:p w14:paraId="5086CF23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路径</w:t>
      </w:r>
      <w:r>
        <w:rPr>
          <w:rFonts w:hint="eastAsia" w:ascii="SimSun" w:hAnsi="SimSun" w:eastAsia="SimSun" w:cs="SimSun"/>
          <w:color w:val="1f2329"/>
          <w:sz w:val="24"/>
        </w:rPr>
        <w:t>：历史回放验证 → 并行试点（不关现有人工）→ 对比基线（完成率/工时/红旗漏报）。</w:t>
      </w:r>
    </w:p>
    <w:p w14:paraId="09CA6B3D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选型</w:t>
      </w:r>
      <w:r>
        <w:rPr>
          <w:rFonts w:hint="eastAsia" w:ascii="SimSun" w:hAnsi="SimSun" w:eastAsia="SimSun" w:cs="SimSun"/>
          <w:color w:val="1f2329"/>
          <w:sz w:val="24"/>
        </w:rPr>
        <w:t>：采购"HIS 厂商基座 + 大模型医疗方能力"，自研聚焦护栏与效果度量；优先私有化部署。</w:t>
      </w:r>
    </w:p>
    <w:p w14:paraId="498EC563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计费</w:t>
      </w:r>
      <w:r>
        <w:rPr>
          <w:rFonts w:hint="eastAsia" w:ascii="SimSun" w:hAnsi="SimSun" w:eastAsia="SimSun" w:cs="SimSun"/>
          <w:color w:val="1f2329"/>
          <w:sz w:val="24"/>
        </w:rPr>
        <w:t>：采用"基础费+效果浮动"，把完成率目标与支付挂钩，降低甲方风险。</w:t>
      </w:r>
    </w:p>
    <w:p w14:paraId="1F3A94CE">
      <w:pPr>
        <w:numPr>
          <w:ilvl w:val="0"/>
          <w:numId w:val="1"/>
        </w:numPr>
        <w:pBdr>
          <w:left w:space="26"/>
        </w:pBdr>
        <w:spacing w:before="45" w:after="45" w:line="408"/>
        <w:ind w:left="45" w:right="45"/>
        <w:rPr>
          <w:color w:val="1f2329"/>
        </w:rPr>
      </w:pPr>
      <w:r>
        <w:rPr>
          <w:rFonts w:hint="eastAsia" w:ascii="SimSun" w:hAnsi="SimSun" w:eastAsia="SimSun" w:cs="SimSun"/>
          <w:b w:val="1"/>
          <w:color w:val="1f2329"/>
          <w:sz w:val="24"/>
        </w:rPr>
        <w:t>前置动作</w:t>
      </w:r>
      <w:r>
        <w:rPr>
          <w:rFonts w:hint="eastAsia" w:ascii="SimSun" w:hAnsi="SimSun" w:eastAsia="SimSun" w:cs="SimSun"/>
          <w:color w:val="1f2329"/>
          <w:sz w:val="24"/>
        </w:rPr>
        <w:t>：① 顾明岚书面固定完成率口径；② 秦芮提供授权字段来源；③ 实测红旗漏报基线；④ 确认 HIS 只读接口可行性。</w:t>
      </w:r>
    </w:p>
    <w:p w14:paraId="4AEFA183">
      <w:pPr>
        <w:pBdr>
          <w:top w:val="single" w:color="e3e8ef" w:sz="6" w:space="6"/>
        </w:pBdr>
        <w:spacing w:before="270" w:line="408"/>
        <w:rPr>
          <w:color w:val="8a94a6"/>
        </w:rPr>
      </w:pPr>
      <w:r>
        <w:rPr>
          <w:rFonts w:hint="eastAsia" w:ascii="SimSun" w:hAnsi="SimSun" w:eastAsia="SimSun" w:cs="SimSun"/>
          <w:color w:val="8a94a6"/>
          <w:sz w:val="19"/>
        </w:rPr>
        <w:t xml:space="preserve"> 数据来源备注：本报告市场与政策数据来自公开网络检索（截至 2026-10），包括国家卫健委官网、中国政府网、弗若斯特沙利文/艾瑞等机构引用、行业媒体案例（中山火炬高新区人民医院、软佳、得助智能等）及厂商公开资料。具体数值为检索时点的公开口径，正式立项前建议以最新官方数据与厂商 POC 实测为准。清禾本院量化指标来自《业务需求发现报告》（2026-10-23），其基线数据尚未实测，对外承诺前须补访谈与基线测算。 </w:t>
      </w:r>
    </w:p>
    <w:p w14:paraId="54378502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Continue 5" w:semiHidden="1" w:unhideWhenUsed="1"/>
    <w:lsdException w:name="List Number 4" w:semiHidden="1" w:unhideWhenUsed="1"/>
    <w:lsdException w:name="heading 7" w:uiPriority="9" w:semiHidden="1" w:unhideWhenUsed="1" w:qFormat="1"/>
    <w:lsdException w:name="heading 2" w:uiPriority="9" w:semiHidden="1" w:unhideWhenUsed="1" w:qFormat="1"/>
    <w:lsdException w:name="List Bullet 4" w:semiHidden="1" w:unhideWhenUsed="1"/>
    <w:lsdException w:name="endnote reference" w:semiHidden="1" w:unhideWhenUsed="1"/>
    <w:lsdException w:name="List 4" w:semiHidden="1" w:unhideWhenUsed="1"/>
    <w:lsdException w:name="envelope return" w:semiHidden="1" w:unhideWhenUsed="1"/>
    <w:lsdException w:name="FollowedHyperlink" w:semiHidden="1" w:unhideWhenUsed="1"/>
    <w:lsdException w:name="table of figures" w:semiHidden="1" w:unhideWhenUsed="1"/>
    <w:lsdException w:name="caption" w:uiPriority="35" w:semiHidden="1" w:unhideWhenUsed="1" w:qFormat="1"/>
    <w:lsdException w:name="footnote reference" w:semiHidden="1" w:unhideWhenUsed="1"/>
    <w:lsdException w:name="index 4" w:semiHidden="1" w:unhideWhenUsed="1"/>
    <w:lsdException w:name="List Number" w:semiHidden="1" w:unhideWhenUsed="1"/>
    <w:lsdException w:name="List Number 3" w:semiHidden="1" w:unhideWhenUsed="1"/>
    <w:lsdException w:name="Message Header" w:semiHidden="1" w:unhideWhenUsed="1"/>
    <w:lsdException w:name="Closing" w:semiHidden="1" w:unhideWhenUsed="1"/>
    <w:lsdException w:name="toc 8" w:uiPriority="39" w:semiHidden="1" w:unhideWhenUsed="1"/>
    <w:lsdException w:name="toc 3" w:uiPriority="39" w:semiHidden="1" w:unhideWhenUsed="1"/>
    <w:lsdException w:name="index 7" w:semiHidden="1" w:unhideWhenUsed="1"/>
    <w:lsdException w:name="heading 3" w:uiPriority="9" w:semiHidden="1" w:unhideWhenUsed="1" w:qFormat="1"/>
    <w:lsdException w:name="heading 8" w:uiPriority="9" w:semiHidden="1" w:unhideWhenUsed="1" w:qFormat="1"/>
    <w:lsdException w:name="List Bullet" w:semiHidden="1" w:unhideWhenUsed="1"/>
    <w:lsdException w:name="List Bullet 5" w:semiHidden="1" w:unhideWhenUsed="1"/>
    <w:lsdException w:name="Title" w:uiPriority="10" w:qFormat="1"/>
    <w:lsdException w:name="page number" w:semiHidden="1" w:unhideWhenUsed="1"/>
    <w:lsdException w:name="List 5" w:semiHidden="1" w:unhideWhenUsed="1"/>
    <w:lsdException w:name="List 2" w:semiHidden="1" w:unhideWhenUsed="1"/>
    <w:lsdException w:name="Body Text First Indent 2" w:semiHidden="1" w:unhideWhenUsed="1"/>
    <w:lsdException w:name="Subtitle" w:uiPriority="11" w:qFormat="1"/>
    <w:lsdException w:name="toc 5" w:uiPriority="39" w:semiHidden="1" w:unhideWhenUsed="1"/>
    <w:lsdException w:name="index 5" w:semiHidden="1" w:unhideWhenUsed="1"/>
    <w:lsdException w:name="index 8" w:semiHidden="1" w:unhideWhenUsed="1"/>
    <w:lsdException w:name="Body Text First Indent" w:semiHidden="1" w:unhideWhenUsed="1"/>
    <w:lsdException w:name="List Number 2" w:semiHidden="1" w:unhideWhenUsed="1"/>
    <w:lsdException w:name="heading 5" w:uiPriority="9" w:semiHidden="1" w:unhideWhenUsed="1" w:qFormat="1"/>
    <w:lsdException w:name="List Continue 3" w:semiHidden="1" w:unhideWhenUsed="1"/>
    <w:lsdException w:name="List" w:semiHidden="1" w:unhideWhenUsed="1"/>
    <w:lsdException w:name="List Bullet 3" w:semiHidden="1" w:unhideWhenUsed="1"/>
    <w:lsdException w:name="toc 4" w:uiPriority="39" w:semiHidden="1" w:unhideWhenUsed="1"/>
    <w:lsdException w:name="toc 9" w:uiPriority="39" w:semiHidden="1" w:unhideWhenUsed="1"/>
    <w:lsdException w:name="table of authorities" w:semiHidden="1" w:unhideWhenUsed="1"/>
    <w:lsdException w:name="Body Text" w:semiHidden="1" w:unhideWhenUsed="1"/>
    <w:lsdException w:name="index 1" w:semiHidden="1" w:unhideWhenUsed="1"/>
    <w:lsdException w:name="Hyperlink" w:semiHidden="1" w:unhideWhenUsed="1"/>
    <w:lsdException w:name="heading 4" w:uiPriority="9" w:semiHidden="1" w:unhideWhenUsed="1" w:qFormat="1"/>
    <w:lsdException w:name="Body Text 2" w:semiHidden="1" w:unhideWhenUsed="1"/>
    <w:lsdException w:name="heading 9" w:uiPriority="9" w:semiHidden="1" w:unhideWhenUsed="1" w:qFormat="1"/>
    <w:lsdException w:name="List Bullet 2" w:semiHidden="1" w:unhideWhenUsed="1"/>
    <w:lsdException w:name="annotation reference" w:semiHidden="1" w:unhideWhenUsed="1"/>
    <w:lsdException w:name="Body Text Indent" w:semiHidden="1" w:unhideWhenUsed="1"/>
    <w:lsdException w:name="List 3" w:semiHidden="1" w:unhideWhenUsed="1"/>
    <w:lsdException w:name="toa heading" w:semiHidden="1" w:unhideWhenUsed="1"/>
    <w:lsdException w:name="index heading" w:semiHidden="1" w:unhideWhenUsed="1"/>
    <w:lsdException w:name="Strong" w:uiPriority="22" w:qFormat="1"/>
    <w:lsdException w:name="toc 1" w:uiPriority="39" w:semiHidden="1" w:unhideWhenUsed="1"/>
    <w:lsdException w:name="Body Text 3" w:semiHidden="1" w:unhideWhenUsed="1"/>
    <w:lsdException w:name="toc 6" w:uiPriority="39" w:semiHidden="1" w:unhideWhenUsed="1"/>
    <w:lsdException w:name="index 2" w:semiHidden="1" w:unhideWhenUsed="1"/>
    <w:lsdException w:name="index 9" w:semiHidden="1" w:unhideWhenUsed="1"/>
    <w:lsdException w:name="Normal Indent" w:semiHidden="1" w:unhideWhenUsed="1"/>
    <w:lsdException w:name="Signature" w:semiHidden="1" w:unhideWhenUsed="1"/>
    <w:lsdException w:name="List Number 5" w:semiHidden="1" w:unhideWhenUsed="1"/>
    <w:lsdException w:name="List Continue 2" w:semiHidden="1" w:unhideWhenUsed="1"/>
    <w:lsdException w:name="header" w:semiHidden="1" w:unhideWhenUsed="1"/>
    <w:lsdException w:name="heading 1" w:uiPriority="9" w:qFormat="1"/>
    <w:lsdException w:name="Salutation" w:semiHidden="1" w:unhideWhenUsed="1"/>
    <w:lsdException w:name="heading 6" w:uiPriority="9" w:semiHidden="1" w:unhideWhenUsed="1" w:qFormat="1"/>
    <w:lsdException w:name="macro" w:semiHidden="1" w:unhideWhenUsed="1"/>
    <w:lsdException w:name="Normal" w:uiPriority="0" w:qFormat="1"/>
    <w:lsdException w:name="annotation text" w:semiHidden="1" w:unhideWhenUsed="1"/>
    <w:lsdException w:name="endnote text" w:semiHidden="1" w:unhideWhenUsed="1"/>
    <w:lsdException w:name="Default Paragraph Font" w:uiPriority="1" w:semiHidden="1" w:unhideWhenUsed="1"/>
    <w:lsdException w:name="Body Text Indent 3" w:semiHidden="1" w:unhideWhenUsed="1"/>
    <w:lsdException w:name="List Continue" w:semiHidden="1" w:unhideWhenUsed="1"/>
    <w:lsdException w:name="Note Heading" w:semiHidden="1" w:unhideWhenUsed="1"/>
    <w:lsdException w:name="footnote text" w:semiHidden="1" w:unhideWhenUsed="1"/>
    <w:lsdException w:name="envelope address" w:semiHidden="1" w:unhideWhenUsed="1"/>
    <w:lsdException w:name="List Continue 4" w:semiHidden="1" w:unhideWhenUsed="1"/>
    <w:lsdException w:name="line number" w:semiHidden="1" w:unhideWhenUsed="1"/>
    <w:lsdException w:name="Date" w:semiHidden="1" w:unhideWhenUsed="1"/>
    <w:lsdException w:name="toc 2" w:uiPriority="39" w:semiHidden="1" w:unhideWhenUsed="1"/>
    <w:lsdException w:name="toc 7" w:uiPriority="39" w:semiHidden="1" w:unhideWhenUsed="1"/>
    <w:lsdException w:name="Block Text" w:semiHidden="1" w:unhideWhenUsed="1"/>
    <w:lsdException w:name="index 6" w:semiHidden="1" w:unhideWhenUsed="1"/>
    <w:lsdException w:name="index 3" w:semiHidden="1" w:unhideWhenUsed="1"/>
    <w:lsdException w:name="footer" w:semiHidden="1" w:unhideWhenUsed="1"/>
    <w:lsdException w:name="Body Text Indent 2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2026-10-23T11:08:10Z</dcterms:created>
  <dcterms:modified xsi:type="dcterms:W3CDTF">2026-10-23T11:08:10Z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"01a166b5af577381bdd82e6b8aeb1a6c", "ReservedCode1": "", "ContentPropagator": "00119111010856365494821B355", "PropagateID": "01a166b5af577381bdd82e6b8aeb1a6c", "ReservedCode2": ""}}</vt:lpwstr>
  </property>
</Properties>
</file>