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D271C">
      <w:pPr>
        <w:jc w:val="center"/>
        <w:rPr>
          <w:rFonts w:hint="eastAsia" w:ascii="微软雅黑" w:hAnsi="微软雅黑" w:eastAsia="微软雅黑" w:cs="微软雅黑"/>
          <w:b/>
          <w:bCs/>
          <w:sz w:val="44"/>
          <w:szCs w:val="52"/>
          <w:lang w:val="en-US" w:eastAsia="zh-CN"/>
        </w:rPr>
      </w:pPr>
      <w:r>
        <w:rPr>
          <w:rFonts w:hint="eastAsia" w:ascii="微软雅黑" w:hAnsi="微软雅黑" w:eastAsia="微软雅黑" w:cs="微软雅黑"/>
          <w:b/>
          <w:bCs/>
          <w:sz w:val="44"/>
          <w:szCs w:val="52"/>
          <w:lang w:val="en-US" w:eastAsia="zh-CN"/>
        </w:rPr>
        <w:t>安全分析智能体设计</w:t>
      </w:r>
    </w:p>
    <w:p w14:paraId="2C8FEA9A">
      <w:pPr>
        <w:jc w:val="center"/>
        <w:rPr>
          <w:rFonts w:hint="eastAsia" w:ascii="微软雅黑" w:hAnsi="微软雅黑" w:eastAsia="微软雅黑" w:cs="微软雅黑"/>
          <w:b/>
          <w:bCs/>
          <w:sz w:val="32"/>
          <w:szCs w:val="40"/>
          <w:lang w:val="en-US" w:eastAsia="zh-CN"/>
        </w:rPr>
      </w:pPr>
    </w:p>
    <w:p w14:paraId="1F58FA42">
      <w:pPr>
        <w:jc w:val="center"/>
        <w:rPr>
          <w:rFonts w:hint="eastAsia" w:ascii="微软雅黑" w:hAnsi="微软雅黑" w:eastAsia="微软雅黑" w:cs="微软雅黑"/>
          <w:b/>
          <w:bCs/>
          <w:sz w:val="32"/>
          <w:szCs w:val="40"/>
          <w:lang w:val="en-US" w:eastAsia="zh-CN"/>
        </w:rPr>
      </w:pPr>
    </w:p>
    <w:p w14:paraId="23FCBBF4">
      <w:pPr>
        <w:jc w:val="center"/>
        <w:rPr>
          <w:rFonts w:hint="eastAsia" w:ascii="微软雅黑" w:hAnsi="微软雅黑" w:eastAsia="微软雅黑" w:cs="微软雅黑"/>
          <w:b/>
          <w:bCs/>
          <w:sz w:val="32"/>
          <w:szCs w:val="40"/>
          <w:lang w:val="en-US" w:eastAsia="zh-CN"/>
        </w:rPr>
      </w:pPr>
    </w:p>
    <w:p w14:paraId="21753B09">
      <w:pPr>
        <w:jc w:val="center"/>
        <w:rPr>
          <w:rFonts w:hint="eastAsia" w:ascii="微软雅黑" w:hAnsi="微软雅黑" w:eastAsia="微软雅黑" w:cs="微软雅黑"/>
          <w:b/>
          <w:bCs/>
          <w:sz w:val="32"/>
          <w:szCs w:val="40"/>
          <w:lang w:val="en-US" w:eastAsia="zh-CN"/>
        </w:rPr>
      </w:pPr>
    </w:p>
    <w:p w14:paraId="5A18D6AC">
      <w:pPr>
        <w:jc w:val="center"/>
        <w:rPr>
          <w:rFonts w:hint="eastAsia" w:ascii="微软雅黑" w:hAnsi="微软雅黑" w:eastAsia="微软雅黑" w:cs="微软雅黑"/>
          <w:b/>
          <w:bCs/>
          <w:sz w:val="32"/>
          <w:szCs w:val="40"/>
          <w:lang w:val="en-US" w:eastAsia="zh-CN"/>
        </w:rPr>
      </w:pPr>
    </w:p>
    <w:p w14:paraId="6636F2BF">
      <w:pPr>
        <w:jc w:val="center"/>
        <w:rPr>
          <w:rFonts w:hint="eastAsia" w:ascii="微软雅黑" w:hAnsi="微软雅黑" w:eastAsia="微软雅黑" w:cs="微软雅黑"/>
          <w:b/>
          <w:bCs/>
          <w:sz w:val="32"/>
          <w:szCs w:val="40"/>
          <w:lang w:val="en-US" w:eastAsia="zh-CN"/>
        </w:rPr>
      </w:pPr>
      <w:r>
        <w:rPr>
          <w:rFonts w:hint="eastAsia" w:ascii="微软雅黑" w:hAnsi="微软雅黑" w:eastAsia="微软雅黑" w:cs="微软雅黑"/>
          <w:b/>
          <w:bCs/>
          <w:sz w:val="32"/>
          <w:szCs w:val="40"/>
          <w:lang w:val="en-US" w:eastAsia="zh-CN"/>
        </w:rPr>
        <w:t>设计开发文档</w:t>
      </w:r>
    </w:p>
    <w:p w14:paraId="11C71131">
      <w:pPr>
        <w:jc w:val="center"/>
        <w:rPr>
          <w:rFonts w:hint="eastAsia" w:ascii="微软雅黑" w:hAnsi="微软雅黑" w:eastAsia="微软雅黑" w:cs="微软雅黑"/>
          <w:b/>
          <w:bCs/>
          <w:sz w:val="32"/>
          <w:szCs w:val="40"/>
          <w:lang w:val="en-US" w:eastAsia="zh-CN"/>
        </w:rPr>
      </w:pPr>
    </w:p>
    <w:p w14:paraId="5632E96D">
      <w:pPr>
        <w:jc w:val="center"/>
        <w:rPr>
          <w:rFonts w:hint="eastAsia" w:ascii="微软雅黑" w:hAnsi="微软雅黑" w:eastAsia="微软雅黑" w:cs="微软雅黑"/>
          <w:b/>
          <w:bCs/>
          <w:sz w:val="32"/>
          <w:szCs w:val="40"/>
          <w:lang w:val="en-US" w:eastAsia="zh-CN"/>
        </w:rPr>
      </w:pPr>
    </w:p>
    <w:p w14:paraId="56F04A23">
      <w:pPr>
        <w:jc w:val="center"/>
        <w:rPr>
          <w:rFonts w:hint="eastAsia" w:ascii="微软雅黑" w:hAnsi="微软雅黑" w:eastAsia="微软雅黑" w:cs="微软雅黑"/>
          <w:b/>
          <w:bCs/>
          <w:sz w:val="32"/>
          <w:szCs w:val="40"/>
          <w:lang w:val="en-US" w:eastAsia="zh-CN"/>
        </w:rPr>
      </w:pPr>
    </w:p>
    <w:p w14:paraId="299D12CC">
      <w:pPr>
        <w:jc w:val="center"/>
        <w:rPr>
          <w:rFonts w:hint="eastAsia" w:ascii="微软雅黑" w:hAnsi="微软雅黑" w:eastAsia="微软雅黑" w:cs="微软雅黑"/>
          <w:b/>
          <w:bCs/>
          <w:sz w:val="32"/>
          <w:szCs w:val="40"/>
          <w:lang w:val="en-US" w:eastAsia="zh-CN"/>
        </w:rPr>
      </w:pPr>
    </w:p>
    <w:p w14:paraId="66CD6F95">
      <w:pPr>
        <w:jc w:val="center"/>
        <w:rPr>
          <w:rFonts w:hint="eastAsia" w:ascii="微软雅黑" w:hAnsi="微软雅黑" w:eastAsia="微软雅黑" w:cs="微软雅黑"/>
          <w:b/>
          <w:bCs/>
          <w:sz w:val="32"/>
          <w:szCs w:val="40"/>
          <w:lang w:val="en-US" w:eastAsia="zh-CN"/>
        </w:rPr>
      </w:pPr>
    </w:p>
    <w:p w14:paraId="58568380">
      <w:pPr>
        <w:jc w:val="center"/>
        <w:rPr>
          <w:rFonts w:hint="eastAsia" w:ascii="微软雅黑" w:hAnsi="微软雅黑" w:eastAsia="微软雅黑" w:cs="微软雅黑"/>
          <w:b/>
          <w:bCs/>
          <w:sz w:val="32"/>
          <w:szCs w:val="40"/>
          <w:lang w:val="en-US" w:eastAsia="zh-CN"/>
        </w:rPr>
      </w:pPr>
    </w:p>
    <w:p w14:paraId="0C88718C">
      <w:pPr>
        <w:jc w:val="center"/>
        <w:rPr>
          <w:rFonts w:hint="eastAsia" w:ascii="微软雅黑" w:hAnsi="微软雅黑" w:eastAsia="微软雅黑" w:cs="微软雅黑"/>
          <w:b/>
          <w:bCs/>
          <w:sz w:val="32"/>
          <w:szCs w:val="40"/>
          <w:lang w:val="en-US" w:eastAsia="zh-CN"/>
        </w:rPr>
      </w:pPr>
    </w:p>
    <w:p w14:paraId="1AD14C19">
      <w:pPr>
        <w:jc w:val="center"/>
        <w:rPr>
          <w:rFonts w:hint="eastAsia" w:ascii="微软雅黑" w:hAnsi="微软雅黑" w:eastAsia="微软雅黑" w:cs="微软雅黑"/>
          <w:b/>
          <w:bCs/>
          <w:sz w:val="32"/>
          <w:szCs w:val="40"/>
          <w:lang w:val="en-US" w:eastAsia="zh-CN"/>
        </w:rPr>
      </w:pPr>
    </w:p>
    <w:p w14:paraId="1C2EECE3">
      <w:pPr>
        <w:jc w:val="center"/>
        <w:rPr>
          <w:rFonts w:hint="eastAsia" w:ascii="微软雅黑" w:hAnsi="微软雅黑" w:eastAsia="微软雅黑" w:cs="微软雅黑"/>
          <w:b/>
          <w:bCs/>
          <w:sz w:val="32"/>
          <w:szCs w:val="40"/>
          <w:lang w:val="en-US" w:eastAsia="zh-CN"/>
        </w:rPr>
      </w:pPr>
    </w:p>
    <w:p w14:paraId="10FFA419">
      <w:pPr>
        <w:jc w:val="center"/>
        <w:rPr>
          <w:rFonts w:hint="eastAsia" w:ascii="微软雅黑" w:hAnsi="微软雅黑" w:eastAsia="微软雅黑" w:cs="微软雅黑"/>
          <w:b/>
          <w:bCs/>
          <w:sz w:val="32"/>
          <w:szCs w:val="40"/>
          <w:lang w:val="en-US" w:eastAsia="zh-CN"/>
        </w:rPr>
      </w:pPr>
    </w:p>
    <w:p w14:paraId="3BF764ED">
      <w:pPr>
        <w:jc w:val="center"/>
        <w:rPr>
          <w:rFonts w:hint="eastAsia" w:ascii="微软雅黑" w:hAnsi="微软雅黑" w:eastAsia="微软雅黑" w:cs="微软雅黑"/>
          <w:b/>
          <w:bCs/>
          <w:sz w:val="32"/>
          <w:szCs w:val="40"/>
          <w:lang w:val="en-US" w:eastAsia="zh-CN"/>
        </w:rPr>
      </w:pPr>
    </w:p>
    <w:p w14:paraId="0572E5A4">
      <w:pPr>
        <w:jc w:val="center"/>
        <w:rPr>
          <w:rFonts w:hint="eastAsia" w:ascii="微软雅黑" w:hAnsi="微软雅黑" w:eastAsia="微软雅黑" w:cs="微软雅黑"/>
          <w:b/>
          <w:bCs/>
          <w:sz w:val="32"/>
          <w:szCs w:val="40"/>
          <w:lang w:val="en-US" w:eastAsia="zh-CN"/>
        </w:rPr>
      </w:pPr>
    </w:p>
    <w:p w14:paraId="39AEF3EE">
      <w:pPr>
        <w:jc w:val="center"/>
        <w:rPr>
          <w:rFonts w:hint="eastAsia" w:ascii="微软雅黑" w:hAnsi="微软雅黑" w:eastAsia="微软雅黑" w:cs="微软雅黑"/>
          <w:b/>
          <w:bCs/>
          <w:sz w:val="32"/>
          <w:szCs w:val="40"/>
          <w:lang w:val="en-US" w:eastAsia="zh-CN"/>
        </w:rPr>
      </w:pPr>
    </w:p>
    <w:p w14:paraId="75958B12">
      <w:pPr>
        <w:jc w:val="center"/>
        <w:rPr>
          <w:rFonts w:hint="eastAsia" w:ascii="微软雅黑" w:hAnsi="微软雅黑" w:eastAsia="微软雅黑" w:cs="微软雅黑"/>
          <w:b/>
          <w:bCs/>
          <w:sz w:val="32"/>
          <w:szCs w:val="40"/>
          <w:lang w:val="en-US" w:eastAsia="zh-CN"/>
        </w:rPr>
      </w:pPr>
    </w:p>
    <w:p w14:paraId="55935C66">
      <w:pPr>
        <w:bidi w:val="0"/>
        <w:rPr>
          <w:rFonts w:hint="default"/>
          <w:lang w:val="en-US" w:eastAsia="zh-CN"/>
        </w:rPr>
      </w:pPr>
    </w:p>
    <w:p w14:paraId="25B1FB69">
      <w:pPr>
        <w:numPr>
          <w:ilvl w:val="0"/>
          <w:numId w:val="1"/>
        </w:numPr>
        <w:bidi w:val="0"/>
        <w:outlineLvl w:val="0"/>
        <w:rPr>
          <w:rFonts w:hint="eastAsia"/>
          <w:b/>
          <w:bCs/>
          <w:lang w:val="en-US" w:eastAsia="zh-CN"/>
        </w:rPr>
      </w:pPr>
      <w:r>
        <w:rPr>
          <w:rFonts w:hint="eastAsia"/>
          <w:b/>
          <w:bCs/>
          <w:lang w:val="en-US" w:eastAsia="zh-CN"/>
        </w:rPr>
        <w:t>开发背景</w:t>
      </w:r>
    </w:p>
    <w:p w14:paraId="093003AD">
      <w:pPr>
        <w:numPr>
          <w:ilvl w:val="0"/>
          <w:numId w:val="0"/>
        </w:numPr>
        <w:bidi w:val="0"/>
        <w:ind w:firstLine="420" w:firstLineChars="0"/>
        <w:rPr>
          <w:rFonts w:hint="eastAsia"/>
          <w:lang w:val="en-US" w:eastAsia="zh-CN"/>
        </w:rPr>
      </w:pPr>
      <w:r>
        <w:rPr>
          <w:rFonts w:hint="eastAsia"/>
          <w:lang w:val="en-US" w:eastAsia="zh-CN"/>
        </w:rPr>
        <w:t>智能体调用大模型能力，分析zeek产出的元数据，并根据给出的分析背景，比如哪些IP是什么业务性质开放了什么端口，局域网内网的网段规划等为要分析的内网IP先预先注入资产背景，然后调用大模型和MCP服务工具，对zeek数据进行检索信息、聚合、关联，分析出潜在的安全威胁事件。</w:t>
      </w:r>
    </w:p>
    <w:p w14:paraId="2271DAA8">
      <w:pPr>
        <w:numPr>
          <w:ilvl w:val="0"/>
          <w:numId w:val="0"/>
        </w:numPr>
        <w:bidi w:val="0"/>
        <w:ind w:firstLine="420" w:firstLineChars="0"/>
        <w:rPr>
          <w:rFonts w:hint="default"/>
          <w:lang w:val="en-US" w:eastAsia="zh-CN"/>
        </w:rPr>
      </w:pPr>
      <w:r>
        <w:rPr>
          <w:rFonts w:hint="eastAsia"/>
          <w:lang w:val="en-US" w:eastAsia="zh-CN"/>
        </w:rPr>
        <w:t>为什么做这件事情：之前用suricata的ET OPEN开源规则集进行快速检测+zeek提供元数据，但是存在很高的误报率而且suricata的ET OPETN并不适用国内的安服环境，特别是在web攻击、护网的周期中，很多攻击渗透并不是通过签名识别检测出来的。所以换个思路，抛弃掉suricata，仍然用zeek提供全量完善的网络元数据，然后开发分析工具MCP包装给智能体，通过行为、聚合、关联、时间回溯、资产背景等维护来动态的分析。这样完全比suricata的检测方式更可靠。</w:t>
      </w:r>
    </w:p>
    <w:p w14:paraId="1B68B32A">
      <w:pPr>
        <w:numPr>
          <w:ilvl w:val="0"/>
          <w:numId w:val="1"/>
        </w:numPr>
        <w:bidi w:val="0"/>
        <w:ind w:left="0" w:leftChars="0" w:firstLine="0" w:firstLineChars="0"/>
        <w:outlineLvl w:val="0"/>
        <w:rPr>
          <w:rFonts w:hint="eastAsia"/>
          <w:b/>
          <w:bCs/>
          <w:lang w:val="en-US" w:eastAsia="zh-CN"/>
        </w:rPr>
      </w:pPr>
      <w:r>
        <w:rPr>
          <w:rFonts w:hint="eastAsia"/>
          <w:b/>
          <w:bCs/>
          <w:lang w:val="en-US" w:eastAsia="zh-CN"/>
        </w:rPr>
        <w:t>开发组件规划</w:t>
      </w:r>
    </w:p>
    <w:p w14:paraId="3ACEA293">
      <w:pPr>
        <w:numPr>
          <w:ilvl w:val="0"/>
          <w:numId w:val="0"/>
        </w:numPr>
        <w:bidi w:val="0"/>
        <w:ind w:firstLine="420" w:firstLineChars="0"/>
        <w:rPr>
          <w:rFonts w:hint="eastAsia"/>
          <w:lang w:val="en-US" w:eastAsia="zh-CN"/>
        </w:rPr>
      </w:pPr>
      <w:r>
        <w:rPr>
          <w:rFonts w:hint="eastAsia"/>
          <w:lang w:val="en-US" w:eastAsia="zh-CN"/>
        </w:rPr>
        <w:t>业务开发组件尽可能采用业界成熟可用的开源组件，避免重复开发。业务开发按照框架层级划分为：采集层、数据处理层、分析层、工具链层、存储层、管理层。</w:t>
      </w:r>
    </w:p>
    <w:p w14:paraId="358F46CA">
      <w:pPr>
        <w:numPr>
          <w:ilvl w:val="0"/>
          <w:numId w:val="0"/>
        </w:numPr>
        <w:bidi w:val="0"/>
        <w:ind w:firstLine="420" w:firstLineChars="0"/>
        <w:rPr>
          <w:rFonts w:hint="eastAsia"/>
          <w:lang w:val="en-US" w:eastAsia="zh-CN"/>
        </w:rPr>
      </w:pPr>
      <w:r>
        <w:rPr>
          <w:rFonts w:hint="eastAsia"/>
          <w:lang w:val="en-US" w:eastAsia="zh-CN"/>
        </w:rPr>
        <w:t>层级之间的关系如下图：</w:t>
      </w:r>
    </w:p>
    <w:p w14:paraId="584DA38C">
      <w:pPr>
        <w:bidi w:val="0"/>
        <w:rPr>
          <w:rFonts w:hint="default"/>
          <w:lang w:val="en-US" w:eastAsia="zh-CN"/>
        </w:rPr>
      </w:pPr>
      <w:r>
        <w:rPr>
          <w:rFonts w:hint="default"/>
          <w:lang w:val="en-US" w:eastAsia="zh-CN"/>
        </w:rPr>
        <w:drawing>
          <wp:inline distT="0" distB="0" distL="114300" distR="114300">
            <wp:extent cx="5268595" cy="2042795"/>
            <wp:effectExtent l="0" t="0" r="8255" b="14605"/>
            <wp:docPr id="2" name="图片 2" descr="智能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智能体架构图"/>
                    <pic:cNvPicPr>
                      <a:picLocks noChangeAspect="1"/>
                    </pic:cNvPicPr>
                  </pic:nvPicPr>
                  <pic:blipFill>
                    <a:blip r:embed="rId4"/>
                    <a:stretch>
                      <a:fillRect/>
                    </a:stretch>
                  </pic:blipFill>
                  <pic:spPr>
                    <a:xfrm>
                      <a:off x="0" y="0"/>
                      <a:ext cx="5268595" cy="2042795"/>
                    </a:xfrm>
                    <a:prstGeom prst="rect">
                      <a:avLst/>
                    </a:prstGeom>
                  </pic:spPr>
                </pic:pic>
              </a:graphicData>
            </a:graphic>
          </wp:inline>
        </w:drawing>
      </w:r>
    </w:p>
    <w:p w14:paraId="54C95F60">
      <w:pPr>
        <w:numPr>
          <w:ilvl w:val="0"/>
          <w:numId w:val="0"/>
        </w:numPr>
        <w:bidi w:val="0"/>
        <w:ind w:firstLine="420" w:firstLineChars="0"/>
        <w:rPr>
          <w:rFonts w:hint="eastAsia"/>
          <w:lang w:val="en-US" w:eastAsia="zh-CN"/>
        </w:rPr>
      </w:pPr>
    </w:p>
    <w:p w14:paraId="15839A6B">
      <w:pPr>
        <w:numPr>
          <w:ilvl w:val="0"/>
          <w:numId w:val="0"/>
        </w:numPr>
        <w:bidi w:val="0"/>
        <w:ind w:firstLine="420" w:firstLineChars="0"/>
        <w:rPr>
          <w:rFonts w:hint="eastAsia"/>
          <w:lang w:val="en-US" w:eastAsia="zh-CN"/>
        </w:rPr>
      </w:pPr>
    </w:p>
    <w:p w14:paraId="2F10AAC7">
      <w:pPr>
        <w:numPr>
          <w:ilvl w:val="0"/>
          <w:numId w:val="0"/>
        </w:numPr>
        <w:bidi w:val="0"/>
        <w:ind w:firstLine="420" w:firstLineChars="0"/>
        <w:rPr>
          <w:rFonts w:hint="eastAsia"/>
          <w:lang w:val="en-US" w:eastAsia="zh-CN"/>
        </w:rPr>
      </w:pPr>
    </w:p>
    <w:p w14:paraId="398C93E2">
      <w:pPr>
        <w:numPr>
          <w:ilvl w:val="0"/>
          <w:numId w:val="0"/>
        </w:numPr>
        <w:bidi w:val="0"/>
        <w:ind w:firstLine="420" w:firstLineChars="0"/>
        <w:rPr>
          <w:rFonts w:hint="default"/>
          <w:lang w:val="en-US" w:eastAsia="zh-CN"/>
        </w:rPr>
      </w:pPr>
      <w:r>
        <w:rPr>
          <w:rFonts w:hint="eastAsia"/>
          <w:lang w:val="en-US" w:eastAsia="zh-CN"/>
        </w:rPr>
        <w:t>组件版本:</w:t>
      </w:r>
    </w:p>
    <w:tbl>
      <w:tblPr>
        <w:tblStyle w:val="2"/>
        <w:tblW w:w="4031" w:type="dxa"/>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900"/>
        <w:gridCol w:w="2131"/>
      </w:tblGrid>
      <w:tr w14:paraId="2F2F968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900" w:type="dxa"/>
            <w:shd w:val="clear" w:color="auto" w:fill="D5E8F0"/>
          </w:tcPr>
          <w:p w14:paraId="0006774E">
            <w:pPr>
              <w:jc w:val="center"/>
              <w:rPr>
                <w:rFonts w:hint="default"/>
                <w:lang w:val="en-US"/>
              </w:rPr>
            </w:pPr>
            <w:r>
              <w:rPr>
                <w:rFonts w:hint="eastAsia"/>
                <w:b/>
                <w:lang w:val="en-US" w:eastAsia="zh-CN"/>
              </w:rPr>
              <w:t>组件名称</w:t>
            </w:r>
          </w:p>
        </w:tc>
        <w:tc>
          <w:tcPr>
            <w:tcW w:w="2131" w:type="dxa"/>
            <w:shd w:val="clear" w:color="auto" w:fill="D5E8F0"/>
          </w:tcPr>
          <w:p w14:paraId="301FD57A">
            <w:pPr>
              <w:jc w:val="center"/>
              <w:rPr>
                <w:rFonts w:hint="default"/>
                <w:lang w:val="en-US"/>
              </w:rPr>
            </w:pPr>
            <w:r>
              <w:rPr>
                <w:rFonts w:hint="eastAsia"/>
                <w:b/>
                <w:lang w:val="en-US" w:eastAsia="zh-CN"/>
              </w:rPr>
              <w:t>版本</w:t>
            </w:r>
          </w:p>
        </w:tc>
      </w:tr>
      <w:tr w14:paraId="6A6966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900" w:type="dxa"/>
          </w:tcPr>
          <w:p w14:paraId="3F430CC2">
            <w:pPr>
              <w:jc w:val="center"/>
              <w:rPr>
                <w:rFonts w:hint="default" w:eastAsia="微软雅黑"/>
                <w:lang w:val="en-US" w:eastAsia="zh-CN"/>
              </w:rPr>
            </w:pPr>
            <w:r>
              <w:rPr>
                <w:rFonts w:hint="eastAsia"/>
                <w:lang w:val="en-US" w:eastAsia="zh-CN"/>
              </w:rPr>
              <w:t>Zeek</w:t>
            </w:r>
          </w:p>
        </w:tc>
        <w:tc>
          <w:tcPr>
            <w:tcW w:w="2131" w:type="dxa"/>
          </w:tcPr>
          <w:p w14:paraId="45795235">
            <w:pPr>
              <w:jc w:val="center"/>
              <w:rPr>
                <w:rFonts w:hint="default" w:eastAsia="微软雅黑"/>
                <w:lang w:val="en-US" w:eastAsia="zh-CN"/>
              </w:rPr>
            </w:pPr>
            <w:r>
              <w:rPr>
                <w:rFonts w:hint="eastAsia"/>
                <w:lang w:val="en-US" w:eastAsia="zh-CN"/>
              </w:rPr>
              <w:t>8.2.2</w:t>
            </w:r>
          </w:p>
        </w:tc>
      </w:tr>
      <w:tr w14:paraId="611128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900" w:type="dxa"/>
          </w:tcPr>
          <w:p w14:paraId="02A1066C">
            <w:pPr>
              <w:jc w:val="center"/>
              <w:rPr>
                <w:rFonts w:hint="default" w:eastAsia="微软雅黑"/>
                <w:lang w:val="en-US" w:eastAsia="zh-CN"/>
              </w:rPr>
            </w:pPr>
            <w:r>
              <w:rPr>
                <w:rFonts w:hint="eastAsia"/>
                <w:lang w:val="en-US" w:eastAsia="zh-CN"/>
              </w:rPr>
              <w:t>ELK</w:t>
            </w:r>
          </w:p>
        </w:tc>
        <w:tc>
          <w:tcPr>
            <w:tcW w:w="2131" w:type="dxa"/>
          </w:tcPr>
          <w:p w14:paraId="7B766FF5">
            <w:pPr>
              <w:jc w:val="center"/>
              <w:rPr>
                <w:rFonts w:hint="default" w:eastAsia="微软雅黑"/>
                <w:lang w:val="en-US" w:eastAsia="zh-CN"/>
              </w:rPr>
            </w:pPr>
            <w:r>
              <w:rPr>
                <w:rFonts w:hint="eastAsia"/>
                <w:lang w:val="en-US" w:eastAsia="zh-CN"/>
              </w:rPr>
              <w:t>9.5.2</w:t>
            </w:r>
          </w:p>
        </w:tc>
      </w:tr>
      <w:tr w14:paraId="5684EBE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900" w:type="dxa"/>
          </w:tcPr>
          <w:p w14:paraId="21D4E78E">
            <w:pPr>
              <w:jc w:val="center"/>
              <w:rPr>
                <w:rFonts w:hint="default" w:eastAsia="微软雅黑"/>
                <w:lang w:val="en-US" w:eastAsia="zh-CN"/>
              </w:rPr>
            </w:pPr>
            <w:r>
              <w:rPr>
                <w:rFonts w:hint="eastAsia"/>
                <w:lang w:val="en-US" w:eastAsia="zh-CN"/>
              </w:rPr>
              <w:t>Redis</w:t>
            </w:r>
          </w:p>
        </w:tc>
        <w:tc>
          <w:tcPr>
            <w:tcW w:w="2131" w:type="dxa"/>
          </w:tcPr>
          <w:p w14:paraId="72E22297">
            <w:pPr>
              <w:jc w:val="center"/>
              <w:rPr>
                <w:rFonts w:hint="default" w:eastAsia="微软雅黑"/>
                <w:lang w:val="en-US" w:eastAsia="zh-CN"/>
              </w:rPr>
            </w:pPr>
            <w:r>
              <w:rPr>
                <w:rFonts w:hint="eastAsia"/>
                <w:lang w:val="en-US" w:eastAsia="zh-CN"/>
              </w:rPr>
              <w:t>8.10.1</w:t>
            </w:r>
          </w:p>
        </w:tc>
      </w:tr>
    </w:tbl>
    <w:p w14:paraId="247601CB">
      <w:pPr>
        <w:numPr>
          <w:ilvl w:val="0"/>
          <w:numId w:val="0"/>
        </w:numPr>
        <w:bidi w:val="0"/>
        <w:ind w:firstLine="420" w:firstLineChars="0"/>
        <w:outlineLvl w:val="0"/>
        <w:rPr>
          <w:rFonts w:hint="eastAsia"/>
          <w:b/>
          <w:bCs/>
          <w:lang w:val="en-US" w:eastAsia="zh-CN"/>
        </w:rPr>
      </w:pPr>
      <w:r>
        <w:rPr>
          <w:rFonts w:hint="eastAsia"/>
          <w:b/>
          <w:bCs/>
          <w:lang w:val="en-US" w:eastAsia="zh-CN"/>
        </w:rPr>
        <w:t>三、组件功能设计</w:t>
      </w:r>
    </w:p>
    <w:p w14:paraId="01B3DA91">
      <w:pPr>
        <w:numPr>
          <w:ilvl w:val="0"/>
          <w:numId w:val="2"/>
        </w:numPr>
        <w:bidi w:val="0"/>
        <w:ind w:left="0" w:leftChars="0" w:firstLine="420" w:firstLineChars="0"/>
        <w:outlineLvl w:val="1"/>
        <w:rPr>
          <w:rFonts w:hint="default"/>
          <w:lang w:val="en-US" w:eastAsia="zh-CN"/>
        </w:rPr>
      </w:pPr>
      <w:r>
        <w:rPr>
          <w:rFonts w:hint="eastAsia"/>
          <w:lang w:val="en-US" w:eastAsia="zh-CN"/>
        </w:rPr>
        <w:t>zeek管理</w:t>
      </w:r>
    </w:p>
    <w:p w14:paraId="307DE505">
      <w:pPr>
        <w:numPr>
          <w:ilvl w:val="0"/>
          <w:numId w:val="0"/>
        </w:numPr>
        <w:bidi w:val="0"/>
        <w:ind w:left="420" w:leftChars="0" w:firstLine="420" w:firstLineChars="0"/>
        <w:rPr>
          <w:rFonts w:hint="eastAsia"/>
          <w:lang w:val="en-US" w:eastAsia="zh-CN"/>
        </w:rPr>
      </w:pPr>
      <w:r>
        <w:rPr>
          <w:rFonts w:hint="eastAsia"/>
          <w:lang w:val="en-US" w:eastAsia="zh-CN"/>
        </w:rPr>
        <w:t>基于官方zeek8.2.2版本开发，开发内置通用检测脚本(不含硬编码IP、域名等指标根据行为特征和攻击威胁特征进行检测)。用户界面提供自定义编写界面，根据局域网内的资产特性编写指定IP的检测逻辑，填写方式为表格选项设置。用户对zeek的运行监控网卡、内网网段定义。Zeek的重新加载提供界面管理。对zeek的元数据定期清理提供用户界面的创建计划任务。</w:t>
      </w:r>
    </w:p>
    <w:p w14:paraId="7F482682">
      <w:pPr>
        <w:numPr>
          <w:ilvl w:val="0"/>
          <w:numId w:val="2"/>
        </w:numPr>
        <w:bidi w:val="0"/>
        <w:ind w:left="0" w:leftChars="0" w:firstLine="420" w:firstLineChars="0"/>
        <w:outlineLvl w:val="1"/>
        <w:rPr>
          <w:rFonts w:hint="default"/>
          <w:lang w:val="en-US" w:eastAsia="zh-CN"/>
        </w:rPr>
      </w:pPr>
      <w:r>
        <w:rPr>
          <w:rFonts w:hint="eastAsia"/>
          <w:lang w:val="en-US" w:eastAsia="zh-CN"/>
        </w:rPr>
        <w:t>ELK管理</w:t>
      </w:r>
    </w:p>
    <w:p w14:paraId="299FF1F7">
      <w:pPr>
        <w:numPr>
          <w:ilvl w:val="0"/>
          <w:numId w:val="0"/>
        </w:numPr>
        <w:bidi w:val="0"/>
        <w:ind w:left="420" w:leftChars="0" w:firstLine="420" w:firstLineChars="0"/>
        <w:rPr>
          <w:rFonts w:hint="eastAsia"/>
          <w:lang w:val="en-US" w:eastAsia="zh-CN"/>
        </w:rPr>
      </w:pPr>
      <w:r>
        <w:rPr>
          <w:rFonts w:hint="eastAsia"/>
          <w:lang w:val="en-US" w:eastAsia="zh-CN"/>
        </w:rPr>
        <w:t>用户界面对Elasticsearch的数据流生命周期进行管理，可创建编写数据定期清理策略。副本机制，默认单副本。Elasticsearch的配置加载。</w:t>
      </w:r>
    </w:p>
    <w:p w14:paraId="2BD297FA">
      <w:pPr>
        <w:numPr>
          <w:ilvl w:val="0"/>
          <w:numId w:val="0"/>
        </w:numPr>
        <w:bidi w:val="0"/>
        <w:ind w:left="420" w:leftChars="0" w:firstLine="420" w:firstLineChars="0"/>
        <w:rPr>
          <w:rFonts w:hint="eastAsia"/>
          <w:lang w:val="en-US" w:eastAsia="zh-CN"/>
        </w:rPr>
      </w:pPr>
      <w:r>
        <w:rPr>
          <w:rFonts w:hint="eastAsia"/>
          <w:lang w:val="en-US" w:eastAsia="zh-CN"/>
        </w:rPr>
        <w:t>对logstash的配置进行管理，主要针对logstash的富化内容进行参数配置管理。Logstash默认内置强制采用elastic_integration_filter方式来中继elasticagent采集的数据进行富化处理，通过[@metadata]方式在不改变elasticagent输入的日志结构基础上进行富化内容的添加，添加的内容与字段是设计为安全智能体提供分析服务丰富指标使用的，可以在此阶段引入IOC匹配检测打上命中标签等。</w:t>
      </w:r>
    </w:p>
    <w:p w14:paraId="023CEEF9">
      <w:pPr>
        <w:numPr>
          <w:ilvl w:val="0"/>
          <w:numId w:val="0"/>
        </w:numPr>
        <w:bidi w:val="0"/>
        <w:ind w:left="420" w:leftChars="0" w:firstLine="420" w:firstLineChars="0"/>
        <w:rPr>
          <w:rFonts w:hint="default"/>
          <w:lang w:val="en-US" w:eastAsia="zh-CN"/>
        </w:rPr>
      </w:pPr>
      <w:r>
        <w:rPr>
          <w:rFonts w:hint="eastAsia"/>
          <w:lang w:val="en-US" w:eastAsia="zh-CN"/>
        </w:rPr>
        <w:t>对kibana主要是数据仪表盘的聚合调用使用，进行一些常用数据看板聚合可视化嵌入用户的安全分析中心的仪表盘中。</w:t>
      </w:r>
    </w:p>
    <w:p w14:paraId="0606A5CC">
      <w:pPr>
        <w:numPr>
          <w:ilvl w:val="0"/>
          <w:numId w:val="2"/>
        </w:numPr>
        <w:bidi w:val="0"/>
        <w:ind w:left="0" w:leftChars="0" w:firstLine="420" w:firstLineChars="0"/>
        <w:outlineLvl w:val="1"/>
        <w:rPr>
          <w:rFonts w:hint="default"/>
          <w:lang w:val="en-US" w:eastAsia="zh-CN"/>
        </w:rPr>
      </w:pPr>
      <w:r>
        <w:rPr>
          <w:rFonts w:hint="eastAsia"/>
          <w:lang w:val="en-US" w:eastAsia="zh-CN"/>
        </w:rPr>
        <w:t>智能体管理</w:t>
      </w:r>
    </w:p>
    <w:p w14:paraId="61D1D47D">
      <w:pPr>
        <w:numPr>
          <w:ilvl w:val="0"/>
          <w:numId w:val="0"/>
        </w:numPr>
        <w:bidi w:val="0"/>
        <w:ind w:left="420" w:leftChars="0" w:firstLine="420" w:firstLineChars="0"/>
        <w:rPr>
          <w:rFonts w:hint="default"/>
          <w:lang w:val="en-US" w:eastAsia="zh-CN"/>
        </w:rPr>
      </w:pPr>
      <w:r>
        <w:rPr>
          <w:rFonts w:hint="eastAsia"/>
          <w:lang w:val="en-US" w:eastAsia="zh-CN"/>
        </w:rPr>
        <w:t>用户界面提供对智能体的提示词管理，提示词是为智能体提供场景分析IP的内网具体背景的。用户界面提供对智能体的可视化可观测性，提供对智能体的LLM接入配置，当前为配置接入本地LLM。智能体作为纯后端分析引擎规范约束输入输出的内容格式，根据模型推理自助决定工具链层提供的MCP服务调用什么工具，传入哪些参数，智能体不提供用户层的对话窗口只作为后台常驻自动运行的分析引擎。用户界面创建智能体分析任务，指定实时监控内网资产IP，一旦有es更新日志文件产生就触发智能体进行分析。</w:t>
      </w:r>
    </w:p>
    <w:p w14:paraId="42537826">
      <w:pPr>
        <w:numPr>
          <w:ilvl w:val="0"/>
          <w:numId w:val="2"/>
        </w:numPr>
        <w:bidi w:val="0"/>
        <w:ind w:left="0" w:leftChars="0" w:firstLine="420" w:firstLineChars="0"/>
        <w:outlineLvl w:val="1"/>
        <w:rPr>
          <w:rFonts w:hint="default"/>
          <w:lang w:val="en-US" w:eastAsia="zh-CN"/>
        </w:rPr>
      </w:pPr>
      <w:r>
        <w:rPr>
          <w:rFonts w:hint="eastAsia"/>
          <w:lang w:val="en-US" w:eastAsia="zh-CN"/>
        </w:rPr>
        <w:t>大模型选择</w:t>
      </w:r>
    </w:p>
    <w:p w14:paraId="57C26B66">
      <w:pPr>
        <w:numPr>
          <w:ilvl w:val="0"/>
          <w:numId w:val="0"/>
        </w:numPr>
        <w:bidi w:val="0"/>
        <w:ind w:left="420" w:leftChars="0" w:firstLine="420" w:firstLineChars="0"/>
        <w:rPr>
          <w:rFonts w:hint="eastAsia"/>
          <w:lang w:val="en-US" w:eastAsia="zh-CN"/>
        </w:rPr>
      </w:pPr>
      <w:r>
        <w:rPr>
          <w:rFonts w:hint="eastAsia"/>
          <w:lang w:val="en-US" w:eastAsia="zh-CN"/>
        </w:rPr>
        <w:t>为了应付常驻实时后台分析的token开销，本地LLM模型计划采用</w:t>
      </w:r>
      <w:r>
        <w:t>xLAM-2-1b-fc-r</w:t>
      </w:r>
      <w:r>
        <w:rPr>
          <w:rFonts w:hint="eastAsia"/>
          <w:lang w:val="en-US" w:eastAsia="zh-CN"/>
        </w:rPr>
        <w:t>这种边缘模型，在纯CPU服务器环境上运行，CPU支持AVX2 可分配6核心/12G内存为本地模型专享运行环境。快速处理简单分析事物和工具调用，复杂任务升级为云端模型商提供的模型服务。</w:t>
      </w:r>
      <w:r>
        <w:rPr>
          <w:rFonts w:hint="eastAsia"/>
          <w:lang w:val="en-US" w:eastAsia="zh-CN"/>
        </w:rPr>
        <w:t>部署前提：智能体的部署使用环境必须能够连接互联网，复杂任务方可升级至云端模型服务；离线/物理隔离环境不在本方案支持范围内。</w:t>
      </w:r>
    </w:p>
    <w:p w14:paraId="15BE9C2B">
      <w:pPr>
        <w:numPr>
          <w:ilvl w:val="0"/>
          <w:numId w:val="2"/>
        </w:numPr>
        <w:bidi w:val="0"/>
        <w:ind w:left="0" w:leftChars="0" w:firstLine="420" w:firstLineChars="0"/>
        <w:outlineLvl w:val="1"/>
        <w:rPr>
          <w:rFonts w:hint="default"/>
          <w:lang w:val="en-US" w:eastAsia="zh-CN"/>
        </w:rPr>
      </w:pPr>
      <w:r>
        <w:rPr>
          <w:rFonts w:hint="eastAsia"/>
          <w:lang w:val="en-US" w:eastAsia="zh-CN"/>
        </w:rPr>
        <w:t>数据总线设计</w:t>
      </w:r>
    </w:p>
    <w:p w14:paraId="2C3F1C95">
      <w:pPr>
        <w:bidi w:val="0"/>
        <w:jc w:val="center"/>
        <w:rPr>
          <w:rFonts w:hint="default"/>
          <w:lang w:val="en-US" w:eastAsia="zh-CN"/>
        </w:rPr>
      </w:pPr>
      <w:r>
        <w:rPr>
          <w:rFonts w:hint="default"/>
          <w:lang w:val="en-US" w:eastAsia="zh-CN"/>
        </w:rPr>
        <w:drawing>
          <wp:inline distT="0" distB="0" distL="114300" distR="114300">
            <wp:extent cx="3089275" cy="3456940"/>
            <wp:effectExtent l="0" t="0" r="15875" b="10160"/>
            <wp:docPr id="3" name="图片 3" descr="智能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智能体架构图"/>
                    <pic:cNvPicPr>
                      <a:picLocks noChangeAspect="1"/>
                    </pic:cNvPicPr>
                  </pic:nvPicPr>
                  <pic:blipFill>
                    <a:blip r:embed="rId5"/>
                    <a:stretch>
                      <a:fillRect/>
                    </a:stretch>
                  </pic:blipFill>
                  <pic:spPr>
                    <a:xfrm>
                      <a:off x="0" y="0"/>
                      <a:ext cx="3089275" cy="3456940"/>
                    </a:xfrm>
                    <a:prstGeom prst="rect">
                      <a:avLst/>
                    </a:prstGeom>
                  </pic:spPr>
                </pic:pic>
              </a:graphicData>
            </a:graphic>
          </wp:inline>
        </w:drawing>
      </w:r>
      <w:bookmarkStart w:id="0" w:name="_GoBack"/>
      <w:bookmarkEnd w:id="0"/>
    </w:p>
    <w:p w14:paraId="54DCF749">
      <w:pPr>
        <w:numPr>
          <w:ilvl w:val="0"/>
          <w:numId w:val="2"/>
        </w:numPr>
        <w:bidi w:val="0"/>
        <w:ind w:left="0" w:leftChars="0" w:firstLine="420" w:firstLineChars="0"/>
        <w:outlineLvl w:val="1"/>
        <w:rPr>
          <w:rFonts w:hint="default"/>
          <w:lang w:val="en-US" w:eastAsia="zh-CN"/>
        </w:rPr>
      </w:pPr>
      <w:r>
        <w:rPr>
          <w:rFonts w:hint="eastAsia"/>
          <w:lang w:val="en-US" w:eastAsia="zh-CN"/>
        </w:rPr>
        <w:t>Redis分析结果缓存</w:t>
      </w:r>
    </w:p>
    <w:p w14:paraId="4F125540">
      <w:pPr>
        <w:ind w:left="420" w:leftChars="0" w:firstLine="420" w:firstLineChars="0"/>
        <w:rPr>
          <w:rFonts w:hint="default"/>
          <w:lang w:val="en-US" w:eastAsia="zh-CN"/>
        </w:rPr>
      </w:pPr>
      <w:r>
        <w:rPr>
          <w:rFonts w:hint="eastAsia"/>
          <w:lang w:val="en-US" w:eastAsia="zh-CN"/>
        </w:rPr>
        <w:t>为避免对相同会话重复调用大模型分析，引入Redis作为分析结果缓存层。智能体每次被ES新日志触发后，先以会话键检索Redis，命中则直接复用既有结论；未命中才调用LLM+MCP完整分析，并将结论回写Redis并设置TTL。定位为“去重窗口”而非永久结论，兼顾实时性与token开销。</w:t>
      </w:r>
    </w:p>
    <w:p w14:paraId="02086826">
      <w:pPr>
        <w:ind w:left="420" w:leftChars="0" w:firstLine="420" w:firstLineChars="0"/>
        <w:rPr>
          <w:rFonts w:hint="default"/>
          <w:lang w:val="en-US" w:eastAsia="zh-CN"/>
        </w:rPr>
      </w:pPr>
      <w:r>
        <w:rPr>
          <w:rFonts w:hint="eastAsia"/>
          <w:lang w:val="en-US" w:eastAsia="zh-CN"/>
        </w:rPr>
        <w:t>键设计（精确表征会话方向）：</w:t>
      </w:r>
    </w:p>
    <w:p w14:paraId="173054AA">
      <w:pPr>
        <w:ind w:left="420" w:leftChars="0" w:firstLine="420" w:firstLineChars="0"/>
        <w:rPr>
          <w:rFonts w:hint="default"/>
          <w:lang w:val="en-US" w:eastAsia="zh-CN"/>
        </w:rPr>
      </w:pPr>
      <w:r>
        <w:rPr>
          <w:rFonts w:hint="eastAsia"/>
          <w:lang w:val="en-US" w:eastAsia="zh-CN"/>
        </w:rPr>
        <w:t>agent:result:{源IP}:{源端口}|{目标IP}:{目标端口}以“|”分隔通信两端、“:”分隔地址与端口，前缀agent:result:作命名空间；A→B与B→A为不同键，符合通信行为语义，并便于按前缀监控与批量清理。值采用JSON结构，含risk_level、verdict、evidence、suggest_action、model、created_at及数据结构版本ver字段，便于后续兼容升级。</w:t>
      </w:r>
    </w:p>
    <w:p w14:paraId="4D235EE4">
      <w:pPr>
        <w:ind w:left="420" w:leftChars="0" w:firstLine="420" w:firstLineChars="0"/>
        <w:rPr>
          <w:rFonts w:hint="default"/>
          <w:lang w:val="en-US" w:eastAsia="zh-CN"/>
        </w:rPr>
      </w:pPr>
      <w:r>
        <w:rPr>
          <w:rFonts w:hint="eastAsia"/>
          <w:lang w:val="en-US" w:eastAsia="zh-CN"/>
        </w:rPr>
        <w:t>核心分析流程（五段式）：Logstash 双写（ES 存储 + Redis Streams 事件总线）→ 消费组按批处理窗口批量拉取 → 聚合器按会话键分组并做 BEH 预匹配与摘要压缩 → 调度器按会话水位判定分支（水位未变=复用缓存结论、水位有新增=增量分析、无缓存=全新分析）→ 执行器调用本地/云端模型，原子回写结论与水位，成功后 XACK。仅完整分析成功后才回写，失败/超时不会写入错误结论，避免污染缓存。</w:t>
      </w:r>
    </w:p>
    <w:p w14:paraId="424EBC1E">
      <w:pPr>
        <w:rPr>
          <w:rFonts w:hint="default"/>
          <w:lang w:val="en-US" w:eastAsia="zh-CN"/>
        </w:rPr>
      </w:pPr>
      <w:r>
        <w:rPr>
          <w:rFonts w:hint="eastAsia"/>
          <w:lang w:val="en-US" w:eastAsia="zh-CN"/>
        </w:rPr>
        <w:t>缓存策略与关键决策：</w:t>
      </w:r>
    </w:p>
    <w:tbl>
      <w:tblPr>
        <w:tblStyle w:val="2"/>
        <w:tblW w:w="830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900"/>
        <w:gridCol w:w="6406"/>
      </w:tblGrid>
      <w:tr w14:paraId="3BA55FF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900" w:type="dxa"/>
            <w:shd w:val="clear" w:color="auto" w:fill="D5E8F0"/>
          </w:tcPr>
          <w:p w14:paraId="5110A364">
            <w:pPr>
              <w:jc w:val="center"/>
            </w:pPr>
            <w:r>
              <w:rPr>
                <w:rFonts w:hint="eastAsia"/>
                <w:b/>
                <w:lang w:val="en-US" w:eastAsia="zh-CN"/>
              </w:rPr>
              <w:t>决策项</w:t>
            </w:r>
          </w:p>
        </w:tc>
        <w:tc>
          <w:tcPr>
            <w:tcW w:w="6406" w:type="dxa"/>
            <w:shd w:val="clear" w:color="auto" w:fill="D5E8F0"/>
          </w:tcPr>
          <w:p w14:paraId="7016B0D5">
            <w:pPr>
              <w:jc w:val="center"/>
            </w:pPr>
            <w:r>
              <w:rPr>
                <w:rFonts w:hint="eastAsia"/>
                <w:b/>
                <w:lang w:val="en-US" w:eastAsia="zh-CN"/>
              </w:rPr>
              <w:t>说明</w:t>
            </w:r>
          </w:p>
        </w:tc>
      </w:tr>
      <w:tr w14:paraId="0B1B95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900" w:type="dxa"/>
          </w:tcPr>
          <w:p w14:paraId="2C6001CF">
            <w:r>
              <w:rPr>
                <w:rFonts w:hint="eastAsia"/>
                <w:lang w:val="en-US" w:eastAsia="zh-CN"/>
              </w:rPr>
              <w:t>TTL默认1小时</w:t>
            </w:r>
          </w:p>
        </w:tc>
        <w:tc>
          <w:tcPr>
            <w:tcW w:w="6406" w:type="dxa"/>
          </w:tcPr>
          <w:p w14:paraId="24F87FB5">
            <w:r>
              <w:rPr>
                <w:rFonts w:hint="eastAsia"/>
                <w:lang w:val="en-US" w:eastAsia="zh-CN"/>
              </w:rPr>
              <w:t>定位为去重窗口，过期后重现的会话会重新分析，保证结论不过度陈旧；高危结论可单独延长TTL。</w:t>
            </w:r>
          </w:p>
        </w:tc>
      </w:tr>
      <w:tr w14:paraId="657F66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900" w:type="dxa"/>
          </w:tcPr>
          <w:p w14:paraId="5383315B">
            <w:r>
              <w:rPr>
                <w:rFonts w:hint="eastAsia"/>
                <w:lang w:val="en-US" w:eastAsia="zh-CN"/>
              </w:rPr>
              <w:t>主动失效联动</w:t>
            </w:r>
          </w:p>
        </w:tc>
        <w:tc>
          <w:tcPr>
            <w:tcW w:w="6406" w:type="dxa"/>
          </w:tcPr>
          <w:p w14:paraId="0D6DA57D">
            <w:r>
              <w:rPr>
                <w:rFonts w:hint="eastAsia"/>
                <w:lang w:val="en-US" w:eastAsia="zh-CN"/>
              </w:rPr>
              <w:t>资产背景/提示词变更或人工标记“需重新分析”时，按前缀批量删除相关键，解决背景变化导致旧结论失真问题。</w:t>
            </w:r>
          </w:p>
        </w:tc>
      </w:tr>
      <w:tr w14:paraId="2505C7E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900" w:type="dxa"/>
          </w:tcPr>
          <w:p w14:paraId="48141D7F">
            <w:r>
              <w:rPr>
                <w:rFonts w:hint="eastAsia"/>
                <w:lang w:val="en-US" w:eastAsia="zh-CN"/>
              </w:rPr>
              <w:t>防缓存穿透</w:t>
            </w:r>
          </w:p>
        </w:tc>
        <w:tc>
          <w:tcPr>
            <w:tcW w:w="6406" w:type="dxa"/>
          </w:tcPr>
          <w:p w14:paraId="75E26D4F">
            <w:r>
              <w:rPr>
                <w:rFonts w:hint="eastAsia"/>
                <w:lang w:val="en-US" w:eastAsia="zh-CN"/>
              </w:rPr>
              <w:t>对极少出现的扫描会话可写入verdict=skip的短TTL空结论，防止反复穿透到模型。</w:t>
            </w:r>
          </w:p>
        </w:tc>
      </w:tr>
      <w:tr w14:paraId="1966DC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900" w:type="dxa"/>
          </w:tcPr>
          <w:p w14:paraId="11796A72">
            <w:r>
              <w:rPr>
                <w:rFonts w:hint="eastAsia"/>
                <w:lang w:val="en-US" w:eastAsia="zh-CN"/>
              </w:rPr>
              <w:t>资源评估</w:t>
            </w:r>
          </w:p>
        </w:tc>
        <w:tc>
          <w:tcPr>
            <w:tcW w:w="6406" w:type="dxa"/>
          </w:tcPr>
          <w:p w14:paraId="6569BDDF">
            <w:r>
              <w:rPr>
                <w:rFonts w:hint="eastAsia"/>
                <w:lang w:val="en-US" w:eastAsia="zh-CN"/>
              </w:rPr>
              <w:t>单条约1∼2KB，10万条约150MB，1GB内存即可；单机Redis 6+足够，无需分布式。</w:t>
            </w:r>
          </w:p>
        </w:tc>
      </w:tr>
      <w:tr w14:paraId="4DC695C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900" w:type="dxa"/>
          </w:tcPr>
          <w:p w14:paraId="0E0B40DC">
            <w:r>
              <w:rPr>
                <w:rFonts w:hint="eastAsia"/>
                <w:lang w:val="en-US" w:eastAsia="zh-CN"/>
              </w:rPr>
              <w:t>管理层UI新增</w:t>
            </w:r>
          </w:p>
        </w:tc>
        <w:tc>
          <w:tcPr>
            <w:tcW w:w="6406" w:type="dxa"/>
          </w:tcPr>
          <w:p w14:paraId="09181B3F">
            <w:r>
              <w:rPr>
                <w:rFonts w:hint="eastAsia"/>
                <w:lang w:val="en-US" w:eastAsia="zh-CN"/>
              </w:rPr>
              <w:t>“缓存管理”界面：TTL配置、按前缀手动清理、命中率趋势图，与现有Zeek/ES管理界面风格统一。</w:t>
            </w:r>
          </w:p>
        </w:tc>
      </w:tr>
    </w:tbl>
    <w:p w14:paraId="12E67F9D">
      <w:pPr>
        <w:ind w:firstLine="420" w:firstLineChars="0"/>
        <w:rPr>
          <w:rFonts w:hint="eastAsia"/>
          <w:lang w:val="en-US" w:eastAsia="zh-CN"/>
        </w:rPr>
      </w:pPr>
      <w:r>
        <w:rPr>
          <w:rFonts w:hint="eastAsia"/>
          <w:lang w:val="en-US" w:eastAsia="zh-CN"/>
        </w:rPr>
        <w:t>与原六层架构的集成：本缓存层作为分析层的“前置短路”接入，不改变既有采集/数据处理/工具链/存储/管理层职责；存储层新增Redis组件，管理层新增缓存管理子模块。后续可演进为“小模型初筛+大模型复核”分级研判，并结合RAG资产知识库与缓存预热进一步提升效率。</w:t>
      </w:r>
    </w:p>
    <w:p w14:paraId="54DCF749">
      <w:pPr>
        <w:numPr>
          <w:ilvl w:val="0"/>
          <w:numId w:val="2"/>
        </w:numPr>
        <w:bidi w:val="0"/>
        <w:ind w:left="0" w:leftChars="0" w:firstLine="420" w:firstLineChars="0"/>
        <w:outlineLvl w:val="1"/>
        <w:rPr>
          <w:rFonts w:hint="default"/>
          <w:lang w:val="en-US" w:eastAsia="zh-CN"/>
        </w:rPr>
      </w:pPr>
      <w:r>
        <w:rPr>
          <w:rFonts w:hint="eastAsia"/>
          <w:lang w:val="en-US" w:eastAsia="zh-CN"/>
        </w:rPr>
        <w:t xml:space="preserve">核心链路设计：触发、队列与水位</w:t>
      </w:r>
    </w:p>
    <w:p w14:paraId="12E67F9D">
      <w:pPr>
        <w:ind w:firstLine="420" w:firstLineChars="0"/>
        <w:rPr>
          <w:rFonts w:hint="eastAsia"/>
          <w:lang w:val="en-US" w:eastAsia="zh-CN"/>
        </w:rPr>
      </w:pPr>
      <w:r>
        <w:rPr>
          <w:rFonts w:hint="eastAsia"/>
          <w:lang w:val="en-US" w:eastAsia="zh-CN"/>
        </w:rPr>
        <w:t xml:space="preserve">本小节将原“ES新日志触发智能体”的简化描述落地为三个可实现的机制：触发（如何感知新数据）、队列（如何缓冲与防风暴）、水位（如何识别已处理进度），三者共同保证 at-least-once 语义下的幂等增量分析。</w:t>
      </w:r>
    </w:p>
    <w:p w14:paraId="12E67F9D">
      <w:pPr>
        <w:ind w:firstLine="420" w:firstLineChars="0"/>
        <w:rPr>
          <w:rFonts w:hint="eastAsia"/>
          <w:lang w:val="en-US" w:eastAsia="zh-CN"/>
        </w:rPr>
      </w:pPr>
      <w:r>
        <w:rPr>
          <w:rFonts w:hint="eastAsia"/>
          <w:lang w:val="en-US" w:eastAsia="zh-CN"/>
        </w:rPr>
        <w:t xml:space="preserve">触发：Zeek 日志经 Logstash 一个 pipeline 双写——一份写入 Elasticsearch 用于存储检索，另一份以事件信封（event_id、五元组、@timestamp、富化标签）发布至 Redis Streams；分析触发源即为 Stream 新条目，不再依赖“ES 文件更新”。原始日志全文不进队列，分析时按需回查 ES。降级模式：Redis 不可用时按 ES 摄入时间戳做水位轮询（search_after 增量拉取）。</w:t>
      </w:r>
    </w:p>
    <w:p w14:paraId="12E67F9D">
      <w:pPr>
        <w:ind w:firstLine="420" w:firstLineChars="0"/>
        <w:rPr>
          <w:rFonts w:hint="eastAsia"/>
          <w:lang w:val="en-US" w:eastAsia="zh-CN"/>
        </w:rPr>
      </w:pPr>
      <w:r>
        <w:rPr>
          <w:rFonts w:hint="eastAsia"/>
          <w:lang w:val="en-US" w:eastAsia="zh-CN"/>
        </w:rPr>
        <w:t xml:space="preserve">队列：采用 Redis Streams 消费组（analysis-group）并行消费，替代无持久化的 Pub/Sub。worker 不逐条处理，按批处理窗口攒批（达到 1000 条或 5 秒，先到先触发）后提交，避免日志风暴打爆模型。背压策略：监控 Stream 长度与消费延迟，积压时逐级降级——扩容 worker → 纯规则判定暂不送模型 → 暂停云端升级，同时告警积压。可靠性：Logstash 持久队列作为一级缓冲，Redis Streams 作为二级缓冲，worker 崩溃后由 XAUTOCLAIM 重投滞留条目；每条事件带 event_id 用于幂等去重。</w:t>
      </w:r>
    </w:p>
    <w:p w14:paraId="12E67F9D">
      <w:pPr>
        <w:ind w:firstLine="420" w:firstLineChars="0"/>
        <w:rPr>
          <w:rFonts w:hint="eastAsia"/>
          <w:lang w:val="en-US" w:eastAsia="zh-CN"/>
        </w:rPr>
      </w:pPr>
      <w:r>
        <w:rPr>
          <w:rFonts w:hint="eastAsia"/>
          <w:lang w:val="en-US" w:eastAsia="zh-CN"/>
        </w:rPr>
        <w:t xml:space="preserve">水位：采用两级水位。事件级水位以 evt:{event_id}（SETNX，TTL 24h）标记已处理事件，保证重放幂等；会话级水位将 watermark（last_event_id、last_ts、event_count）存入缓存结论，调度器据此判定：新事件水位 ≤ 缓存水位则直接复用结论（不调模型）；新事件水位 &gt; 缓存水位则执行增量分析（旧结论摘要 + 新证据摘要）；无缓存则全新分析。水位与结论必须在同一 Redis Lua 脚本内原子更新，XACK 在写回成功后才执行，避免中间态与半截结论。</w:t>
      </w:r>
    </w:p>
    <w:p w14:paraId="12E67F9D">
      <w:pPr>
        <w:ind w:firstLine="420" w:firstLineChars="0"/>
        <w:rPr>
          <w:rFonts w:hint="eastAsia"/>
          <w:lang w:val="en-US" w:eastAsia="zh-CN"/>
        </w:rPr>
      </w:pPr>
      <w:r>
        <w:rPr>
          <w:rFonts w:hint="eastAsia"/>
          <w:lang w:val="en-US" w:eastAsia="zh-CN"/>
        </w:rPr>
        <w:t xml:space="preserve">示例：10:00:05 会话 S 到来 e1~e3 → 全量分析并写回（watermark=e3）；10:00:07 同会话到来 e4、e5 → 水位有新增 → 增量分析并更新 watermark=e5；10:00:09 崩溃重放 e4、e5 → 水位已覆盖 → 直接复用结论，不重复调用模型。</w:t>
      </w:r>
    </w:p>
    <w:p w14:paraId="12E67F9D">
      <w:pPr>
        <w:ind w:firstLine="420" w:firstLineChars="0"/>
        <w:rPr>
          <w:rFonts w:hint="eastAsia"/>
          <w:lang w:val="en-US" w:eastAsia="zh-CN"/>
        </w:rPr>
      </w:pPr>
      <w:r>
        <w:rPr>
          <w:rFonts w:hint="eastAsia"/>
          <w:lang w:val="en-US" w:eastAsia="zh-CN"/>
        </w:rPr>
        <w:t xml:space="preserve">配套调整：缓存会话键由“源IP:源端口|目标IP:目标端口”的连接级粒度改为流/服务级粒度 sess:{源IP}:{目标IP}:{目标端口}:{协议}，避免临时源端口造成键碎片化与低命中率；IPv6 地址以规范化或哈希形式存储，避免冒号冲突；A→B 与 B→A 的方向语义通过键内字段保留。</w:t>
      </w:r>
    </w:p>
    <w:p w14:paraId="0CC5C36B">
      <w:pPr>
        <w:ind w:firstLine="420" w:firstLineChars="0"/>
        <w:rPr>
          <w:rFonts w:hint="eastAsia"/>
          <w:lang w:val="en-US" w:eastAsia="zh-CN"/>
        </w:rPr>
      </w:pPr>
    </w:p>
    <w:p w14:paraId="14750EA7">
      <w:pPr>
        <w:outlineLvl w:val="0"/>
        <w:rPr>
          <w:rFonts w:hint="eastAsia"/>
          <w:lang w:val="en-US" w:eastAsia="zh-CN"/>
        </w:rPr>
      </w:pPr>
      <w:r>
        <w:rPr>
          <w:rFonts w:hint="eastAsia"/>
          <w:b/>
          <w:bCs/>
          <w:lang w:val="en-US" w:eastAsia="zh-CN"/>
        </w:rPr>
        <w:t>四、上下文优化</w:t>
      </w:r>
    </w:p>
    <w:p w14:paraId="58D81C3F">
      <w:pPr>
        <w:ind w:firstLine="420" w:firstLineChars="0"/>
        <w:rPr>
          <w:rFonts w:hint="eastAsia"/>
          <w:lang w:val="en-US" w:eastAsia="zh-CN"/>
        </w:rPr>
      </w:pPr>
      <w:r>
        <w:rPr>
          <w:rFonts w:hint="eastAsia"/>
          <w:lang w:val="en-US" w:eastAsia="zh-CN"/>
        </w:rPr>
        <w:t>本地LLM采用xLAM-2-1b-fc-r（Q4_K_M 量化）模型，上下文窗口为32K tokens（可通过YaRN扩展至128K）。在有限上下文内既要完成单次会话的高质量分析，又要支持跨长时间窗口的慢速攻击（如C2心跳、横向移动）追踪，需通过“精简注入+增量分析+持久化中间结论”三级策略高效利用上下文，与第五章Redis缓存（结果复用）协同构成“质量保真+成本可控”的双重保障。</w:t>
      </w:r>
    </w:p>
    <w:p w14:paraId="1AF1CFF4">
      <w:pPr>
        <w:outlineLvl w:val="1"/>
        <w:rPr>
          <w:rFonts w:hint="eastAsia"/>
          <w:lang w:val="en-US" w:eastAsia="zh-CN"/>
        </w:rPr>
      </w:pPr>
      <w:r>
        <w:rPr>
          <w:rFonts w:hint="eastAsia"/>
          <w:b/>
          <w:bCs/>
          <w:lang w:val="en-US" w:eastAsia="zh-CN"/>
        </w:rPr>
        <w:t>1. 单次分析：上下文高效利用</w:t>
      </w:r>
    </w:p>
    <w:p w14:paraId="08736EF2">
      <w:pPr>
        <w:ind w:firstLine="420" w:firstLineChars="0"/>
        <w:rPr>
          <w:rFonts w:hint="eastAsia"/>
          <w:lang w:val="en-US" w:eastAsia="zh-CN"/>
        </w:rPr>
      </w:pPr>
      <w:r>
        <w:rPr>
          <w:rFonts w:hint="eastAsia"/>
          <w:lang w:val="en-US" w:eastAsia="zh-CN"/>
        </w:rPr>
        <w:t>核心原则：只放必要信息、不放冗余信息；结构化存放，减少token浪费。在提示词分层（系统层/资产上下文层/任务层/输出约束层）基础上，进一步强化下列手段：</w:t>
      </w:r>
    </w:p>
    <w:p w14:paraId="2E619255">
      <w:pPr>
        <w:ind w:firstLine="420" w:firstLineChars="0"/>
        <w:rPr>
          <w:rFonts w:hint="eastAsia"/>
          <w:lang w:val="en-US" w:eastAsia="zh-CN"/>
        </w:rPr>
      </w:pPr>
      <w:r>
        <w:rPr>
          <w:rFonts w:hint="eastAsia"/>
          <w:lang w:val="en-US" w:eastAsia="zh-CN"/>
        </w:rPr>
        <w:t>资产上下文按需检索（RAG）：仅检索本次会话涉及的源IP与目标IP的Top-3条关键档案（业务属性、开放端口、已知漏洞），避免全量背景灌入。Zeek元数据不以原始日志全文送入，而是先聚合成紧凑摘要（含五元组、时间窗口、协议、载荷特征、响应码、DNS查询），单条摘要约100∼200 tokens，远小于原始日志。</w:t>
      </w:r>
    </w:p>
    <w:p w14:paraId="3DDAEEC5">
      <w:pPr>
        <w:ind w:firstLine="420" w:firstLineChars="0"/>
        <w:rPr>
          <w:rFonts w:hint="eastAsia"/>
          <w:lang w:val="en-US" w:eastAsia="zh-CN"/>
        </w:rPr>
      </w:pPr>
      <w:r>
        <w:rPr>
          <w:rFonts w:hint="eastAsia"/>
          <w:lang w:val="en-US" w:eastAsia="zh-CN"/>
        </w:rPr>
        <w:t>证据压缩与去重：同一会话短时间内的重复行为（如连续登录尝试）由规则预聚合为“次数/首末时间/去重payload列表”，仅将聚合结果送入模型；明显的扫描行为（大量不同端口SYN包）直接由规则判定，不再送模型，节省上下文与算力。输出约束强制JSON、字段名简短（risk_level/verdict/evidence），并设置max_tokens输出上限（如512），防止冗长输出。</w:t>
      </w:r>
    </w:p>
    <w:p w14:paraId="1B09221E">
      <w:pPr>
        <w:ind w:firstLine="420" w:firstLineChars="0"/>
        <w:rPr>
          <w:rFonts w:hint="eastAsia"/>
          <w:lang w:val="en-US" w:eastAsia="zh-CN"/>
        </w:rPr>
      </w:pPr>
      <w:r>
        <w:rPr>
          <w:rFonts w:hint="eastAsia"/>
          <w:lang w:val="en-US" w:eastAsia="zh-CN"/>
        </w:rPr>
        <w:t>上下文预算分配（以32K窗口、预留4K输出为例，可用约28K）：系统提示词固定约500；资产上下文（RAG）2K∼4K；任务描述（当前会话聚合元数据）1K∼2K；历史证据占剩余大部分；输出约束约200；另预留4K作输出缓冲区。超出预算时按优先级裁剪（先裁历史证据，再裁资产上下文中相关性最低部分），并在输出标注truncated=true。</w:t>
      </w:r>
    </w:p>
    <w:p w14:paraId="3790E07E">
      <w:pPr>
        <w:outlineLvl w:val="1"/>
        <w:rPr>
          <w:rFonts w:hint="eastAsia"/>
          <w:lang w:val="en-US" w:eastAsia="zh-CN"/>
        </w:rPr>
      </w:pPr>
      <w:r>
        <w:rPr>
          <w:rFonts w:hint="eastAsia"/>
          <w:b/>
          <w:bCs/>
          <w:lang w:val="en-US" w:eastAsia="zh-CN"/>
        </w:rPr>
        <w:t>2. 跨时间窗口：增量分析与持久化中间结论</w:t>
      </w:r>
    </w:p>
    <w:p w14:paraId="6C8FCA9C">
      <w:pPr>
        <w:ind w:firstLine="420" w:firstLineChars="0"/>
        <w:rPr>
          <w:rFonts w:hint="eastAsia"/>
          <w:lang w:val="en-US" w:eastAsia="zh-CN"/>
        </w:rPr>
      </w:pPr>
      <w:r>
        <w:rPr>
          <w:rFonts w:hint="eastAsia"/>
          <w:lang w:val="en-US" w:eastAsia="zh-CN"/>
        </w:rPr>
        <w:t>慢速攻击跨小时甚至跨天，小模型无法一次性装入全部历史。采用“增量分析+滚动窗口+实体画像”，避免一次性加载全量历史：</w:t>
      </w:r>
    </w:p>
    <w:p w14:paraId="5C53197A">
      <w:pPr>
        <w:ind w:firstLine="420" w:firstLineChars="0"/>
        <w:rPr>
          <w:rFonts w:hint="eastAsia"/>
          <w:lang w:val="en-US" w:eastAsia="zh-CN"/>
        </w:rPr>
      </w:pPr>
      <w:r>
        <w:rPr>
          <w:rFonts w:hint="eastAsia"/>
          <w:lang w:val="en-US" w:eastAsia="zh-CN"/>
        </w:rPr>
        <w:t>增量分析模式：首次会话触发时做完整分析，结论（含evidence_summary、置信度、建议动作）写入Redis（agent:result:会话键）。后续同一会话新日志到来时，先读Redis既有结论，将“新证据摘要”与“旧结论摘要”拼接形成新上下文；提示词中附“此前判断为[旧结论]，现新增证据：[新证据]，请重新评估；若结论不变返回verdict:same”。模型判same则仅更新时间戳，判变化则更新Redis结论。模型只需判断“是否有变化”，推理更快、token更省。</w:t>
      </w:r>
    </w:p>
    <w:p w14:paraId="3928056B">
      <w:pPr>
        <w:ind w:firstLine="420" w:firstLineChars="0"/>
        <w:rPr>
          <w:rFonts w:hint="eastAsia"/>
          <w:lang w:val="en-US" w:eastAsia="zh-CN"/>
        </w:rPr>
      </w:pPr>
      <w:r>
        <w:rPr>
          <w:rFonts w:hint="eastAsia"/>
          <w:lang w:val="en-US" w:eastAsia="zh-CN"/>
        </w:rPr>
        <w:t>上下文滚动窗口：为每个会话设定最大历史证据条目数（如10条），超出时丢弃最早一条、保留最近10条；每条证据仅保留关键字段（时间、行为类型、payload摘要），去掉重复的IP端口信息。长文本证据采用关键句抽取/摘要生成压缩（可由轻量规则或小模型离线完成），例如将原始连接记录压缩为“14:23:01 POST /api/upload 2048B 200”。</w:t>
      </w:r>
    </w:p>
    <w:p w14:paraId="4A2708FA">
      <w:pPr>
        <w:ind w:firstLine="420" w:firstLineChars="0"/>
        <w:rPr>
          <w:rFonts w:hint="eastAsia"/>
          <w:lang w:val="en-US" w:eastAsia="zh-CN"/>
        </w:rPr>
      </w:pPr>
      <w:r>
        <w:rPr>
          <w:rFonts w:hint="eastAsia"/>
          <w:lang w:val="en-US" w:eastAsia="zh-CN"/>
        </w:rPr>
        <w:t>长周期攻击链追踪（跨会话关联）：攻击常涉及多个不同会话（A→B扫描、B→C横向移动、C→D外传）。在Redis维护“实体画像”键agent:entity:{IP}，存储该IP最近N条行为摘要；分析新会话时除本会话缓存外，还检索源/目标IP的实体画像作为额外上下文注入。实体画像同样采用滚动窗口（如保留最近50条，每条≤100 tokens）。</w:t>
      </w:r>
    </w:p>
    <w:p w14:paraId="032E290F">
      <w:pPr>
        <w:outlineLvl w:val="1"/>
        <w:rPr>
          <w:rFonts w:hint="eastAsia"/>
          <w:lang w:val="en-US" w:eastAsia="zh-CN"/>
        </w:rPr>
      </w:pPr>
      <w:r>
        <w:rPr>
          <w:rFonts w:hint="eastAsia"/>
          <w:b/>
          <w:bCs/>
          <w:lang w:val="en-US" w:eastAsia="zh-CN"/>
        </w:rPr>
        <w:t>3. 与Redis缓存协同及新增键规划</w:t>
      </w:r>
    </w:p>
    <w:p w14:paraId="2CD44867">
      <w:pPr>
        <w:ind w:firstLine="420" w:firstLineChars="0"/>
        <w:rPr>
          <w:rFonts w:hint="eastAsia"/>
          <w:lang w:val="en-US" w:eastAsia="zh-CN"/>
        </w:rPr>
      </w:pPr>
      <w:r>
        <w:rPr>
          <w:rFonts w:hint="eastAsia"/>
          <w:lang w:val="en-US" w:eastAsia="zh-CN"/>
        </w:rPr>
        <w:t>在既有agent:result:{会话键}（单会话最新结论，TTL 1h）基础上，为跨窗口场景新增两类键，统一以agent:为命名空间前缀，便于监控与批量清理：</w:t>
      </w:r>
    </w:p>
    <w:tbl>
      <w:tblPr>
        <w:tblStyle w:val="2"/>
        <w:tblW w:w="8306" w:type="dxa"/>
        <w:tblInd w:w="0" w:type="dxa"/>
        <w:shd w:val="clear" w:color="auto" w:fill="FFFFFF"/>
        <w:tblLayout w:type="autofit"/>
        <w:tblCellMar>
          <w:top w:w="0" w:type="dxa"/>
          <w:left w:w="108" w:type="dxa"/>
          <w:bottom w:w="0" w:type="dxa"/>
          <w:right w:w="108" w:type="dxa"/>
        </w:tblCellMar>
      </w:tblPr>
      <w:tblGrid>
        <w:gridCol w:w="2760"/>
        <w:gridCol w:w="1800"/>
        <w:gridCol w:w="3746"/>
      </w:tblGrid>
      <w:tr w14:paraId="6F7AADA4">
        <w:tblPrEx>
          <w:shd w:val="clear" w:color="auto" w:fill="FFFFFF"/>
          <w:tblCellMar>
            <w:top w:w="0" w:type="dxa"/>
            <w:left w:w="108" w:type="dxa"/>
            <w:bottom w:w="0" w:type="dxa"/>
            <w:right w:w="108" w:type="dxa"/>
          </w:tblCellMar>
        </w:tblPrEx>
        <w:trPr>
          <w:trHeight w:val="480" w:hRule="atLeast"/>
        </w:trPr>
        <w:tc>
          <w:tcPr>
            <w:tcW w:w="2760" w:type="dxa"/>
            <w:shd w:val="clear" w:color="auto" w:fill="D5E8F0"/>
          </w:tcPr>
          <w:p w14:paraId="3F8A739C">
            <w:pPr>
              <w:rPr>
                <w:rFonts w:hint="eastAsia"/>
                <w:b/>
                <w:bCs/>
                <w:lang w:val="en-US" w:eastAsia="zh-CN"/>
              </w:rPr>
            </w:pPr>
            <w:r>
              <w:rPr>
                <w:rFonts w:hint="eastAsia"/>
                <w:b/>
                <w:bCs/>
                <w:lang w:val="en-US" w:eastAsia="zh-CN"/>
              </w:rPr>
              <w:t>键模式</w:t>
            </w:r>
          </w:p>
        </w:tc>
        <w:tc>
          <w:tcPr>
            <w:tcW w:w="1800" w:type="dxa"/>
            <w:shd w:val="clear" w:color="auto" w:fill="D5E8F0"/>
          </w:tcPr>
          <w:p w14:paraId="517D3149">
            <w:pPr>
              <w:rPr>
                <w:rFonts w:hint="eastAsia"/>
                <w:b/>
                <w:bCs/>
                <w:lang w:val="en-US" w:eastAsia="zh-CN"/>
              </w:rPr>
            </w:pPr>
            <w:r>
              <w:rPr>
                <w:rFonts w:hint="eastAsia"/>
                <w:b/>
                <w:bCs/>
                <w:lang w:val="en-US" w:eastAsia="zh-CN"/>
              </w:rPr>
              <w:t>建议TTL</w:t>
            </w:r>
          </w:p>
        </w:tc>
        <w:tc>
          <w:tcPr>
            <w:tcW w:w="3746" w:type="dxa"/>
            <w:shd w:val="clear" w:color="auto" w:fill="D5E8F0"/>
          </w:tcPr>
          <w:p w14:paraId="21698830">
            <w:pPr>
              <w:rPr>
                <w:rFonts w:hint="eastAsia"/>
                <w:b/>
                <w:bCs/>
                <w:lang w:val="en-US" w:eastAsia="zh-CN"/>
              </w:rPr>
            </w:pPr>
            <w:r>
              <w:rPr>
                <w:rFonts w:hint="eastAsia"/>
                <w:b/>
                <w:bCs/>
                <w:lang w:val="en-US" w:eastAsia="zh-CN"/>
              </w:rPr>
              <w:t>用途</w:t>
            </w:r>
          </w:p>
        </w:tc>
      </w:tr>
      <w:tr w14:paraId="226CB9B2">
        <w:tblPrEx>
          <w:tblCellMar>
            <w:top w:w="0" w:type="dxa"/>
            <w:left w:w="108" w:type="dxa"/>
            <w:bottom w:w="0" w:type="dxa"/>
            <w:right w:w="108" w:type="dxa"/>
          </w:tblCellMar>
        </w:tblPrEx>
        <w:trPr>
          <w:trHeight w:val="600" w:hRule="atLeast"/>
        </w:trPr>
        <w:tc>
          <w:tcPr>
            <w:tcW w:w="2760" w:type="dxa"/>
            <w:shd w:val="clear" w:color="auto" w:fill="FFFFFF"/>
          </w:tcPr>
          <w:p w14:paraId="1C557674">
            <w:pPr>
              <w:rPr>
                <w:rFonts w:hint="eastAsia"/>
                <w:lang w:val="en-US" w:eastAsia="zh-CN"/>
              </w:rPr>
            </w:pPr>
            <w:r>
              <w:rPr>
                <w:rFonts w:hint="eastAsia"/>
                <w:lang w:val="en-US" w:eastAsia="zh-CN"/>
              </w:rPr>
              <w:t>agent:result:{会话键}</w:t>
            </w:r>
          </w:p>
        </w:tc>
        <w:tc>
          <w:tcPr>
            <w:tcW w:w="1800" w:type="dxa"/>
            <w:shd w:val="clear" w:color="auto" w:fill="FFFFFF"/>
          </w:tcPr>
          <w:p w14:paraId="15CF6405">
            <w:pPr>
              <w:rPr>
                <w:rFonts w:hint="eastAsia"/>
                <w:lang w:val="en-US" w:eastAsia="zh-CN"/>
              </w:rPr>
            </w:pPr>
            <w:r>
              <w:rPr>
                <w:rFonts w:hint="eastAsia"/>
                <w:lang w:val="en-US" w:eastAsia="zh-CN"/>
              </w:rPr>
              <w:t>1h（高危可延长）</w:t>
            </w:r>
          </w:p>
        </w:tc>
        <w:tc>
          <w:tcPr>
            <w:tcW w:w="3746" w:type="dxa"/>
            <w:shd w:val="clear" w:color="auto" w:fill="FFFFFF"/>
          </w:tcPr>
          <w:p w14:paraId="102CDCF1">
            <w:pPr>
              <w:rPr>
                <w:rFonts w:hint="eastAsia"/>
                <w:lang w:val="en-US" w:eastAsia="zh-CN"/>
              </w:rPr>
            </w:pPr>
            <w:r>
              <w:rPr>
                <w:rFonts w:hint="eastAsia"/>
                <w:lang w:val="en-US" w:eastAsia="zh-CN"/>
              </w:rPr>
              <w:t>单会话最新分析结论（已有），命中即跳过推理</w:t>
            </w:r>
          </w:p>
        </w:tc>
      </w:tr>
      <w:tr w14:paraId="0CD9F3FB">
        <w:tblPrEx>
          <w:tblCellMar>
            <w:top w:w="0" w:type="dxa"/>
            <w:left w:w="108" w:type="dxa"/>
            <w:bottom w:w="0" w:type="dxa"/>
            <w:right w:w="108" w:type="dxa"/>
          </w:tblCellMar>
        </w:tblPrEx>
        <w:trPr>
          <w:trHeight w:val="600" w:hRule="atLeast"/>
        </w:trPr>
        <w:tc>
          <w:tcPr>
            <w:tcW w:w="2760" w:type="dxa"/>
            <w:shd w:val="clear" w:color="auto" w:fill="FFFFFF"/>
          </w:tcPr>
          <w:p w14:paraId="21D5B22C">
            <w:pPr>
              <w:rPr>
                <w:rFonts w:hint="eastAsia"/>
                <w:lang w:val="en-US" w:eastAsia="zh-CN"/>
              </w:rPr>
            </w:pPr>
            <w:r>
              <w:rPr>
                <w:rFonts w:hint="eastAsia"/>
                <w:lang w:val="en-US" w:eastAsia="zh-CN"/>
              </w:rPr>
              <w:t>agent:entity:{IP}</w:t>
            </w:r>
          </w:p>
        </w:tc>
        <w:tc>
          <w:tcPr>
            <w:tcW w:w="1800" w:type="dxa"/>
            <w:shd w:val="clear" w:color="auto" w:fill="FFFFFF"/>
          </w:tcPr>
          <w:p w14:paraId="44E37EC1">
            <w:pPr>
              <w:rPr>
                <w:rFonts w:hint="eastAsia"/>
                <w:lang w:val="en-US" w:eastAsia="zh-CN"/>
              </w:rPr>
            </w:pPr>
            <w:r>
              <w:rPr>
                <w:rFonts w:hint="eastAsia"/>
                <w:lang w:val="en-US" w:eastAsia="zh-CN"/>
              </w:rPr>
              <w:t>24h</w:t>
            </w:r>
          </w:p>
        </w:tc>
        <w:tc>
          <w:tcPr>
            <w:tcW w:w="3746" w:type="dxa"/>
            <w:shd w:val="clear" w:color="auto" w:fill="FFFFFF"/>
          </w:tcPr>
          <w:p w14:paraId="3601D270">
            <w:pPr>
              <w:rPr>
                <w:rFonts w:hint="eastAsia"/>
                <w:lang w:val="en-US" w:eastAsia="zh-CN"/>
              </w:rPr>
            </w:pPr>
            <w:r>
              <w:rPr>
                <w:rFonts w:hint="eastAsia"/>
                <w:lang w:val="en-US" w:eastAsia="zh-CN"/>
              </w:rPr>
              <w:t>IP实体画像（滚动行为摘要），供跨会话上下文注入</w:t>
            </w:r>
          </w:p>
        </w:tc>
      </w:tr>
      <w:tr w14:paraId="27CA2116">
        <w:tblPrEx>
          <w:tblCellMar>
            <w:top w:w="0" w:type="dxa"/>
            <w:left w:w="108" w:type="dxa"/>
            <w:bottom w:w="0" w:type="dxa"/>
            <w:right w:w="108" w:type="dxa"/>
          </w:tblCellMar>
        </w:tblPrEx>
        <w:trPr>
          <w:trHeight w:val="600" w:hRule="atLeast"/>
        </w:trPr>
        <w:tc>
          <w:tcPr>
            <w:tcW w:w="2760" w:type="dxa"/>
            <w:shd w:val="clear" w:color="auto" w:fill="FFFFFF"/>
          </w:tcPr>
          <w:p w14:paraId="62815EAB">
            <w:pPr>
              <w:rPr>
                <w:rFonts w:hint="eastAsia"/>
                <w:lang w:val="en-US" w:eastAsia="zh-CN"/>
              </w:rPr>
            </w:pPr>
            <w:r>
              <w:rPr>
                <w:rFonts w:hint="eastAsia"/>
                <w:lang w:val="en-US" w:eastAsia="zh-CN"/>
              </w:rPr>
              <w:t>agent:chain:{攻击链ID}</w:t>
            </w:r>
          </w:p>
        </w:tc>
        <w:tc>
          <w:tcPr>
            <w:tcW w:w="1800" w:type="dxa"/>
            <w:shd w:val="clear" w:color="auto" w:fill="FFFFFF"/>
          </w:tcPr>
          <w:p w14:paraId="64C17D44">
            <w:pPr>
              <w:rPr>
                <w:rFonts w:hint="eastAsia"/>
                <w:lang w:val="en-US" w:eastAsia="zh-CN"/>
              </w:rPr>
            </w:pPr>
            <w:r>
              <w:rPr>
                <w:rFonts w:hint="eastAsia"/>
                <w:lang w:val="en-US" w:eastAsia="zh-CN"/>
              </w:rPr>
              <w:t>48h</w:t>
            </w:r>
          </w:p>
        </w:tc>
        <w:tc>
          <w:tcPr>
            <w:tcW w:w="3746" w:type="dxa"/>
            <w:shd w:val="clear" w:color="auto" w:fill="FFFFFF"/>
          </w:tcPr>
          <w:p w14:paraId="22549CB5">
            <w:pPr>
              <w:rPr>
                <w:rFonts w:hint="eastAsia"/>
                <w:lang w:val="en-US" w:eastAsia="zh-CN"/>
              </w:rPr>
            </w:pPr>
            <w:r>
              <w:rPr>
                <w:rFonts w:hint="eastAsia"/>
                <w:lang w:val="en-US" w:eastAsia="zh-CN"/>
              </w:rPr>
              <w:t>跨会话关联结论（可选），用于长周期攻击链聚合</w:t>
            </w:r>
          </w:p>
        </w:tc>
      </w:tr>
    </w:tbl>
    <w:p w14:paraId="183A505F">
      <w:pPr>
        <w:ind w:firstLine="420" w:firstLineChars="0"/>
        <w:rPr>
          <w:rFonts w:hint="eastAsia"/>
          <w:lang w:val="en-US" w:eastAsia="zh-CN"/>
        </w:rPr>
      </w:pPr>
      <w:r>
        <w:rPr>
          <w:rFonts w:hint="eastAsia"/>
          <w:lang w:val="en-US" w:eastAsia="zh-CN"/>
        </w:rPr>
        <w:t>架构集成：本上下文优化作为分析层内部能力，与第五章Redis缓存协同（缓存负责结果复用降本、上下文管理负责单次分析质量与跨窗口追踪），不改变既有采集/数据处理/工具链/存储/管理层职责；新增的实体画像与攻击链键归入存储层Redis组件管理，管理层缓存管理子模块增加对应键的监控与手动清理入口。</w:t>
      </w:r>
    </w:p>
    <w:p w14:paraId="4AE39C88">
      <w:pPr>
        <w:outlineLvl w:val="0"/>
        <w:rPr>
          <w:rFonts w:hint="eastAsia"/>
          <w:b/>
          <w:bCs/>
          <w:lang w:val="en-US" w:eastAsia="zh-CN"/>
        </w:rPr>
      </w:pPr>
      <w:r>
        <w:rPr>
          <w:rFonts w:hint="eastAsia"/>
          <w:b/>
          <w:bCs/>
          <w:lang w:val="en-US" w:eastAsia="zh-CN"/>
        </w:rPr>
        <w:t>五、分析逻辑定义</w:t>
      </w:r>
    </w:p>
    <w:p w14:paraId="281C64D7">
      <w:pPr>
        <w:ind w:firstLine="480"/>
      </w:pPr>
      <w:r>
        <w:t>本章将“行为、聚合、关联、时间回溯”四个抽象概念落地为可执行的规则与模型指令，与第四章上下文优化、第五章Redis缓存协同，构成“精简注入+增量分析+持久化中间结论”的完整分析闭环。分析逻辑以MITRE ATT&amp;CK for Enterprise为参照，上线即交付覆盖主要攻击阶段的完整行为模型清单，后续按运营反馈持续扩充。</w:t>
      </w:r>
    </w:p>
    <w:p w14:paraId="7671AA45">
      <w:pPr>
        <w:ind w:firstLine="480"/>
        <w:outlineLvl w:val="1"/>
        <w:rPr>
          <w:b/>
          <w:bCs/>
        </w:rPr>
      </w:pPr>
      <w:r>
        <w:rPr>
          <w:b/>
          <w:bCs/>
        </w:rPr>
        <w:t>1. 行为模型（一次做全，上线即完整）</w:t>
      </w:r>
    </w:p>
    <w:p w14:paraId="13C89157">
      <w:pPr>
        <w:ind w:firstLine="480"/>
      </w:pPr>
      <w:r>
        <w:t>参照MITRE ATT&amp;CK for Enterprise的战术与技术，结合内网常见威胁场景，定义初始完整行为模型清单（BEH-001~BEH-012）。每项含编号、行为名称、对应ATT&amp;CK技术、Zeek元数据特征、聚合维度、初始风险等级六要素，模型输出须含命中行为编号以便审计。清单标注“可扩展”，后续按运营反馈持续扩充。</w:t>
      </w:r>
    </w:p>
    <w:tbl>
      <w:tblPr>
        <w:tblStyle w:val="2"/>
        <w:tblW w:w="9360" w:type="dxa"/>
        <w:tblInd w:w="0" w:type="dxa"/>
        <w:tblLayout w:type="autofit"/>
        <w:tblCellMar>
          <w:top w:w="0" w:type="dxa"/>
          <w:left w:w="108" w:type="dxa"/>
          <w:bottom w:w="0" w:type="dxa"/>
          <w:right w:w="108" w:type="dxa"/>
        </w:tblCellMar>
      </w:tblPr>
      <w:tblGrid>
        <w:gridCol w:w="948"/>
        <w:gridCol w:w="1482"/>
        <w:gridCol w:w="1177"/>
        <w:gridCol w:w="2703"/>
        <w:gridCol w:w="1476"/>
        <w:gridCol w:w="1574"/>
      </w:tblGrid>
      <w:tr w14:paraId="700B017E">
        <w:tblPrEx>
          <w:tblCellMar>
            <w:top w:w="0" w:type="dxa"/>
            <w:left w:w="108" w:type="dxa"/>
            <w:bottom w:w="0" w:type="dxa"/>
            <w:right w:w="108" w:type="dxa"/>
          </w:tblCellMar>
        </w:tblPrEx>
        <w:trPr>
          <w:tblHeader/>
        </w:trPr>
        <w:tc>
          <w:tcPr>
            <w:tcW w:w="820" w:type="dxa"/>
            <w:shd w:val="clear" w:color="auto" w:fill="D5E8F0"/>
          </w:tcPr>
          <w:p w14:paraId="41D2F282">
            <w:pPr>
              <w:jc w:val="center"/>
            </w:pPr>
            <w:r>
              <w:rPr>
                <w:b/>
              </w:rPr>
              <w:t>编号</w:t>
            </w:r>
          </w:p>
        </w:tc>
        <w:tc>
          <w:tcPr>
            <w:tcW w:w="1500" w:type="dxa"/>
            <w:shd w:val="clear" w:color="auto" w:fill="D5E8F0"/>
          </w:tcPr>
          <w:p w14:paraId="16CC0887">
            <w:pPr>
              <w:jc w:val="center"/>
            </w:pPr>
            <w:r>
              <w:rPr>
                <w:b/>
              </w:rPr>
              <w:t>行为名称</w:t>
            </w:r>
          </w:p>
        </w:tc>
        <w:tc>
          <w:tcPr>
            <w:tcW w:w="1180" w:type="dxa"/>
            <w:shd w:val="clear" w:color="auto" w:fill="D5E8F0"/>
          </w:tcPr>
          <w:p w14:paraId="4166088B">
            <w:pPr>
              <w:jc w:val="center"/>
            </w:pPr>
            <w:r>
              <w:rPr>
                <w:b/>
              </w:rPr>
              <w:t>对应ATT&amp;CK技术</w:t>
            </w:r>
          </w:p>
        </w:tc>
        <w:tc>
          <w:tcPr>
            <w:tcW w:w="2760" w:type="dxa"/>
            <w:shd w:val="clear" w:color="auto" w:fill="D5E8F0"/>
          </w:tcPr>
          <w:p w14:paraId="6E4412E3">
            <w:pPr>
              <w:jc w:val="center"/>
            </w:pPr>
            <w:r>
              <w:rPr>
                <w:b/>
              </w:rPr>
              <w:t>Zeek元数据特征</w:t>
            </w:r>
          </w:p>
        </w:tc>
        <w:tc>
          <w:tcPr>
            <w:tcW w:w="1500" w:type="dxa"/>
            <w:shd w:val="clear" w:color="auto" w:fill="D5E8F0"/>
          </w:tcPr>
          <w:p w14:paraId="4CE4E12C">
            <w:pPr>
              <w:jc w:val="center"/>
            </w:pPr>
            <w:r>
              <w:rPr>
                <w:b/>
              </w:rPr>
              <w:t>聚合维度</w:t>
            </w:r>
          </w:p>
        </w:tc>
        <w:tc>
          <w:tcPr>
            <w:tcW w:w="1600" w:type="dxa"/>
            <w:shd w:val="clear" w:color="auto" w:fill="D5E8F0"/>
          </w:tcPr>
          <w:p w14:paraId="22F65C24">
            <w:pPr>
              <w:jc w:val="center"/>
            </w:pPr>
            <w:r>
              <w:rPr>
                <w:b/>
              </w:rPr>
              <w:t>初始风险</w:t>
            </w:r>
          </w:p>
        </w:tc>
      </w:tr>
      <w:tr w14:paraId="6F014112">
        <w:tblPrEx>
          <w:tblCellMar>
            <w:top w:w="0" w:type="dxa"/>
            <w:left w:w="108" w:type="dxa"/>
            <w:bottom w:w="0" w:type="dxa"/>
            <w:right w:w="108" w:type="dxa"/>
          </w:tblCellMar>
        </w:tblPrEx>
        <w:tc>
          <w:tcPr>
            <w:tcW w:w="820" w:type="dxa"/>
          </w:tcPr>
          <w:p w14:paraId="6ACAF5CA">
            <w:r>
              <w:t>BEH-001</w:t>
            </w:r>
          </w:p>
        </w:tc>
        <w:tc>
          <w:tcPr>
            <w:tcW w:w="1500" w:type="dxa"/>
          </w:tcPr>
          <w:p w14:paraId="594891C6">
            <w:r>
              <w:t>内网横向移动-SMB爆破</w:t>
            </w:r>
          </w:p>
        </w:tc>
        <w:tc>
          <w:tcPr>
            <w:tcW w:w="1180" w:type="dxa"/>
          </w:tcPr>
          <w:p w14:paraId="606ABCD5">
            <w:r>
              <w:t>T1021.002</w:t>
            </w:r>
          </w:p>
        </w:tc>
        <w:tc>
          <w:tcPr>
            <w:tcW w:w="2760" w:type="dxa"/>
          </w:tcPr>
          <w:p w14:paraId="3D790448">
            <w:r>
              <w:t>源IP 5分钟内对多个目标IP:445发起大量SMB Negotiate Protocol Request并出现失败状态码</w:t>
            </w:r>
          </w:p>
        </w:tc>
        <w:tc>
          <w:tcPr>
            <w:tcW w:w="1500" w:type="dxa"/>
          </w:tcPr>
          <w:p w14:paraId="5E412C5C">
            <w:r>
              <w:t>源IP+5min窗口</w:t>
            </w:r>
          </w:p>
        </w:tc>
        <w:tc>
          <w:tcPr>
            <w:tcW w:w="1600" w:type="dxa"/>
          </w:tcPr>
          <w:p w14:paraId="5DE8DEAE">
            <w:r>
              <w:t>Medium</w:t>
            </w:r>
          </w:p>
        </w:tc>
      </w:tr>
      <w:tr w14:paraId="4E32F274">
        <w:tblPrEx>
          <w:tblCellMar>
            <w:top w:w="0" w:type="dxa"/>
            <w:left w:w="108" w:type="dxa"/>
            <w:bottom w:w="0" w:type="dxa"/>
            <w:right w:w="108" w:type="dxa"/>
          </w:tblCellMar>
        </w:tblPrEx>
        <w:tc>
          <w:tcPr>
            <w:tcW w:w="820" w:type="dxa"/>
          </w:tcPr>
          <w:p w14:paraId="03EB6131">
            <w:r>
              <w:t>BEH-002</w:t>
            </w:r>
          </w:p>
        </w:tc>
        <w:tc>
          <w:tcPr>
            <w:tcW w:w="1500" w:type="dxa"/>
          </w:tcPr>
          <w:p w14:paraId="365E3142">
            <w:r>
              <w:t>C2心跳-DNS隧道</w:t>
            </w:r>
          </w:p>
        </w:tc>
        <w:tc>
          <w:tcPr>
            <w:tcW w:w="1180" w:type="dxa"/>
          </w:tcPr>
          <w:p w14:paraId="242D3BC4">
            <w:r>
              <w:t>T1572</w:t>
            </w:r>
          </w:p>
        </w:tc>
        <w:tc>
          <w:tcPr>
            <w:tcW w:w="2760" w:type="dxa"/>
          </w:tcPr>
          <w:p w14:paraId="55AB9395">
            <w:r>
              <w:t>频繁DNS查询异常域名(高熵/长域名/罕见TLD)且A记录指向内网IP</w:t>
            </w:r>
          </w:p>
        </w:tc>
        <w:tc>
          <w:tcPr>
            <w:tcW w:w="1500" w:type="dxa"/>
          </w:tcPr>
          <w:p w14:paraId="3E6B7CE3">
            <w:r>
              <w:t>源IP+域名</w:t>
            </w:r>
          </w:p>
        </w:tc>
        <w:tc>
          <w:tcPr>
            <w:tcW w:w="1600" w:type="dxa"/>
          </w:tcPr>
          <w:p w14:paraId="6904FA57">
            <w:r>
              <w:t>High</w:t>
            </w:r>
          </w:p>
        </w:tc>
      </w:tr>
      <w:tr w14:paraId="75413F52">
        <w:tblPrEx>
          <w:tblCellMar>
            <w:top w:w="0" w:type="dxa"/>
            <w:left w:w="108" w:type="dxa"/>
            <w:bottom w:w="0" w:type="dxa"/>
            <w:right w:w="108" w:type="dxa"/>
          </w:tblCellMar>
        </w:tblPrEx>
        <w:tc>
          <w:tcPr>
            <w:tcW w:w="820" w:type="dxa"/>
          </w:tcPr>
          <w:p w14:paraId="148985ED">
            <w:r>
              <w:t>BEH-003</w:t>
            </w:r>
          </w:p>
        </w:tc>
        <w:tc>
          <w:tcPr>
            <w:tcW w:w="1500" w:type="dxa"/>
          </w:tcPr>
          <w:p w14:paraId="7E4604BA">
            <w:r>
              <w:t>Web登录暴力破解</w:t>
            </w:r>
          </w:p>
        </w:tc>
        <w:tc>
          <w:tcPr>
            <w:tcW w:w="1180" w:type="dxa"/>
          </w:tcPr>
          <w:p w14:paraId="5888E91E">
            <w:r>
              <w:t>T1110.003</w:t>
            </w:r>
          </w:p>
        </w:tc>
        <w:tc>
          <w:tcPr>
            <w:tcW w:w="2760" w:type="dxa"/>
          </w:tcPr>
          <w:p w14:paraId="7D270656">
            <w:r>
              <w:t>HTTP POST至/login，User-Agent多样，密码字段变化，响应401/200</w:t>
            </w:r>
          </w:p>
        </w:tc>
        <w:tc>
          <w:tcPr>
            <w:tcW w:w="1500" w:type="dxa"/>
          </w:tcPr>
          <w:p w14:paraId="25904CDD">
            <w:r>
              <w:t>目标IP+URL路径</w:t>
            </w:r>
          </w:p>
        </w:tc>
        <w:tc>
          <w:tcPr>
            <w:tcW w:w="1600" w:type="dxa"/>
          </w:tcPr>
          <w:p w14:paraId="3C5B9B22">
            <w:r>
              <w:t>Medium</w:t>
            </w:r>
          </w:p>
        </w:tc>
      </w:tr>
      <w:tr w14:paraId="5A5F9CAF">
        <w:tblPrEx>
          <w:tblCellMar>
            <w:top w:w="0" w:type="dxa"/>
            <w:left w:w="108" w:type="dxa"/>
            <w:bottom w:w="0" w:type="dxa"/>
            <w:right w:w="108" w:type="dxa"/>
          </w:tblCellMar>
        </w:tblPrEx>
        <w:tc>
          <w:tcPr>
            <w:tcW w:w="820" w:type="dxa"/>
          </w:tcPr>
          <w:p w14:paraId="100767E6">
            <w:r>
              <w:t>BEH-004</w:t>
            </w:r>
          </w:p>
        </w:tc>
        <w:tc>
          <w:tcPr>
            <w:tcW w:w="1500" w:type="dxa"/>
          </w:tcPr>
          <w:p w14:paraId="72B6D5DD">
            <w:r>
              <w:t>数据外传-HTTP POST大包</w:t>
            </w:r>
          </w:p>
        </w:tc>
        <w:tc>
          <w:tcPr>
            <w:tcW w:w="1180" w:type="dxa"/>
          </w:tcPr>
          <w:p w14:paraId="12EA167B">
            <w:r>
              <w:t>T1048.002</w:t>
            </w:r>
          </w:p>
        </w:tc>
        <w:tc>
          <w:tcPr>
            <w:tcW w:w="2760" w:type="dxa"/>
          </w:tcPr>
          <w:p w14:paraId="4AFFB93B">
            <w:r>
              <w:t>HTTP POST请求体&gt;1MB，目标为公网IP，罕见Content-Type</w:t>
            </w:r>
          </w:p>
        </w:tc>
        <w:tc>
          <w:tcPr>
            <w:tcW w:w="1500" w:type="dxa"/>
          </w:tcPr>
          <w:p w14:paraId="350EEB3E">
            <w:r>
              <w:t>源IP+目标IP+时间窗</w:t>
            </w:r>
          </w:p>
        </w:tc>
        <w:tc>
          <w:tcPr>
            <w:tcW w:w="1600" w:type="dxa"/>
          </w:tcPr>
          <w:p w14:paraId="37C2E993">
            <w:r>
              <w:t>High</w:t>
            </w:r>
          </w:p>
        </w:tc>
      </w:tr>
      <w:tr w14:paraId="794718E3">
        <w:tblPrEx>
          <w:tblCellMar>
            <w:top w:w="0" w:type="dxa"/>
            <w:left w:w="108" w:type="dxa"/>
            <w:bottom w:w="0" w:type="dxa"/>
            <w:right w:w="108" w:type="dxa"/>
          </w:tblCellMar>
        </w:tblPrEx>
        <w:tc>
          <w:tcPr>
            <w:tcW w:w="820" w:type="dxa"/>
          </w:tcPr>
          <w:p w14:paraId="44A2A41E">
            <w:r>
              <w:t>BEH-005</w:t>
            </w:r>
          </w:p>
        </w:tc>
        <w:tc>
          <w:tcPr>
            <w:tcW w:w="1500" w:type="dxa"/>
          </w:tcPr>
          <w:p w14:paraId="296C2DF0">
            <w:r>
              <w:t>端口扫描</w:t>
            </w:r>
          </w:p>
        </w:tc>
        <w:tc>
          <w:tcPr>
            <w:tcW w:w="1180" w:type="dxa"/>
          </w:tcPr>
          <w:p w14:paraId="011985D9">
            <w:r>
              <w:t>T1046</w:t>
            </w:r>
          </w:p>
        </w:tc>
        <w:tc>
          <w:tcPr>
            <w:tcW w:w="2760" w:type="dxa"/>
          </w:tcPr>
          <w:p w14:paraId="14534392">
            <w:r>
              <w:t>源IP对目标IP大量不同端口SYN包，无后续ACK</w:t>
            </w:r>
          </w:p>
        </w:tc>
        <w:tc>
          <w:tcPr>
            <w:tcW w:w="1500" w:type="dxa"/>
          </w:tcPr>
          <w:p w14:paraId="25EBAA77">
            <w:r>
              <w:t>源IP+目标IP</w:t>
            </w:r>
          </w:p>
        </w:tc>
        <w:tc>
          <w:tcPr>
            <w:tcW w:w="1600" w:type="dxa"/>
          </w:tcPr>
          <w:p w14:paraId="78A6B608">
            <w:r>
              <w:t>Low(规则直接拦截，不送模型)</w:t>
            </w:r>
          </w:p>
        </w:tc>
      </w:tr>
      <w:tr w14:paraId="10F259BC">
        <w:tblPrEx>
          <w:tblCellMar>
            <w:top w:w="0" w:type="dxa"/>
            <w:left w:w="108" w:type="dxa"/>
            <w:bottom w:w="0" w:type="dxa"/>
            <w:right w:w="108" w:type="dxa"/>
          </w:tblCellMar>
        </w:tblPrEx>
        <w:tc>
          <w:tcPr>
            <w:tcW w:w="820" w:type="dxa"/>
          </w:tcPr>
          <w:p w14:paraId="684DFA90">
            <w:r>
              <w:t>BEH-006</w:t>
            </w:r>
          </w:p>
        </w:tc>
        <w:tc>
          <w:tcPr>
            <w:tcW w:w="1500" w:type="dxa"/>
          </w:tcPr>
          <w:p w14:paraId="69028566">
            <w:r>
              <w:t>SSH暴力破解</w:t>
            </w:r>
          </w:p>
        </w:tc>
        <w:tc>
          <w:tcPr>
            <w:tcW w:w="1180" w:type="dxa"/>
          </w:tcPr>
          <w:p w14:paraId="1515442B">
            <w:r>
              <w:t>T1110.001</w:t>
            </w:r>
          </w:p>
        </w:tc>
        <w:tc>
          <w:tcPr>
            <w:tcW w:w="2760" w:type="dxa"/>
          </w:tcPr>
          <w:p w14:paraId="3BAC8E9D">
            <w:r>
              <w:t>源IP对目标IP:22大量SSH连接，认证失败率升高</w:t>
            </w:r>
          </w:p>
        </w:tc>
        <w:tc>
          <w:tcPr>
            <w:tcW w:w="1500" w:type="dxa"/>
          </w:tcPr>
          <w:p w14:paraId="5239A6DB">
            <w:r>
              <w:t>源IP+目标IP+5min</w:t>
            </w:r>
          </w:p>
        </w:tc>
        <w:tc>
          <w:tcPr>
            <w:tcW w:w="1600" w:type="dxa"/>
          </w:tcPr>
          <w:p w14:paraId="63716511">
            <w:r>
              <w:t>Medium</w:t>
            </w:r>
          </w:p>
        </w:tc>
      </w:tr>
      <w:tr w14:paraId="641AE6BA">
        <w:tblPrEx>
          <w:tblCellMar>
            <w:top w:w="0" w:type="dxa"/>
            <w:left w:w="108" w:type="dxa"/>
            <w:bottom w:w="0" w:type="dxa"/>
            <w:right w:w="108" w:type="dxa"/>
          </w:tblCellMar>
        </w:tblPrEx>
        <w:tc>
          <w:tcPr>
            <w:tcW w:w="820" w:type="dxa"/>
          </w:tcPr>
          <w:p w14:paraId="648FFA62">
            <w:r>
              <w:t>BEH-007</w:t>
            </w:r>
          </w:p>
        </w:tc>
        <w:tc>
          <w:tcPr>
            <w:tcW w:w="1500" w:type="dxa"/>
          </w:tcPr>
          <w:p w14:paraId="1D41B89C">
            <w:r>
              <w:t>DNS Tunneling异常查询</w:t>
            </w:r>
          </w:p>
        </w:tc>
        <w:tc>
          <w:tcPr>
            <w:tcW w:w="1180" w:type="dxa"/>
          </w:tcPr>
          <w:p w14:paraId="176C6706">
            <w:r>
              <w:t>T1071.004</w:t>
            </w:r>
          </w:p>
        </w:tc>
        <w:tc>
          <w:tcPr>
            <w:tcW w:w="2760" w:type="dxa"/>
          </w:tcPr>
          <w:p w14:paraId="31E50D24">
            <w:r>
              <w:t>单IP短时大量DNS TXT/NULL查询，域名熵值超阈值</w:t>
            </w:r>
          </w:p>
        </w:tc>
        <w:tc>
          <w:tcPr>
            <w:tcW w:w="1500" w:type="dxa"/>
          </w:tcPr>
          <w:p w14:paraId="4FABDABA">
            <w:r>
              <w:t>源IP+1h</w:t>
            </w:r>
          </w:p>
        </w:tc>
        <w:tc>
          <w:tcPr>
            <w:tcW w:w="1600" w:type="dxa"/>
          </w:tcPr>
          <w:p w14:paraId="5AF5CCF7">
            <w:r>
              <w:t>High</w:t>
            </w:r>
          </w:p>
        </w:tc>
      </w:tr>
      <w:tr w14:paraId="4F8DA0F0">
        <w:tblPrEx>
          <w:tblCellMar>
            <w:top w:w="0" w:type="dxa"/>
            <w:left w:w="108" w:type="dxa"/>
            <w:bottom w:w="0" w:type="dxa"/>
            <w:right w:w="108" w:type="dxa"/>
          </w:tblCellMar>
        </w:tblPrEx>
        <w:tc>
          <w:tcPr>
            <w:tcW w:w="820" w:type="dxa"/>
          </w:tcPr>
          <w:p w14:paraId="2FB69C16">
            <w:r>
              <w:t>BEH-008</w:t>
            </w:r>
          </w:p>
        </w:tc>
        <w:tc>
          <w:tcPr>
            <w:tcW w:w="1500" w:type="dxa"/>
          </w:tcPr>
          <w:p w14:paraId="54CAE98F">
            <w:r>
              <w:t>Web漏洞利用尝试</w:t>
            </w:r>
          </w:p>
        </w:tc>
        <w:tc>
          <w:tcPr>
            <w:tcW w:w="1180" w:type="dxa"/>
          </w:tcPr>
          <w:p w14:paraId="216AED1A">
            <w:r>
              <w:t>T1190</w:t>
            </w:r>
          </w:p>
        </w:tc>
        <w:tc>
          <w:tcPr>
            <w:tcW w:w="2760" w:type="dxa"/>
          </w:tcPr>
          <w:p w14:paraId="28137DC0">
            <w:r>
              <w:t>HTTP请求含路径遍历/SQL注入/XSS特征载荷，非常规参数结构</w:t>
            </w:r>
          </w:p>
        </w:tc>
        <w:tc>
          <w:tcPr>
            <w:tcW w:w="1500" w:type="dxa"/>
          </w:tcPr>
          <w:p w14:paraId="119D86F9">
            <w:r>
              <w:t>目标IP+URL路径</w:t>
            </w:r>
          </w:p>
        </w:tc>
        <w:tc>
          <w:tcPr>
            <w:tcW w:w="1600" w:type="dxa"/>
          </w:tcPr>
          <w:p w14:paraId="6894EAF2">
            <w:r>
              <w:t>High</w:t>
            </w:r>
          </w:p>
        </w:tc>
      </w:tr>
      <w:tr w14:paraId="671A8C70">
        <w:tblPrEx>
          <w:tblCellMar>
            <w:top w:w="0" w:type="dxa"/>
            <w:left w:w="108" w:type="dxa"/>
            <w:bottom w:w="0" w:type="dxa"/>
            <w:right w:w="108" w:type="dxa"/>
          </w:tblCellMar>
        </w:tblPrEx>
        <w:tc>
          <w:tcPr>
            <w:tcW w:w="820" w:type="dxa"/>
          </w:tcPr>
          <w:p w14:paraId="4C353705">
            <w:r>
              <w:t>BEH-009</w:t>
            </w:r>
          </w:p>
        </w:tc>
        <w:tc>
          <w:tcPr>
            <w:tcW w:w="1500" w:type="dxa"/>
          </w:tcPr>
          <w:p w14:paraId="79B3BD00">
            <w:r>
              <w:t>异常出向回连</w:t>
            </w:r>
          </w:p>
        </w:tc>
        <w:tc>
          <w:tcPr>
            <w:tcW w:w="1180" w:type="dxa"/>
          </w:tcPr>
          <w:p w14:paraId="1728512A">
            <w:r>
              <w:t>T1071</w:t>
            </w:r>
          </w:p>
        </w:tc>
        <w:tc>
          <w:tcPr>
            <w:tcW w:w="2760" w:type="dxa"/>
          </w:tcPr>
          <w:p w14:paraId="06BE4D45">
            <w:r>
              <w:t>内网IP向非常规公网IP发起出向连接，端口非业务常见端口</w:t>
            </w:r>
          </w:p>
        </w:tc>
        <w:tc>
          <w:tcPr>
            <w:tcW w:w="1500" w:type="dxa"/>
          </w:tcPr>
          <w:p w14:paraId="33684A85">
            <w:r>
              <w:t>源IP+1h</w:t>
            </w:r>
          </w:p>
        </w:tc>
        <w:tc>
          <w:tcPr>
            <w:tcW w:w="1600" w:type="dxa"/>
          </w:tcPr>
          <w:p w14:paraId="0F144E7F">
            <w:r>
              <w:t>Medium</w:t>
            </w:r>
          </w:p>
        </w:tc>
      </w:tr>
      <w:tr w14:paraId="72F7429A">
        <w:tblPrEx>
          <w:tblCellMar>
            <w:top w:w="0" w:type="dxa"/>
            <w:left w:w="108" w:type="dxa"/>
            <w:bottom w:w="0" w:type="dxa"/>
            <w:right w:w="108" w:type="dxa"/>
          </w:tblCellMar>
        </w:tblPrEx>
        <w:tc>
          <w:tcPr>
            <w:tcW w:w="820" w:type="dxa"/>
          </w:tcPr>
          <w:p w14:paraId="20E41B35">
            <w:r>
              <w:t>BEH-010</w:t>
            </w:r>
          </w:p>
        </w:tc>
        <w:tc>
          <w:tcPr>
            <w:tcW w:w="1500" w:type="dxa"/>
          </w:tcPr>
          <w:p w14:paraId="59C8E57C">
            <w:r>
              <w:t>凭据窃取-关键文件访问</w:t>
            </w:r>
          </w:p>
        </w:tc>
        <w:tc>
          <w:tcPr>
            <w:tcW w:w="1180" w:type="dxa"/>
          </w:tcPr>
          <w:p w14:paraId="2A014740">
            <w:r>
              <w:t>T1003</w:t>
            </w:r>
          </w:p>
        </w:tc>
        <w:tc>
          <w:tcPr>
            <w:tcW w:w="2760" w:type="dxa"/>
          </w:tcPr>
          <w:p w14:paraId="046F7767">
            <w:r>
              <w:t>SMB/HTTP频繁读取域内关键共享或敏感路径，伴大量文件枚举</w:t>
            </w:r>
          </w:p>
        </w:tc>
        <w:tc>
          <w:tcPr>
            <w:tcW w:w="1500" w:type="dxa"/>
          </w:tcPr>
          <w:p w14:paraId="3020DB50">
            <w:r>
              <w:t>源IP+目标IP+1h</w:t>
            </w:r>
          </w:p>
        </w:tc>
        <w:tc>
          <w:tcPr>
            <w:tcW w:w="1600" w:type="dxa"/>
          </w:tcPr>
          <w:p w14:paraId="5DDEAEC5">
            <w:r>
              <w:t>High</w:t>
            </w:r>
          </w:p>
        </w:tc>
      </w:tr>
      <w:tr w14:paraId="74BC834A">
        <w:tblPrEx>
          <w:tblCellMar>
            <w:top w:w="0" w:type="dxa"/>
            <w:left w:w="108" w:type="dxa"/>
            <w:bottom w:w="0" w:type="dxa"/>
            <w:right w:w="108" w:type="dxa"/>
          </w:tblCellMar>
        </w:tblPrEx>
        <w:tc>
          <w:tcPr>
            <w:tcW w:w="820" w:type="dxa"/>
          </w:tcPr>
          <w:p w14:paraId="6C62C770">
            <w:r>
              <w:t>BEH-011</w:t>
            </w:r>
          </w:p>
        </w:tc>
        <w:tc>
          <w:tcPr>
            <w:tcW w:w="1500" w:type="dxa"/>
          </w:tcPr>
          <w:p w14:paraId="409FD9C9">
            <w:r>
              <w:t>权限提升-异常进程行为</w:t>
            </w:r>
          </w:p>
        </w:tc>
        <w:tc>
          <w:tcPr>
            <w:tcW w:w="1180" w:type="dxa"/>
          </w:tcPr>
          <w:p w14:paraId="6BB41E93">
            <w:r>
              <w:t>T1068</w:t>
            </w:r>
          </w:p>
        </w:tc>
        <w:tc>
          <w:tcPr>
            <w:tcW w:w="2760" w:type="dxa"/>
          </w:tcPr>
          <w:p w14:paraId="74081FFE">
            <w:r>
              <w:t>单主机短时大量认证/授权相关连接，伴特权端口访问</w:t>
            </w:r>
          </w:p>
        </w:tc>
        <w:tc>
          <w:tcPr>
            <w:tcW w:w="1500" w:type="dxa"/>
          </w:tcPr>
          <w:p w14:paraId="16754E46">
            <w:r>
              <w:t>源IP+1h</w:t>
            </w:r>
          </w:p>
        </w:tc>
        <w:tc>
          <w:tcPr>
            <w:tcW w:w="1600" w:type="dxa"/>
          </w:tcPr>
          <w:p w14:paraId="449D92AA">
            <w:r>
              <w:t>High</w:t>
            </w:r>
          </w:p>
        </w:tc>
      </w:tr>
      <w:tr w14:paraId="1A5C23E2">
        <w:tblPrEx>
          <w:tblCellMar>
            <w:top w:w="0" w:type="dxa"/>
            <w:left w:w="108" w:type="dxa"/>
            <w:bottom w:w="0" w:type="dxa"/>
            <w:right w:w="108" w:type="dxa"/>
          </w:tblCellMar>
        </w:tblPrEx>
        <w:tc>
          <w:tcPr>
            <w:tcW w:w="820" w:type="dxa"/>
          </w:tcPr>
          <w:p w14:paraId="435A27DD">
            <w:r>
              <w:t>BEH-012</w:t>
            </w:r>
          </w:p>
        </w:tc>
        <w:tc>
          <w:tcPr>
            <w:tcW w:w="1500" w:type="dxa"/>
          </w:tcPr>
          <w:p w14:paraId="6F27A918">
            <w:r>
              <w:t>横向移动-RDP爆破</w:t>
            </w:r>
          </w:p>
        </w:tc>
        <w:tc>
          <w:tcPr>
            <w:tcW w:w="1180" w:type="dxa"/>
          </w:tcPr>
          <w:p w14:paraId="2669440F">
            <w:r>
              <w:t>T1021.001</w:t>
            </w:r>
          </w:p>
        </w:tc>
        <w:tc>
          <w:tcPr>
            <w:tcW w:w="2760" w:type="dxa"/>
          </w:tcPr>
          <w:p w14:paraId="2E532900">
            <w:r>
              <w:t>源IP对多个目标IP:3389大量RDP连接，失败状态码集中</w:t>
            </w:r>
          </w:p>
        </w:tc>
        <w:tc>
          <w:tcPr>
            <w:tcW w:w="1500" w:type="dxa"/>
          </w:tcPr>
          <w:p w14:paraId="65F52747">
            <w:r>
              <w:t>源IP+5min窗口</w:t>
            </w:r>
          </w:p>
        </w:tc>
        <w:tc>
          <w:tcPr>
            <w:tcW w:w="1600" w:type="dxa"/>
          </w:tcPr>
          <w:p w14:paraId="628D1CD6">
            <w:r>
              <w:t>Medium</w:t>
            </w:r>
          </w:p>
        </w:tc>
      </w:tr>
    </w:tbl>
    <w:p w14:paraId="0875DCAD">
      <w:pPr>
        <w:ind w:firstLine="480"/>
        <w:outlineLvl w:val="1"/>
        <w:rPr>
          <w:b/>
          <w:bCs/>
        </w:rPr>
      </w:pPr>
      <w:r>
        <w:rPr>
          <w:b/>
          <w:bCs/>
        </w:rPr>
        <w:t>2. 聚合规则（三层粒度+预聚合）</w:t>
      </w:r>
    </w:p>
    <w:p w14:paraId="75332843">
      <w:pPr>
        <w:ind w:firstLine="480"/>
      </w:pPr>
      <w:r>
        <w:t>原始Zeek日志为逐条连接记录，模型不逐条分析，先由规则引擎按三层粒度预聚合，再将聚合摘要作为模型输入，最大限度压缩token占用。</w:t>
      </w:r>
    </w:p>
    <w:tbl>
      <w:tblPr>
        <w:tblStyle w:val="2"/>
        <w:tblW w:w="9360" w:type="dxa"/>
        <w:tblInd w:w="0" w:type="dxa"/>
        <w:tblLayout w:type="autofit"/>
        <w:tblCellMar>
          <w:top w:w="0" w:type="dxa"/>
          <w:left w:w="108" w:type="dxa"/>
          <w:bottom w:w="0" w:type="dxa"/>
          <w:right w:w="108" w:type="dxa"/>
        </w:tblCellMar>
      </w:tblPr>
      <w:tblGrid>
        <w:gridCol w:w="1500"/>
        <w:gridCol w:w="2600"/>
        <w:gridCol w:w="1600"/>
        <w:gridCol w:w="3660"/>
      </w:tblGrid>
      <w:tr w14:paraId="3484374F">
        <w:tblPrEx>
          <w:tblCellMar>
            <w:top w:w="0" w:type="dxa"/>
            <w:left w:w="108" w:type="dxa"/>
            <w:bottom w:w="0" w:type="dxa"/>
            <w:right w:w="108" w:type="dxa"/>
          </w:tblCellMar>
        </w:tblPrEx>
        <w:trPr>
          <w:tblHeader/>
        </w:trPr>
        <w:tc>
          <w:tcPr>
            <w:tcW w:w="1500" w:type="dxa"/>
            <w:shd w:val="clear" w:color="auto" w:fill="D5E8F0"/>
          </w:tcPr>
          <w:p w14:paraId="06C7593C">
            <w:pPr>
              <w:jc w:val="center"/>
            </w:pPr>
            <w:r>
              <w:rPr>
                <w:b/>
              </w:rPr>
              <w:t>聚合层级</w:t>
            </w:r>
          </w:p>
        </w:tc>
        <w:tc>
          <w:tcPr>
            <w:tcW w:w="2600" w:type="dxa"/>
            <w:shd w:val="clear" w:color="auto" w:fill="D5E8F0"/>
          </w:tcPr>
          <w:p w14:paraId="58749CBE">
            <w:pPr>
              <w:jc w:val="center"/>
            </w:pPr>
            <w:r>
              <w:rPr>
                <w:b/>
              </w:rPr>
              <w:t>聚合键</w:t>
            </w:r>
          </w:p>
        </w:tc>
        <w:tc>
          <w:tcPr>
            <w:tcW w:w="1600" w:type="dxa"/>
            <w:shd w:val="clear" w:color="auto" w:fill="D5E8F0"/>
          </w:tcPr>
          <w:p w14:paraId="69EFC4EB">
            <w:pPr>
              <w:jc w:val="center"/>
            </w:pPr>
            <w:r>
              <w:rPr>
                <w:b/>
              </w:rPr>
              <w:t>时间窗口</w:t>
            </w:r>
          </w:p>
        </w:tc>
        <w:tc>
          <w:tcPr>
            <w:tcW w:w="3660" w:type="dxa"/>
            <w:shd w:val="clear" w:color="auto" w:fill="D5E8F0"/>
          </w:tcPr>
          <w:p w14:paraId="41F1C276">
            <w:pPr>
              <w:jc w:val="center"/>
            </w:pPr>
            <w:r>
              <w:rPr>
                <w:b/>
              </w:rPr>
              <w:t>输出示例</w:t>
            </w:r>
          </w:p>
        </w:tc>
      </w:tr>
      <w:tr w14:paraId="1A070C4A">
        <w:tblPrEx>
          <w:tblCellMar>
            <w:top w:w="0" w:type="dxa"/>
            <w:left w:w="108" w:type="dxa"/>
            <w:bottom w:w="0" w:type="dxa"/>
            <w:right w:w="108" w:type="dxa"/>
          </w:tblCellMar>
        </w:tblPrEx>
        <w:tc>
          <w:tcPr>
            <w:tcW w:w="1500" w:type="dxa"/>
          </w:tcPr>
          <w:p w14:paraId="24A559C1">
            <w:r>
              <w:t>会话级</w:t>
            </w:r>
          </w:p>
        </w:tc>
        <w:tc>
          <w:tcPr>
            <w:tcW w:w="2600" w:type="dxa"/>
          </w:tcPr>
          <w:p w14:paraId="3F6BC778">
            <w:r>
              <w:t>源IP:源端口 &lt;-&gt; 目标IP:目标端口</w:t>
            </w:r>
          </w:p>
        </w:tc>
        <w:tc>
          <w:tcPr>
            <w:tcW w:w="1600" w:type="dxa"/>
          </w:tcPr>
          <w:p w14:paraId="35BCE24E">
            <w:r>
              <w:t>单次连接</w:t>
            </w:r>
          </w:p>
        </w:tc>
        <w:tc>
          <w:tcPr>
            <w:tcW w:w="3660" w:type="dxa"/>
          </w:tcPr>
          <w:p w14:paraId="1C4B9053">
            <w:r>
              <w:t>一次HTTP请求的全部元数据摘要</w:t>
            </w:r>
          </w:p>
        </w:tc>
      </w:tr>
      <w:tr w14:paraId="5CB61606">
        <w:tblPrEx>
          <w:tblCellMar>
            <w:top w:w="0" w:type="dxa"/>
            <w:left w:w="108" w:type="dxa"/>
            <w:bottom w:w="0" w:type="dxa"/>
            <w:right w:w="108" w:type="dxa"/>
          </w:tblCellMar>
        </w:tblPrEx>
        <w:tc>
          <w:tcPr>
            <w:tcW w:w="1500" w:type="dxa"/>
          </w:tcPr>
          <w:p w14:paraId="12A8F1EC">
            <w:r>
              <w:t>流级</w:t>
            </w:r>
          </w:p>
        </w:tc>
        <w:tc>
          <w:tcPr>
            <w:tcW w:w="2600" w:type="dxa"/>
          </w:tcPr>
          <w:p w14:paraId="5DAE453E">
            <w:r>
              <w:t>源IP &lt;-&gt; 目标IP + 服务端口</w:t>
            </w:r>
          </w:p>
        </w:tc>
        <w:tc>
          <w:tcPr>
            <w:tcW w:w="1600" w:type="dxa"/>
          </w:tcPr>
          <w:p w14:paraId="5B54096A">
            <w:r>
              <w:t>5分钟</w:t>
            </w:r>
          </w:p>
        </w:tc>
        <w:tc>
          <w:tcPr>
            <w:tcW w:w="3660" w:type="dxa"/>
          </w:tcPr>
          <w:p w14:paraId="10E385F9">
            <w:r>
              <w:t>同对IP间连接统计(包数/字节数/状态码分布)</w:t>
            </w:r>
          </w:p>
        </w:tc>
      </w:tr>
      <w:tr w14:paraId="5D2A4DB8">
        <w:tblPrEx>
          <w:tblCellMar>
            <w:top w:w="0" w:type="dxa"/>
            <w:left w:w="108" w:type="dxa"/>
            <w:bottom w:w="0" w:type="dxa"/>
            <w:right w:w="108" w:type="dxa"/>
          </w:tblCellMar>
        </w:tblPrEx>
        <w:tc>
          <w:tcPr>
            <w:tcW w:w="1500" w:type="dxa"/>
          </w:tcPr>
          <w:p w14:paraId="57E271C0">
            <w:r>
              <w:t>主机级</w:t>
            </w:r>
          </w:p>
        </w:tc>
        <w:tc>
          <w:tcPr>
            <w:tcW w:w="2600" w:type="dxa"/>
          </w:tcPr>
          <w:p w14:paraId="4C7F263A">
            <w:r>
              <w:t>源IP 或 目标IP</w:t>
            </w:r>
          </w:p>
        </w:tc>
        <w:tc>
          <w:tcPr>
            <w:tcW w:w="1600" w:type="dxa"/>
          </w:tcPr>
          <w:p w14:paraId="45610B59">
            <w:r>
              <w:t>1小时</w:t>
            </w:r>
          </w:p>
        </w:tc>
        <w:tc>
          <w:tcPr>
            <w:tcW w:w="3660" w:type="dxa"/>
          </w:tcPr>
          <w:p w14:paraId="3FAD6C98">
            <w:r>
              <w:t>某IP参与的全部会话摘要(目标数/协议/异常行为)</w:t>
            </w:r>
          </w:p>
        </w:tc>
      </w:tr>
    </w:tbl>
    <w:p w14:paraId="2A54D978">
      <w:pPr>
        <w:ind w:firstLine="480"/>
      </w:pPr>
      <w:r>
        <w:t>规则预聚合：对同一会话重复行为(如连续登录失败)合并为“次数/首末时间/去重payload列表”一条聚合记录；对明显扫描行为(大量不同端口SYN)由规则直接打标，不送模型；对低频但可疑行为(如单次大包外传)保留原始记录送模型。模型输入始终为“事件摘要”而非原始日志全文。</w:t>
      </w:r>
    </w:p>
    <w:p w14:paraId="093F2921">
      <w:pPr>
        <w:ind w:firstLine="480"/>
        <w:outlineLvl w:val="1"/>
        <w:rPr>
          <w:b/>
          <w:bCs/>
        </w:rPr>
      </w:pPr>
      <w:r>
        <w:rPr>
          <w:b/>
          <w:bCs/>
        </w:rPr>
        <w:t>3. 关联分析（规则为主、模型辅助+MCP工具数值化）</w:t>
      </w:r>
    </w:p>
    <w:p w14:paraId="16E005A1">
      <w:pPr>
        <w:ind w:firstLine="480"/>
      </w:pPr>
      <w:r>
        <w:t>攻击往往非孤立会话，需发现“A-&gt;B扫描、B-&gt;C横向移动、C-&gt;D外传”的攻击链。采用“规则引擎为主做确定性关联触发、模型为辅做综合研判”的策略，并为模型开发一组可直接调用的MCP关联查询工具——模型传入关联参数值，工具运行返回预期结果数值，模型据此研判，避免模型自行海量检索。</w:t>
      </w:r>
    </w:p>
    <w:tbl>
      <w:tblPr>
        <w:tblStyle w:val="2"/>
        <w:tblW w:w="9360" w:type="dxa"/>
        <w:tblInd w:w="0" w:type="dxa"/>
        <w:tblLayout w:type="autofit"/>
        <w:tblCellMar>
          <w:top w:w="0" w:type="dxa"/>
          <w:left w:w="108" w:type="dxa"/>
          <w:bottom w:w="0" w:type="dxa"/>
          <w:right w:w="108" w:type="dxa"/>
        </w:tblCellMar>
      </w:tblPr>
      <w:tblGrid>
        <w:gridCol w:w="1800"/>
        <w:gridCol w:w="4000"/>
        <w:gridCol w:w="3560"/>
      </w:tblGrid>
      <w:tr w14:paraId="7DC9A2F3">
        <w:tblPrEx>
          <w:tblCellMar>
            <w:top w:w="0" w:type="dxa"/>
            <w:left w:w="108" w:type="dxa"/>
            <w:bottom w:w="0" w:type="dxa"/>
            <w:right w:w="108" w:type="dxa"/>
          </w:tblCellMar>
        </w:tblPrEx>
        <w:trPr>
          <w:tblHeader/>
        </w:trPr>
        <w:tc>
          <w:tcPr>
            <w:tcW w:w="1800" w:type="dxa"/>
            <w:shd w:val="clear" w:color="auto" w:fill="D5E8F0"/>
          </w:tcPr>
          <w:p w14:paraId="189538B6">
            <w:pPr>
              <w:jc w:val="center"/>
            </w:pPr>
            <w:r>
              <w:rPr>
                <w:b/>
              </w:rPr>
              <w:t>关联规则层级</w:t>
            </w:r>
          </w:p>
        </w:tc>
        <w:tc>
          <w:tcPr>
            <w:tcW w:w="4000" w:type="dxa"/>
            <w:shd w:val="clear" w:color="auto" w:fill="D5E8F0"/>
          </w:tcPr>
          <w:p w14:paraId="49854EA5">
            <w:pPr>
              <w:jc w:val="center"/>
            </w:pPr>
            <w:r>
              <w:rPr>
                <w:b/>
              </w:rPr>
              <w:t>规则定义</w:t>
            </w:r>
          </w:p>
        </w:tc>
        <w:tc>
          <w:tcPr>
            <w:tcW w:w="3560" w:type="dxa"/>
            <w:shd w:val="clear" w:color="auto" w:fill="D5E8F0"/>
          </w:tcPr>
          <w:p w14:paraId="6B16BCFF">
            <w:pPr>
              <w:jc w:val="center"/>
            </w:pPr>
            <w:r>
              <w:rPr>
                <w:b/>
              </w:rPr>
              <w:t>实现方式</w:t>
            </w:r>
          </w:p>
        </w:tc>
      </w:tr>
      <w:tr w14:paraId="36CD8687">
        <w:tblPrEx>
          <w:tblCellMar>
            <w:top w:w="0" w:type="dxa"/>
            <w:left w:w="108" w:type="dxa"/>
            <w:bottom w:w="0" w:type="dxa"/>
            <w:right w:w="108" w:type="dxa"/>
          </w:tblCellMar>
        </w:tblPrEx>
        <w:tc>
          <w:tcPr>
            <w:tcW w:w="1800" w:type="dxa"/>
          </w:tcPr>
          <w:p w14:paraId="1FA88036">
            <w:r>
              <w:t>同源关联</w:t>
            </w:r>
          </w:p>
        </w:tc>
        <w:tc>
          <w:tcPr>
            <w:tcW w:w="4000" w:type="dxa"/>
          </w:tcPr>
          <w:p w14:paraId="1244EB36">
            <w:r>
              <w:t>同一源IP短时内对不同目标发起同类行为，疑似扫描或横向移动</w:t>
            </w:r>
          </w:p>
        </w:tc>
        <w:tc>
          <w:tcPr>
            <w:tcW w:w="3560" w:type="dxa"/>
          </w:tcPr>
          <w:p w14:paraId="6404A6E5">
            <w:r>
              <w:t>规则引擎触发，生成关联事件送模型</w:t>
            </w:r>
          </w:p>
        </w:tc>
      </w:tr>
      <w:tr w14:paraId="42849ABC">
        <w:tblPrEx>
          <w:tblCellMar>
            <w:top w:w="0" w:type="dxa"/>
            <w:left w:w="108" w:type="dxa"/>
            <w:bottom w:w="0" w:type="dxa"/>
            <w:right w:w="108" w:type="dxa"/>
          </w:tblCellMar>
        </w:tblPrEx>
        <w:tc>
          <w:tcPr>
            <w:tcW w:w="1800" w:type="dxa"/>
          </w:tcPr>
          <w:p w14:paraId="316A43B7">
            <w:r>
              <w:t>同目标关联</w:t>
            </w:r>
          </w:p>
        </w:tc>
        <w:tc>
          <w:tcPr>
            <w:tcW w:w="4000" w:type="dxa"/>
          </w:tcPr>
          <w:p w14:paraId="3F6D1816">
            <w:r>
              <w:t>不同源IP对同一目标发起同类行为，疑似分布式攻击</w:t>
            </w:r>
          </w:p>
        </w:tc>
        <w:tc>
          <w:tcPr>
            <w:tcW w:w="3560" w:type="dxa"/>
          </w:tcPr>
          <w:p w14:paraId="1CED229B">
            <w:r>
              <w:t>规则引擎触发，生成关联事件送模型</w:t>
            </w:r>
          </w:p>
        </w:tc>
      </w:tr>
      <w:tr w14:paraId="603BFB50">
        <w:tblPrEx>
          <w:tblCellMar>
            <w:top w:w="0" w:type="dxa"/>
            <w:left w:w="108" w:type="dxa"/>
            <w:bottom w:w="0" w:type="dxa"/>
            <w:right w:w="108" w:type="dxa"/>
          </w:tblCellMar>
        </w:tblPrEx>
        <w:tc>
          <w:tcPr>
            <w:tcW w:w="1800" w:type="dxa"/>
          </w:tcPr>
          <w:p w14:paraId="15269A34">
            <w:r>
              <w:t>时序因果关联</w:t>
            </w:r>
          </w:p>
        </w:tc>
        <w:tc>
          <w:tcPr>
            <w:tcW w:w="4000" w:type="dxa"/>
          </w:tcPr>
          <w:p w14:paraId="4EAFA036">
            <w:r>
              <w:t>A在T1扫描B，B在T2开始主动对外连接，疑似B已被攻陷</w:t>
            </w:r>
          </w:p>
        </w:tc>
        <w:tc>
          <w:tcPr>
            <w:tcW w:w="3560" w:type="dxa"/>
          </w:tcPr>
          <w:p w14:paraId="65EFAF9B">
            <w:r>
              <w:t>规则引擎检测时序链，模型综合确认</w:t>
            </w:r>
          </w:p>
        </w:tc>
      </w:tr>
    </w:tbl>
    <w:p w14:paraId="7C8D5E41">
      <w:pPr>
        <w:ind w:firstLine="480"/>
      </w:pPr>
      <w:r>
        <w:t>MCP关联查询工具集（模型传参-&gt;工具返回结构化数值）：</w:t>
      </w:r>
    </w:p>
    <w:tbl>
      <w:tblPr>
        <w:tblStyle w:val="2"/>
        <w:tblW w:w="9360" w:type="dxa"/>
        <w:tblInd w:w="0" w:type="dxa"/>
        <w:tblLayout w:type="autofit"/>
        <w:tblCellMar>
          <w:top w:w="0" w:type="dxa"/>
          <w:left w:w="108" w:type="dxa"/>
          <w:bottom w:w="0" w:type="dxa"/>
          <w:right w:w="108" w:type="dxa"/>
        </w:tblCellMar>
      </w:tblPr>
      <w:tblGrid>
        <w:gridCol w:w="2400"/>
        <w:gridCol w:w="3200"/>
        <w:gridCol w:w="3760"/>
      </w:tblGrid>
      <w:tr w14:paraId="6F08F6BB">
        <w:tblPrEx>
          <w:tblCellMar>
            <w:top w:w="0" w:type="dxa"/>
            <w:left w:w="108" w:type="dxa"/>
            <w:bottom w:w="0" w:type="dxa"/>
            <w:right w:w="108" w:type="dxa"/>
          </w:tblCellMar>
        </w:tblPrEx>
        <w:trPr>
          <w:tblHeader/>
        </w:trPr>
        <w:tc>
          <w:tcPr>
            <w:tcW w:w="2400" w:type="dxa"/>
            <w:shd w:val="clear" w:color="auto" w:fill="D5E8F0"/>
          </w:tcPr>
          <w:p w14:paraId="62E65757">
            <w:pPr>
              <w:jc w:val="center"/>
            </w:pPr>
            <w:r>
              <w:rPr>
                <w:b/>
              </w:rPr>
              <w:t>工具名称</w:t>
            </w:r>
          </w:p>
        </w:tc>
        <w:tc>
          <w:tcPr>
            <w:tcW w:w="3200" w:type="dxa"/>
            <w:shd w:val="clear" w:color="auto" w:fill="D5E8F0"/>
          </w:tcPr>
          <w:p w14:paraId="4F0F8CCD">
            <w:pPr>
              <w:jc w:val="center"/>
            </w:pPr>
            <w:r>
              <w:rPr>
                <w:b/>
              </w:rPr>
              <w:t>输入参数</w:t>
            </w:r>
          </w:p>
        </w:tc>
        <w:tc>
          <w:tcPr>
            <w:tcW w:w="3760" w:type="dxa"/>
            <w:shd w:val="clear" w:color="auto" w:fill="D5E8F0"/>
          </w:tcPr>
          <w:p w14:paraId="2DA561F5">
            <w:pPr>
              <w:jc w:val="center"/>
            </w:pPr>
            <w:r>
              <w:rPr>
                <w:b/>
              </w:rPr>
              <w:t>返回结果(数值/结构化)</w:t>
            </w:r>
          </w:p>
        </w:tc>
      </w:tr>
      <w:tr w14:paraId="058E2FF1">
        <w:tblPrEx>
          <w:tblCellMar>
            <w:top w:w="0" w:type="dxa"/>
            <w:left w:w="108" w:type="dxa"/>
            <w:bottom w:w="0" w:type="dxa"/>
            <w:right w:w="108" w:type="dxa"/>
          </w:tblCellMar>
        </w:tblPrEx>
        <w:tc>
          <w:tcPr>
            <w:tcW w:w="2400" w:type="dxa"/>
          </w:tcPr>
          <w:p w14:paraId="56BE01A3">
            <w:r>
              <w:t>query_peer_relations</w:t>
            </w:r>
          </w:p>
        </w:tc>
        <w:tc>
          <w:tcPr>
            <w:tcW w:w="3200" w:type="dxa"/>
          </w:tcPr>
          <w:p w14:paraId="523AE33D">
            <w:r>
              <w:t>ip, time_range, direction</w:t>
            </w:r>
          </w:p>
        </w:tc>
        <w:tc>
          <w:tcPr>
            <w:tcW w:w="3760" w:type="dxa"/>
          </w:tcPr>
          <w:p w14:paraId="53265324">
            <w:r>
              <w:t>该IP的对端关系列表(IP/连接次数/首末时间)</w:t>
            </w:r>
          </w:p>
        </w:tc>
      </w:tr>
      <w:tr w14:paraId="6B759538">
        <w:tblPrEx>
          <w:tblCellMar>
            <w:top w:w="0" w:type="dxa"/>
            <w:left w:w="108" w:type="dxa"/>
            <w:bottom w:w="0" w:type="dxa"/>
            <w:right w:w="108" w:type="dxa"/>
          </w:tblCellMar>
        </w:tblPrEx>
        <w:tc>
          <w:tcPr>
            <w:tcW w:w="2400" w:type="dxa"/>
          </w:tcPr>
          <w:p w14:paraId="305C3E31">
            <w:r>
              <w:t>count_behavior_hits</w:t>
            </w:r>
          </w:p>
        </w:tc>
        <w:tc>
          <w:tcPr>
            <w:tcW w:w="3200" w:type="dxa"/>
          </w:tcPr>
          <w:p w14:paraId="19C59016">
            <w:r>
              <w:t>ip, behavior_ids[], time_range</w:t>
            </w:r>
          </w:p>
        </w:tc>
        <w:tc>
          <w:tcPr>
            <w:tcW w:w="3760" w:type="dxa"/>
          </w:tcPr>
          <w:p w14:paraId="099428D1">
            <w:r>
              <w:t>指定IP在时间内命中各行为编号的计数</w:t>
            </w:r>
          </w:p>
        </w:tc>
      </w:tr>
      <w:tr w14:paraId="758FAB64">
        <w:tblPrEx>
          <w:tblCellMar>
            <w:top w:w="0" w:type="dxa"/>
            <w:left w:w="108" w:type="dxa"/>
            <w:bottom w:w="0" w:type="dxa"/>
            <w:right w:w="108" w:type="dxa"/>
          </w:tblCellMar>
        </w:tblPrEx>
        <w:tc>
          <w:tcPr>
            <w:tcW w:w="2400" w:type="dxa"/>
          </w:tcPr>
          <w:p w14:paraId="37D63930">
            <w:r>
              <w:t>detect_chain_sequence</w:t>
            </w:r>
          </w:p>
        </w:tc>
        <w:tc>
          <w:tcPr>
            <w:tcW w:w="3200" w:type="dxa"/>
          </w:tcPr>
          <w:p w14:paraId="0A4E795E">
            <w:r>
              <w:t>ips[], behavior_chain[], time_range</w:t>
            </w:r>
          </w:p>
        </w:tc>
        <w:tc>
          <w:tcPr>
            <w:tcW w:w="3760" w:type="dxa"/>
          </w:tcPr>
          <w:p w14:paraId="69C665A5">
            <w:r>
              <w:t>按给定行为链顺序检测多IP间是否存在时序链(0/1及命中路径)</w:t>
            </w:r>
          </w:p>
        </w:tc>
      </w:tr>
      <w:tr w14:paraId="2588CBCD">
        <w:tblPrEx>
          <w:tblCellMar>
            <w:top w:w="0" w:type="dxa"/>
            <w:left w:w="108" w:type="dxa"/>
            <w:bottom w:w="0" w:type="dxa"/>
            <w:right w:w="108" w:type="dxa"/>
          </w:tblCellMar>
        </w:tblPrEx>
        <w:tc>
          <w:tcPr>
            <w:tcW w:w="2400" w:type="dxa"/>
          </w:tcPr>
          <w:p w14:paraId="3DB0D024">
            <w:r>
              <w:t>get_entity_profile</w:t>
            </w:r>
          </w:p>
        </w:tc>
        <w:tc>
          <w:tcPr>
            <w:tcW w:w="3200" w:type="dxa"/>
          </w:tcPr>
          <w:p w14:paraId="40D8EE1F">
            <w:r>
              <w:t>ip, top_n</w:t>
            </w:r>
          </w:p>
        </w:tc>
        <w:tc>
          <w:tcPr>
            <w:tcW w:w="3760" w:type="dxa"/>
          </w:tcPr>
          <w:p w14:paraId="7F0D41B1">
            <w:r>
              <w:t>该IP的实体画像摘要(最近N条行为摘要)</w:t>
            </w:r>
          </w:p>
        </w:tc>
      </w:tr>
    </w:tbl>
    <w:p w14:paraId="4D9A7B92">
      <w:pPr>
        <w:ind w:firstLine="480"/>
      </w:pPr>
      <w:r>
        <w:t>模型只做综合研判、不做海量检索，上下文占用可控；规则引擎确定性高、开销小，模型仅在规则触发“可疑关联”后做确认性研判。</w:t>
      </w:r>
    </w:p>
    <w:p w14:paraId="581E9229">
      <w:pPr>
        <w:ind w:firstLine="480"/>
        <w:outlineLvl w:val="1"/>
        <w:rPr>
          <w:b/>
          <w:bCs/>
        </w:rPr>
      </w:pPr>
      <w:r>
        <w:rPr>
          <w:b/>
          <w:bCs/>
        </w:rPr>
        <w:t>4. 时间回溯策略（按数据冷热与查询跨度三级递进）</w:t>
      </w:r>
    </w:p>
    <w:p w14:paraId="6FD9C833">
      <w:pPr>
        <w:ind w:firstLine="480"/>
      </w:pPr>
      <w:r>
        <w:t>智能体分析当前事件时如需历史行为上下文，按数据冷热与查询时间跨度依次优先级查询，命中即止，避免每次都对ES做全量回溯查询。默认回溯过去1小时相关会话，High事件扩展至24小时，仅对risk_level&gt;=Medium的事件启用回溯(Low事件直接忽略)以控制ES查询压力。</w:t>
      </w:r>
    </w:p>
    <w:tbl>
      <w:tblPr>
        <w:tblStyle w:val="2"/>
        <w:tblW w:w="9360" w:type="dxa"/>
        <w:tblInd w:w="0" w:type="dxa"/>
        <w:tblLayout w:type="autofit"/>
        <w:tblCellMar>
          <w:top w:w="0" w:type="dxa"/>
          <w:left w:w="108" w:type="dxa"/>
          <w:bottom w:w="0" w:type="dxa"/>
          <w:right w:w="108" w:type="dxa"/>
        </w:tblCellMar>
      </w:tblPr>
      <w:tblGrid>
        <w:gridCol w:w="1000"/>
        <w:gridCol w:w="2600"/>
        <w:gridCol w:w="2000"/>
        <w:gridCol w:w="3760"/>
      </w:tblGrid>
      <w:tr w14:paraId="03C3EFEC">
        <w:tblPrEx>
          <w:tblCellMar>
            <w:top w:w="0" w:type="dxa"/>
            <w:left w:w="108" w:type="dxa"/>
            <w:bottom w:w="0" w:type="dxa"/>
            <w:right w:w="108" w:type="dxa"/>
          </w:tblCellMar>
        </w:tblPrEx>
        <w:trPr>
          <w:tblHeader/>
        </w:trPr>
        <w:tc>
          <w:tcPr>
            <w:tcW w:w="1000" w:type="dxa"/>
            <w:shd w:val="clear" w:color="auto" w:fill="D5E8F0"/>
          </w:tcPr>
          <w:p w14:paraId="27B50345">
            <w:pPr>
              <w:jc w:val="center"/>
            </w:pPr>
            <w:r>
              <w:rPr>
                <w:b/>
              </w:rPr>
              <w:t>优先级</w:t>
            </w:r>
          </w:p>
        </w:tc>
        <w:tc>
          <w:tcPr>
            <w:tcW w:w="2600" w:type="dxa"/>
            <w:shd w:val="clear" w:color="auto" w:fill="D5E8F0"/>
          </w:tcPr>
          <w:p w14:paraId="7499E93B">
            <w:pPr>
              <w:jc w:val="center"/>
            </w:pPr>
            <w:r>
              <w:rPr>
                <w:b/>
              </w:rPr>
              <w:t>数据来源</w:t>
            </w:r>
          </w:p>
        </w:tc>
        <w:tc>
          <w:tcPr>
            <w:tcW w:w="2000" w:type="dxa"/>
            <w:shd w:val="clear" w:color="auto" w:fill="D5E8F0"/>
          </w:tcPr>
          <w:p w14:paraId="2CC6CA58">
            <w:pPr>
              <w:jc w:val="center"/>
            </w:pPr>
            <w:r>
              <w:rPr>
                <w:b/>
              </w:rPr>
              <w:t>数据冷热/跨度</w:t>
            </w:r>
          </w:p>
        </w:tc>
        <w:tc>
          <w:tcPr>
            <w:tcW w:w="3760" w:type="dxa"/>
            <w:shd w:val="clear" w:color="auto" w:fill="D5E8F0"/>
          </w:tcPr>
          <w:p w14:paraId="7B7E4ADE">
            <w:pPr>
              <w:jc w:val="center"/>
            </w:pPr>
            <w:r>
              <w:rPr>
                <w:b/>
              </w:rPr>
              <w:t>查询方式与用途</w:t>
            </w:r>
          </w:p>
        </w:tc>
      </w:tr>
      <w:tr w14:paraId="0162498A">
        <w:tblPrEx>
          <w:tblCellMar>
            <w:top w:w="0" w:type="dxa"/>
            <w:left w:w="108" w:type="dxa"/>
            <w:bottom w:w="0" w:type="dxa"/>
            <w:right w:w="108" w:type="dxa"/>
          </w:tblCellMar>
        </w:tblPrEx>
        <w:tc>
          <w:tcPr>
            <w:tcW w:w="1000" w:type="dxa"/>
          </w:tcPr>
          <w:p w14:paraId="627D2202">
            <w:r>
              <w:t>①优先</w:t>
            </w:r>
          </w:p>
        </w:tc>
        <w:tc>
          <w:tcPr>
            <w:tcW w:w="2600" w:type="dxa"/>
          </w:tcPr>
          <w:p w14:paraId="33EB2982">
            <w:r>
              <w:t>Redis缓存的近期分析结果</w:t>
            </w:r>
          </w:p>
        </w:tc>
        <w:tc>
          <w:tcPr>
            <w:tcW w:w="2000" w:type="dxa"/>
          </w:tcPr>
          <w:p w14:paraId="4FB74CAA">
            <w:r>
              <w:t>热/分钟~1h</w:t>
            </w:r>
          </w:p>
        </w:tc>
        <w:tc>
          <w:tcPr>
            <w:tcW w:w="3760" w:type="dxa"/>
          </w:tcPr>
          <w:p w14:paraId="0CFCD301">
            <w:r>
              <w:t>按会话键查agent:result:*，含实体画像近期摘要，命中即跳过推理/回溯</w:t>
            </w:r>
          </w:p>
        </w:tc>
      </w:tr>
      <w:tr w14:paraId="0396DE91">
        <w:tblPrEx>
          <w:tblCellMar>
            <w:top w:w="0" w:type="dxa"/>
            <w:left w:w="108" w:type="dxa"/>
            <w:bottom w:w="0" w:type="dxa"/>
            <w:right w:w="108" w:type="dxa"/>
          </w:tblCellMar>
        </w:tblPrEx>
        <w:tc>
          <w:tcPr>
            <w:tcW w:w="1000" w:type="dxa"/>
          </w:tcPr>
          <w:p w14:paraId="543F9FB6">
            <w:r>
              <w:t>②次查</w:t>
            </w:r>
          </w:p>
        </w:tc>
        <w:tc>
          <w:tcPr>
            <w:tcW w:w="2600" w:type="dxa"/>
          </w:tcPr>
          <w:p w14:paraId="196758E9">
            <w:r>
              <w:t>Redis落盘至ES的长期分析结果历史</w:t>
            </w:r>
          </w:p>
        </w:tc>
        <w:tc>
          <w:tcPr>
            <w:tcW w:w="2000" w:type="dxa"/>
          </w:tcPr>
          <w:p w14:paraId="208A6624">
            <w:r>
              <w:t>温/1h~数天</w:t>
            </w:r>
          </w:p>
        </w:tc>
        <w:tc>
          <w:tcPr>
            <w:tcW w:w="3760" w:type="dxa"/>
          </w:tcPr>
          <w:p w14:paraId="4F31553C">
            <w:r>
              <w:t>Redis TTL过期结论异步落盘ES，按IP/时间检索历史结论</w:t>
            </w:r>
          </w:p>
        </w:tc>
      </w:tr>
      <w:tr w14:paraId="41DD11CF">
        <w:tblPrEx>
          <w:tblCellMar>
            <w:top w:w="0" w:type="dxa"/>
            <w:left w:w="108" w:type="dxa"/>
            <w:bottom w:w="0" w:type="dxa"/>
            <w:right w:w="108" w:type="dxa"/>
          </w:tblCellMar>
        </w:tblPrEx>
        <w:tc>
          <w:tcPr>
            <w:tcW w:w="1000" w:type="dxa"/>
          </w:tcPr>
          <w:p w14:paraId="0A0A0827">
            <w:r>
              <w:t>③兜底</w:t>
            </w:r>
          </w:p>
        </w:tc>
        <w:tc>
          <w:tcPr>
            <w:tcW w:w="2600" w:type="dxa"/>
          </w:tcPr>
          <w:p w14:paraId="00E55A22">
            <w:r>
              <w:t>调用MCP工具查询ES</w:t>
            </w:r>
          </w:p>
        </w:tc>
        <w:tc>
          <w:tcPr>
            <w:tcW w:w="2000" w:type="dxa"/>
          </w:tcPr>
          <w:p w14:paraId="5D38165E">
            <w:r>
              <w:t>冷/数天+</w:t>
            </w:r>
          </w:p>
        </w:tc>
        <w:tc>
          <w:tcPr>
            <w:tcW w:w="3760" w:type="dxa"/>
          </w:tcPr>
          <w:p w14:paraId="739709E3">
            <w:r>
              <w:t>es_search(index, query DSL/时间范围, agg)返回统计数值</w:t>
            </w:r>
          </w:p>
        </w:tc>
      </w:tr>
    </w:tbl>
    <w:p w14:paraId="192A21A7">
      <w:pPr>
        <w:ind w:firstLine="480"/>
      </w:pPr>
      <w:r>
        <w:t>回溯结果经压缩(每条&lt;=100tokens)后注入上下文；仅当前两级不满足时才触发第三级MCP查ES，以控制查询压力。</w:t>
      </w:r>
    </w:p>
    <w:p w14:paraId="6098A5EB">
      <w:pPr>
        <w:ind w:firstLine="480"/>
        <w:outlineLvl w:val="1"/>
        <w:rPr>
          <w:b/>
          <w:bCs/>
        </w:rPr>
      </w:pPr>
      <w:r>
        <w:rPr>
          <w:b/>
          <w:bCs/>
        </w:rPr>
        <w:t xml:space="preserve">5. 规则引擎设计</w:t>
      </w:r>
    </w:p>
    <w:p w14:paraId="192A21A7">
      <w:pPr>
        <w:ind w:firstLine="480"/>
      </w:pPr>
      <w:r>
        <w:t xml:space="preserve">本节将第一至四节定义的“行为、聚合、关联、时间回溯”落地为可执行的规则引擎：在模型介入前完成事件预聚合、行为匹配（BEH）、关联触发与风险初判，输出结构化分析任务（analysis_unit），模型仅对规则无法消歧的部分做综合研判。规则负责确定性结论，模型负责不确定性研判。</w:t>
      </w:r>
    </w:p>
    <w:p w14:paraId="192A21A7">
      <w:pPr>
        <w:ind w:firstLine="480"/>
      </w:pPr>
      <w:r>
        <w:t xml:space="preserve">实现位置：规则引擎作为分析层独立组件部署（与聚合器同进程或独立进程），输入 Logstash 双写后的事件信封，输出 analysis_unit（聚合摘要、命中行为编号、初始风险、预估工具调用次数、升级标志）。复杂规则不在 Zeek 脚本中实现——Zeek 内置脚本仅做基础检测与打标，避免热加载与版本管理困难；确定性逻辑必须代码化，不依赖提示词约束模型执行规则。采集侧轻规则（IOC 打标、基础计数）保留在 Logstash 富化阶段，与分析侧重规则分层协作。</w:t>
      </w:r>
    </w:p>
    <w:p w14:paraId="192A21A7">
      <w:pPr>
        <w:ind w:firstLine="480"/>
      </w:pPr>
      <w:r>
        <w:t xml:space="preserve">规则类型分层：① 行为匹配规则——对应 BEH-001~012，定义触发条件、聚合维度、时间窗口、阈值与初始风险；② 聚合规则——三层粒度（会话/流/主机）的聚合键与窗口；③ 关联规则——同源关联、同目标关联、时序因果关联（见本章第三节）；④ 直接判定规则——明显扫描类行为（如 BEH-005）由规则直接打标，不送模型；⑤ 升级规则——决定本地/云端分支，与第八章 needs_cloud 判定一致，其中 requires_chain_analysis、behavior_hits、estimated_tool_calls 等字段由规则引擎计算并写入事件。</w:t>
      </w:r>
    </w:p>
    <w:p w14:paraId="192A21A7">
      <w:pPr>
        <w:ind w:firstLine="480"/>
      </w:pPr>
      <w:r>
        <w:t xml:space="preserve">配置格式：采用声明式 YAML/JSON，字段含规则 id、名称、类型、输入事件、聚合维度、时间窗口、阈值参数、初始风险、模型介入方式（always/never/conditional）、升级条件、版本、启用状态。所有阈值参数化、禁止硬编码，便于按环境校准。示例（BEH-006 SSH暴力破解）：</w:t>
      </w:r>
    </w:p>
    <w:tbl>
      <w:tblPr>
        <w:tblStyle w:val="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E6B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Borders>
              <w:top w:val="single" w:color="BBBBBB" w:sz="4" w:space="0"/>
              <w:left w:val="single" w:color="BBBBBB" w:sz="4" w:space="0"/>
              <w:bottom w:val="single" w:color="BBBBBB" w:sz="4" w:space="0"/>
              <w:right w:val="single" w:color="BBBBBB" w:sz="4" w:space="0"/>
            </w:tcBorders>
            <w:shd w:val="clear" w:color="auto" w:fill="F5F5F5"/>
            <w:tcMar>
              <w:top w:w="90" w:type="dxa"/>
              <w:left w:w="140" w:type="dxa"/>
              <w:bottom w:w="90" w:type="dxa"/>
              <w:right w:w="140" w:type="dxa"/>
            </w:tcMar>
          </w:tcPr>
          <w:p w14:paraId="4F42B0E6">
            <w:pPr>
              <w:spacing w:after="0"/>
            </w:pPr>
            <w:r>
              <w:rPr>
                <w:rFonts w:ascii="Consolas" w:hAnsi="Consolas" w:eastAsia="思源黑体"/>
                <w:sz w:val="16"/>
                <w:szCs w:val="16"/>
              </w:rPr>
              <w:t xml:space="preserve">rule:</w:t>
            </w:r>
          </w:p>
          <w:p w14:paraId="4F42B0E6">
            <w:pPr>
              <w:spacing w:after="0"/>
            </w:pPr>
            <w:r>
              <w:rPr>
                <w:rFonts w:ascii="Consolas" w:hAnsi="Consolas" w:eastAsia="思源黑体"/>
                <w:sz w:val="16"/>
                <w:szCs w:val="16"/>
              </w:rPr>
              <w:t xml:space="preserve">  id: BEH-006</w:t>
            </w:r>
          </w:p>
          <w:p w14:paraId="4F42B0E6">
            <w:pPr>
              <w:spacing w:after="0"/>
            </w:pPr>
            <w:r>
              <w:rPr>
                <w:rFonts w:ascii="Consolas" w:hAnsi="Consolas" w:eastAsia="思源黑体"/>
                <w:sz w:val="16"/>
                <w:szCs w:val="16"/>
              </w:rPr>
              <w:t xml:space="preserve">  name: SSH暴力破解</w:t>
            </w:r>
          </w:p>
          <w:p w14:paraId="4F42B0E6">
            <w:pPr>
              <w:spacing w:after="0"/>
            </w:pPr>
            <w:r>
              <w:rPr>
                <w:rFonts w:ascii="Consolas" w:hAnsi="Consolas" w:eastAsia="思源黑体"/>
                <w:sz w:val="16"/>
                <w:szCs w:val="16"/>
              </w:rPr>
              <w:t xml:space="preserve">  type: behavior_match</w:t>
            </w:r>
          </w:p>
          <w:p w14:paraId="4F42B0E6">
            <w:pPr>
              <w:spacing w:after="0"/>
            </w:pPr>
            <w:r>
              <w:rPr>
                <w:rFonts w:ascii="Consolas" w:hAnsi="Consolas" w:eastAsia="思源黑体"/>
                <w:sz w:val="16"/>
                <w:szCs w:val="16"/>
              </w:rPr>
              <w:t xml:space="preserve">  attck: T1110.001</w:t>
            </w:r>
          </w:p>
          <w:p w14:paraId="4F42B0E6">
            <w:pPr>
              <w:spacing w:after="0"/>
            </w:pPr>
            <w:r>
              <w:rPr>
                <w:rFonts w:ascii="Consolas" w:hAnsi="Consolas" w:eastAsia="思源黑体"/>
                <w:sz w:val="16"/>
                <w:szCs w:val="16"/>
              </w:rPr>
              <w:t xml:space="preserve">  input: zeek.conn</w:t>
            </w:r>
          </w:p>
          <w:p w14:paraId="4F42B0E6">
            <w:pPr>
              <w:spacing w:after="0"/>
            </w:pPr>
            <w:r>
              <w:rPr>
                <w:rFonts w:ascii="Consolas" w:hAnsi="Consolas" w:eastAsia="思源黑体"/>
                <w:sz w:val="16"/>
                <w:szCs w:val="16"/>
              </w:rPr>
              <w:t xml:space="preserve">  window: 5m</w:t>
            </w:r>
          </w:p>
          <w:p w14:paraId="4F42B0E6">
            <w:pPr>
              <w:spacing w:after="0"/>
            </w:pPr>
            <w:r>
              <w:rPr>
                <w:rFonts w:ascii="Consolas" w:hAnsi="Consolas" w:eastAsia="思源黑体"/>
                <w:sz w:val="16"/>
                <w:szCs w:val="16"/>
              </w:rPr>
              <w:t xml:space="preserve">  aggregate_key: [src_ip, dst_ip]</w:t>
            </w:r>
          </w:p>
          <w:p w14:paraId="4F42B0E6">
            <w:pPr>
              <w:spacing w:after="0"/>
            </w:pPr>
            <w:r>
              <w:rPr>
                <w:rFonts w:ascii="Consolas" w:hAnsi="Consolas" w:eastAsia="思源黑体"/>
                <w:sz w:val="16"/>
                <w:szCs w:val="16"/>
              </w:rPr>
              <w:t xml:space="preserve">  conditions:</w:t>
            </w:r>
          </w:p>
          <w:p w14:paraId="4F42B0E6">
            <w:pPr>
              <w:spacing w:after="0"/>
            </w:pPr>
            <w:r>
              <w:rPr>
                <w:rFonts w:ascii="Consolas" w:hAnsi="Consolas" w:eastAsia="思源黑体"/>
                <w:sz w:val="16"/>
                <w:szCs w:val="16"/>
              </w:rPr>
              <w:t xml:space="preserve">    - dst_port: 22</w:t>
            </w:r>
          </w:p>
          <w:p w14:paraId="4F42B0E6">
            <w:pPr>
              <w:spacing w:after="0"/>
            </w:pPr>
            <w:r>
              <w:rPr>
                <w:rFonts w:ascii="Consolas" w:hAnsi="Consolas" w:eastAsia="思源黑体"/>
                <w:sz w:val="16"/>
                <w:szCs w:val="16"/>
              </w:rPr>
              <w:t xml:space="preserve">    - auth_failure_count: '&gt;= 20'</w:t>
            </w:r>
          </w:p>
          <w:p w14:paraId="4F42B0E6">
            <w:pPr>
              <w:spacing w:after="0"/>
            </w:pPr>
            <w:r>
              <w:rPr>
                <w:rFonts w:ascii="Consolas" w:hAnsi="Consolas" w:eastAsia="思源黑体"/>
                <w:sz w:val="16"/>
                <w:szCs w:val="16"/>
              </w:rPr>
              <w:t xml:space="preserve">    - failed_ratio: '&gt;= 0.7'</w:t>
            </w:r>
          </w:p>
          <w:p w14:paraId="4F42B0E6">
            <w:pPr>
              <w:spacing w:after="0"/>
            </w:pPr>
            <w:r>
              <w:rPr>
                <w:rFonts w:ascii="Consolas" w:hAnsi="Consolas" w:eastAsia="思源黑体"/>
                <w:sz w:val="16"/>
                <w:szCs w:val="16"/>
              </w:rPr>
              <w:t xml:space="preserve">  initial_risk: Medium</w:t>
            </w:r>
          </w:p>
          <w:p w14:paraId="4F42B0E6">
            <w:pPr>
              <w:spacing w:after="0"/>
            </w:pPr>
            <w:r>
              <w:rPr>
                <w:rFonts w:ascii="Consolas" w:hAnsi="Consolas" w:eastAsia="思源黑体"/>
                <w:sz w:val="16"/>
                <w:szCs w:val="16"/>
              </w:rPr>
              <w:t xml:space="preserve">  model: conditional</w:t>
            </w:r>
          </w:p>
          <w:p w14:paraId="4F42B0E6">
            <w:pPr>
              <w:spacing w:after="0"/>
            </w:pPr>
            <w:r>
              <w:rPr>
                <w:rFonts w:ascii="Consolas" w:hAnsi="Consolas" w:eastAsia="思源黑体"/>
                <w:sz w:val="16"/>
                <w:szCs w:val="16"/>
              </w:rPr>
              <w:t xml:space="preserve">  escalate:</w:t>
            </w:r>
          </w:p>
          <w:p w14:paraId="4F42B0E6">
            <w:pPr>
              <w:spacing w:after="0"/>
            </w:pPr>
            <w:r>
              <w:rPr>
                <w:rFonts w:ascii="Consolas" w:hAnsi="Consolas" w:eastAsia="思源黑体"/>
                <w:sz w:val="16"/>
                <w:szCs w:val="16"/>
              </w:rPr>
              <w:t xml:space="preserve">    - behavior_hits &gt;= 2</w:t>
            </w:r>
          </w:p>
          <w:p w14:paraId="4F42B0E6">
            <w:pPr>
              <w:spacing w:after="0"/>
            </w:pPr>
            <w:r>
              <w:rPr>
                <w:rFonts w:ascii="Consolas" w:hAnsi="Consolas" w:eastAsia="思源黑体"/>
                <w:sz w:val="16"/>
                <w:szCs w:val="16"/>
              </w:rPr>
              <w:t xml:space="preserve">    - requires_chain_analysis</w:t>
            </w:r>
          </w:p>
          <w:p w14:paraId="4F42B0E6">
            <w:pPr>
              <w:spacing w:after="0"/>
            </w:pPr>
            <w:r>
              <w:rPr>
                <w:rFonts w:ascii="Consolas" w:hAnsi="Consolas" w:eastAsia="思源黑体"/>
                <w:sz w:val="16"/>
                <w:szCs w:val="16"/>
              </w:rPr>
              <w:t xml:space="preserve">  version: 1.0</w:t>
            </w:r>
          </w:p>
          <w:p w14:paraId="4F42B0E6">
            <w:pPr>
              <w:spacing w:after="0"/>
            </w:pPr>
            <w:r>
              <w:rPr>
                <w:rFonts w:ascii="Consolas" w:hAnsi="Consolas" w:eastAsia="思源黑体"/>
                <w:sz w:val="16"/>
                <w:szCs w:val="16"/>
              </w:rPr>
              <w:t xml:space="preserve">  enabled: true</w:t>
            </w:r>
          </w:p>
          <w:p w14:paraId="4F42B0E6">
            <w:pPr>
              <w:spacing w:after="0"/>
            </w:pPr>
            <w:r>
              <w:rPr>
                <w:rFonts w:ascii="Consolas" w:hAnsi="Consolas" w:eastAsia="思源黑体"/>
                <w:sz w:val="16"/>
                <w:szCs w:val="16"/>
              </w:rPr>
              <w:t xml:space="preserve">  notes: 阈值为初始基线，部署后按 shadow 模式校准</w:t>
            </w:r>
          </w:p>
        </w:tc>
      </w:tr>
    </w:tbl>
    <w:p w14:paraId="192A21A7">
      <w:pPr>
        <w:ind w:firstLine="480"/>
      </w:pPr>
      <w:r>
        <w:t xml:space="preserve">执行与状态管理：事件进入后先字段标准化，再进入滑动窗口聚合，窗口状态存 Redis（支持多 worker 水平扩展），热数据可内存缓存；窗口到期输出聚合摘要并做阈值判定。判定结果三类：直接判定（不送模型）、需要模型（携带行为编号与摘要）、需要升级（置升级标志）。同一会话键的聚合更新需串行化，复用核心链路的会话水位与单飞锁，保证幂等与有序。</w:t>
      </w:r>
    </w:p>
    <w:p w14:paraId="192A21A7">
      <w:pPr>
        <w:ind w:firstLine="480"/>
      </w:pPr>
      <w:r>
        <w:t xml:space="preserve">防误报与试运行：规则输出不直接告警。新规则或阈值变更先进入 shadow（试运行）模式，只记录命中、不参与线上结论，用真实流量评估精确率与误报率后再切换生效；资产白名单（业务基线）、维护窗口例外等降噪机制纳入规则引擎。</w:t>
      </w:r>
    </w:p>
    <w:p w14:paraId="192A21A7">
      <w:pPr>
        <w:ind w:firstLine="480"/>
      </w:pPr>
      <w:r>
        <w:t xml:space="preserve">管理面：管理层新增“规则管理”子模块，提供规则清单、版本管理与热加载（发布后无需重启）、启用/停用开关、命中率与误报率统计、shadow 模式切换；规则版本变更联动失效 agent:result 缓存及相关 Skills 映射，避免旧规则结论继续复用。</w:t>
      </w:r>
    </w:p>
    <w:p w14:paraId="192A21A7">
      <w:pPr>
        <w:ind w:firstLine="480"/>
      </w:pPr>
      <w:r>
        <w:t xml:space="preserve">集成关系：规则引擎是本章行为模型/聚合/关联的“执行器”，与第三章核心链路（聚合器阶段）、第四章上下文优化（模型输入摘要）、第六章 MCP（关联工具由规则触发）、第七章 Skills（触发条件与 BEH 编号对应）、第八章模型边界（升级标志由规则引擎计算写入）协同，构成“规则触发 → 模型调 MCP → 数值化研判”的闭环。</w:t>
      </w:r>
    </w:p>
    <w:p w14:paraId="6098A5EB">
      <w:pPr>
        <w:ind w:firstLine="480"/>
        <w:outlineLvl w:val="1"/>
        <w:rPr>
          <w:b/>
          <w:bCs/>
        </w:rPr>
      </w:pPr>
      <w:r>
        <w:rPr>
          <w:b/>
          <w:bCs/>
        </w:rPr>
        <w:t>6. 与既有架构及提示词的集成</w:t>
      </w:r>
    </w:p>
    <w:p w14:paraId="7C676031">
      <w:pPr>
        <w:ind w:firstLine="480"/>
      </w:pPr>
      <w:r>
        <w:t>行为模型/聚合规则按会话动态注入提示词任务层，作为模型判定依据；MCP关联查询工具集归入工具链层，由智能体启动时统一注册发现；时间回溯三级查询在数据预处理/智能体调度层落地。管理层新增“行为模型管理”与“关联工具观测”子模块，不改变既有采集/数据处理/存储/管理层职责。</w:t>
      </w:r>
    </w:p>
    <w:p w14:paraId="09F5E9F0">
      <w:pPr>
        <w:ind w:firstLine="480"/>
        <w:outlineLvl w:val="0"/>
        <w:rPr>
          <w:b/>
          <w:bCs/>
        </w:rPr>
      </w:pPr>
      <w:r>
        <w:rPr>
          <w:b/>
          <w:bCs/>
        </w:rPr>
        <w:t>六、智能体MCP注册</w:t>
      </w:r>
    </w:p>
    <w:p w14:paraId="7C8FF61F">
      <w:pPr>
        <w:ind w:firstLine="480"/>
      </w:pPr>
      <w:r>
        <w:t>本章面向本地同服务器部署场景(Zeek/Elasticsearch/Redis/Logstash/智能体同机运行)，解决“工具链调用方式选择”与“MCP工具如何在智能体运行时高效注册、并被xLAM-2-1b-fc-r小模型低成本使用”两个问题，目标是最大限度减少上下文不必要开销、把有限上下文(32K/64K)留给分析本身。</w:t>
      </w:r>
    </w:p>
    <w:p w14:paraId="6FB3A48B">
      <w:pPr>
        <w:ind w:firstLine="480"/>
        <w:outlineLvl w:val="1"/>
        <w:rPr>
          <w:b/>
          <w:bCs/>
        </w:rPr>
      </w:pPr>
      <w:r>
        <w:rPr>
          <w:b/>
          <w:bCs/>
        </w:rPr>
        <w:t>1. 调用方式选型：MCP over stdio</w:t>
      </w:r>
    </w:p>
    <w:p w14:paraId="2835B67B">
      <w:pPr>
        <w:ind w:firstLine="480"/>
      </w:pPr>
      <w:r>
        <w:t>同服务器部署下，CLI/API/MCP三种调用方式对比及选型结论如下：</w:t>
      </w:r>
    </w:p>
    <w:tbl>
      <w:tblPr>
        <w:tblStyle w:val="2"/>
        <w:tblW w:w="9360" w:type="dxa"/>
        <w:tblInd w:w="0" w:type="dxa"/>
        <w:tblLayout w:type="autofit"/>
        <w:tblCellMar>
          <w:top w:w="0" w:type="dxa"/>
          <w:left w:w="108" w:type="dxa"/>
          <w:bottom w:w="0" w:type="dxa"/>
          <w:right w:w="108" w:type="dxa"/>
        </w:tblCellMar>
      </w:tblPr>
      <w:tblGrid>
        <w:gridCol w:w="1500"/>
        <w:gridCol w:w="2600"/>
        <w:gridCol w:w="2600"/>
        <w:gridCol w:w="2660"/>
      </w:tblGrid>
      <w:tr w14:paraId="23351EEC">
        <w:tblPrEx>
          <w:tblCellMar>
            <w:top w:w="0" w:type="dxa"/>
            <w:left w:w="108" w:type="dxa"/>
            <w:bottom w:w="0" w:type="dxa"/>
            <w:right w:w="108" w:type="dxa"/>
          </w:tblCellMar>
        </w:tblPrEx>
        <w:trPr>
          <w:tblHeader/>
        </w:trPr>
        <w:tc>
          <w:tcPr>
            <w:tcW w:w="1500" w:type="dxa"/>
            <w:shd w:val="clear" w:color="auto" w:fill="D5E8F0"/>
          </w:tcPr>
          <w:p w14:paraId="0299CC54">
            <w:pPr>
              <w:jc w:val="center"/>
            </w:pPr>
            <w:r>
              <w:rPr>
                <w:b/>
              </w:rPr>
              <w:t>对比维度</w:t>
            </w:r>
          </w:p>
        </w:tc>
        <w:tc>
          <w:tcPr>
            <w:tcW w:w="2600" w:type="dxa"/>
            <w:shd w:val="clear" w:color="auto" w:fill="D5E8F0"/>
          </w:tcPr>
          <w:p w14:paraId="2B3D8D4A">
            <w:pPr>
              <w:jc w:val="center"/>
            </w:pPr>
            <w:r>
              <w:rPr>
                <w:b/>
              </w:rPr>
              <w:t>CLI(命令行)</w:t>
            </w:r>
          </w:p>
        </w:tc>
        <w:tc>
          <w:tcPr>
            <w:tcW w:w="2600" w:type="dxa"/>
            <w:shd w:val="clear" w:color="auto" w:fill="D5E8F0"/>
          </w:tcPr>
          <w:p w14:paraId="336E86ED">
            <w:pPr>
              <w:jc w:val="center"/>
            </w:pPr>
            <w:r>
              <w:rPr>
                <w:b/>
              </w:rPr>
              <w:t>API(HTTP/REST)</w:t>
            </w:r>
          </w:p>
        </w:tc>
        <w:tc>
          <w:tcPr>
            <w:tcW w:w="2660" w:type="dxa"/>
            <w:shd w:val="clear" w:color="auto" w:fill="D5E8F0"/>
          </w:tcPr>
          <w:p w14:paraId="201476C0">
            <w:pPr>
              <w:jc w:val="center"/>
            </w:pPr>
            <w:r>
              <w:rPr>
                <w:b/>
              </w:rPr>
              <w:t>MCP over stdio</w:t>
            </w:r>
          </w:p>
        </w:tc>
      </w:tr>
      <w:tr w14:paraId="0293167B">
        <w:tblPrEx>
          <w:tblCellMar>
            <w:top w:w="0" w:type="dxa"/>
            <w:left w:w="108" w:type="dxa"/>
            <w:bottom w:w="0" w:type="dxa"/>
            <w:right w:w="108" w:type="dxa"/>
          </w:tblCellMar>
        </w:tblPrEx>
        <w:tc>
          <w:tcPr>
            <w:tcW w:w="1500" w:type="dxa"/>
          </w:tcPr>
          <w:p w14:paraId="7C35106A">
            <w:r>
              <w:t>模型生成开销</w:t>
            </w:r>
          </w:p>
        </w:tc>
        <w:tc>
          <w:tcPr>
            <w:tcW w:w="2600" w:type="dxa"/>
          </w:tcPr>
          <w:p w14:paraId="1BB0D6B0">
            <w:r>
              <w:t>需生成完整命令字符串，易因空格/引号出错，token中等偏高</w:t>
            </w:r>
          </w:p>
        </w:tc>
        <w:tc>
          <w:tcPr>
            <w:tcW w:w="2600" w:type="dxa"/>
          </w:tcPr>
          <w:p w14:paraId="7A12624D">
            <w:r>
              <w:t>需构造URL/Header/Body(JSON)，token较高</w:t>
            </w:r>
          </w:p>
        </w:tc>
        <w:tc>
          <w:tcPr>
            <w:tcW w:w="2660" w:type="dxa"/>
          </w:tcPr>
          <w:p w14:paraId="504F8CC9">
            <w:r>
              <w:t>仅需生成工具名+结构化参数(JSON)，token最低</w:t>
            </w:r>
          </w:p>
        </w:tc>
      </w:tr>
      <w:tr w14:paraId="23E1DCB0">
        <w:tblPrEx>
          <w:tblCellMar>
            <w:top w:w="0" w:type="dxa"/>
            <w:left w:w="108" w:type="dxa"/>
            <w:bottom w:w="0" w:type="dxa"/>
            <w:right w:w="108" w:type="dxa"/>
          </w:tblCellMar>
        </w:tblPrEx>
        <w:tc>
          <w:tcPr>
            <w:tcW w:w="1500" w:type="dxa"/>
          </w:tcPr>
          <w:p w14:paraId="5031F62A">
            <w:r>
              <w:t>结果解析</w:t>
            </w:r>
          </w:p>
        </w:tc>
        <w:tc>
          <w:tcPr>
            <w:tcW w:w="2600" w:type="dxa"/>
          </w:tcPr>
          <w:p w14:paraId="5ADA9007">
            <w:r>
              <w:t>stdout文本格式不稳，需提示词约束</w:t>
            </w:r>
          </w:p>
        </w:tc>
        <w:tc>
          <w:tcPr>
            <w:tcW w:w="2600" w:type="dxa"/>
          </w:tcPr>
          <w:p w14:paraId="451C29B0">
            <w:r>
              <w:t>HTTP Response Body(JSON)较稳</w:t>
            </w:r>
          </w:p>
        </w:tc>
        <w:tc>
          <w:tcPr>
            <w:tcW w:w="2660" w:type="dxa"/>
          </w:tcPr>
          <w:p w14:paraId="5FCA0276">
            <w:r>
              <w:t>JSON-RPC响应结构清晰，模型直接读取</w:t>
            </w:r>
          </w:p>
        </w:tc>
      </w:tr>
      <w:tr w14:paraId="67F7ECD9">
        <w:tblPrEx>
          <w:tblCellMar>
            <w:top w:w="0" w:type="dxa"/>
            <w:left w:w="108" w:type="dxa"/>
            <w:bottom w:w="0" w:type="dxa"/>
            <w:right w:w="108" w:type="dxa"/>
          </w:tblCellMar>
        </w:tblPrEx>
        <w:tc>
          <w:tcPr>
            <w:tcW w:w="1500" w:type="dxa"/>
          </w:tcPr>
          <w:p w14:paraId="2E3E7892">
            <w:r>
              <w:t>执行开销</w:t>
            </w:r>
          </w:p>
        </w:tc>
        <w:tc>
          <w:tcPr>
            <w:tcW w:w="2600" w:type="dxa"/>
          </w:tcPr>
          <w:p w14:paraId="3AFA0F03">
            <w:r>
              <w:t>每次fork新进程，频繁调用有累积开销</w:t>
            </w:r>
          </w:p>
        </w:tc>
        <w:tc>
          <w:tcPr>
            <w:tcW w:w="2600" w:type="dxa"/>
          </w:tcPr>
          <w:p w14:paraId="0B5C3F1D">
            <w:r>
              <w:t>keep-alive复用连接，开销较低</w:t>
            </w:r>
          </w:p>
        </w:tc>
        <w:tc>
          <w:tcPr>
            <w:tcW w:w="2660" w:type="dxa"/>
          </w:tcPr>
          <w:p w14:paraId="7166B766">
            <w:r>
              <w:t>stdio管道通信，无网络栈，开销最低</w:t>
            </w:r>
          </w:p>
        </w:tc>
      </w:tr>
      <w:tr w14:paraId="054E52A7">
        <w:tblPrEx>
          <w:tblCellMar>
            <w:top w:w="0" w:type="dxa"/>
            <w:left w:w="108" w:type="dxa"/>
            <w:bottom w:w="0" w:type="dxa"/>
            <w:right w:w="108" w:type="dxa"/>
          </w:tblCellMar>
        </w:tblPrEx>
        <w:tc>
          <w:tcPr>
            <w:tcW w:w="1500" w:type="dxa"/>
          </w:tcPr>
          <w:p w14:paraId="78B61A90">
            <w:r>
              <w:t>工具发现</w:t>
            </w:r>
          </w:p>
        </w:tc>
        <w:tc>
          <w:tcPr>
            <w:tcW w:w="2600" w:type="dxa"/>
          </w:tcPr>
          <w:p w14:paraId="1311A1D5">
            <w:r>
              <w:t>需手动在提示词列命令及用法，不易扩展</w:t>
            </w:r>
          </w:p>
        </w:tc>
        <w:tc>
          <w:tcPr>
            <w:tcW w:w="2600" w:type="dxa"/>
          </w:tcPr>
          <w:p w14:paraId="3977ECB7">
            <w:r>
              <w:t>需描述端点或OpenAPI注入，较繁琐</w:t>
            </w:r>
          </w:p>
        </w:tc>
        <w:tc>
          <w:tcPr>
            <w:tcW w:w="2660" w:type="dxa"/>
          </w:tcPr>
          <w:p w14:paraId="1E8307A3">
            <w:r>
              <w:t>tools/list机制自动将Schema注入上下文，扩展性强</w:t>
            </w:r>
          </w:p>
        </w:tc>
      </w:tr>
      <w:tr w14:paraId="6575BD6A">
        <w:tblPrEx>
          <w:tblCellMar>
            <w:top w:w="0" w:type="dxa"/>
            <w:left w:w="108" w:type="dxa"/>
            <w:bottom w:w="0" w:type="dxa"/>
            <w:right w:w="108" w:type="dxa"/>
          </w:tblCellMar>
        </w:tblPrEx>
        <w:tc>
          <w:tcPr>
            <w:tcW w:w="1500" w:type="dxa"/>
          </w:tcPr>
          <w:p w14:paraId="0218FB6E">
            <w:r>
              <w:t>结论</w:t>
            </w:r>
          </w:p>
        </w:tc>
        <w:tc>
          <w:tcPr>
            <w:tcW w:w="2600" w:type="dxa"/>
          </w:tcPr>
          <w:p w14:paraId="12986912">
            <w:r>
              <w:t>不推荐</w:t>
            </w:r>
          </w:p>
        </w:tc>
        <w:tc>
          <w:tcPr>
            <w:tcW w:w="2600" w:type="dxa"/>
          </w:tcPr>
          <w:p w14:paraId="02AD176E">
            <w:r>
              <w:t>备选</w:t>
            </w:r>
          </w:p>
        </w:tc>
        <w:tc>
          <w:tcPr>
            <w:tcW w:w="2660" w:type="dxa"/>
          </w:tcPr>
          <w:p w14:paraId="49BCC901">
            <w:r>
              <w:t>强烈推荐</w:t>
            </w:r>
          </w:p>
        </w:tc>
      </w:tr>
    </w:tbl>
    <w:p w14:paraId="2CCF9133">
      <w:pPr>
        <w:ind w:firstLine="480"/>
      </w:pPr>
      <w:r>
        <w:t>结论：本地同服务器部署采用MCP over stdio作为工具链调用标准。MCP工具描述以JSON Schema呈现，比自然语言说明更紧凑；同机通过stdin/stdout管道通信，延迟仅进程间管道读写，远低于localhost HTTP；结果强制JSON-RPC，模型专注“判断”而非“解析”；新增工具只需注册新MCP Server，tools/list自动发现，无需修改提示词模板。</w:t>
      </w:r>
    </w:p>
    <w:p w14:paraId="5A3595CF">
      <w:pPr>
        <w:ind w:firstLine="480"/>
        <w:outlineLvl w:val="1"/>
        <w:rPr>
          <w:b/>
          <w:bCs/>
        </w:rPr>
      </w:pPr>
      <w:r>
        <w:rPr>
          <w:b/>
          <w:bCs/>
        </w:rPr>
        <w:t>2. 核心问题：不应全量注入工具Schema</w:t>
      </w:r>
    </w:p>
    <w:p w14:paraId="3EDEB0B0">
      <w:pPr>
        <w:ind w:firstLine="480"/>
      </w:pPr>
      <w:r>
        <w:t>若将全部MCP工具的完整Schema(参数类型/枚举值/返回结构)一次性注入上下文，对xLAM-2-1b-fc-r的上下文窗口代价极高，会挤占分析有效信息空间。因此采用“上下文只放工具索引、完整Schema本地缓存”的两级发现策略。</w:t>
      </w:r>
    </w:p>
    <w:tbl>
      <w:tblPr>
        <w:tblStyle w:val="2"/>
        <w:tblW w:w="9360" w:type="dxa"/>
        <w:tblInd w:w="0" w:type="dxa"/>
        <w:tblLayout w:type="autofit"/>
        <w:tblCellMar>
          <w:top w:w="0" w:type="dxa"/>
          <w:left w:w="108" w:type="dxa"/>
          <w:bottom w:w="0" w:type="dxa"/>
          <w:right w:w="108" w:type="dxa"/>
        </w:tblCellMar>
      </w:tblPr>
      <w:tblGrid>
        <w:gridCol w:w="3000"/>
        <w:gridCol w:w="2200"/>
        <w:gridCol w:w="4160"/>
      </w:tblGrid>
      <w:tr w14:paraId="74485EF6">
        <w:tblPrEx>
          <w:tblCellMar>
            <w:top w:w="0" w:type="dxa"/>
            <w:left w:w="108" w:type="dxa"/>
            <w:bottom w:w="0" w:type="dxa"/>
            <w:right w:w="108" w:type="dxa"/>
          </w:tblCellMar>
        </w:tblPrEx>
        <w:trPr>
          <w:tblHeader/>
        </w:trPr>
        <w:tc>
          <w:tcPr>
            <w:tcW w:w="3000" w:type="dxa"/>
            <w:shd w:val="clear" w:color="auto" w:fill="D5E8F0"/>
          </w:tcPr>
          <w:p w14:paraId="7CD44F31">
            <w:pPr>
              <w:jc w:val="center"/>
            </w:pPr>
            <w:r>
              <w:rPr>
                <w:b/>
              </w:rPr>
              <w:t>注入内容</w:t>
            </w:r>
          </w:p>
        </w:tc>
        <w:tc>
          <w:tcPr>
            <w:tcW w:w="2200" w:type="dxa"/>
            <w:shd w:val="clear" w:color="auto" w:fill="D5E8F0"/>
          </w:tcPr>
          <w:p w14:paraId="7F92C804">
            <w:pPr>
              <w:jc w:val="center"/>
            </w:pPr>
            <w:r>
              <w:rPr>
                <w:b/>
              </w:rPr>
              <w:t>是否注入上下文</w:t>
            </w:r>
          </w:p>
        </w:tc>
        <w:tc>
          <w:tcPr>
            <w:tcW w:w="4160" w:type="dxa"/>
            <w:shd w:val="clear" w:color="auto" w:fill="D5E8F0"/>
          </w:tcPr>
          <w:p w14:paraId="7B294FB6">
            <w:pPr>
              <w:jc w:val="center"/>
            </w:pPr>
            <w:r>
              <w:rPr>
                <w:b/>
              </w:rPr>
              <w:t>token代价与原因</w:t>
            </w:r>
          </w:p>
        </w:tc>
      </w:tr>
      <w:tr w14:paraId="71F9E430">
        <w:tblPrEx>
          <w:tblCellMar>
            <w:top w:w="0" w:type="dxa"/>
            <w:left w:w="108" w:type="dxa"/>
            <w:bottom w:w="0" w:type="dxa"/>
            <w:right w:w="108" w:type="dxa"/>
          </w:tblCellMar>
        </w:tblPrEx>
        <w:tc>
          <w:tcPr>
            <w:tcW w:w="3000" w:type="dxa"/>
          </w:tcPr>
          <w:p w14:paraId="0D599155">
            <w:r>
              <w:t>工具名称+一句话用途(工具目录)</w:t>
            </w:r>
          </w:p>
        </w:tc>
        <w:tc>
          <w:tcPr>
            <w:tcW w:w="2200" w:type="dxa"/>
          </w:tcPr>
          <w:p w14:paraId="22EB3AB2">
            <w:r>
              <w:t>注入，约20~40tokens/个</w:t>
            </w:r>
          </w:p>
        </w:tc>
        <w:tc>
          <w:tcPr>
            <w:tcW w:w="4160" w:type="dxa"/>
          </w:tcPr>
          <w:p w14:paraId="5B66E682">
            <w:r>
              <w:t>让模型知道“有什么可用”，不含细节</w:t>
            </w:r>
          </w:p>
        </w:tc>
      </w:tr>
      <w:tr w14:paraId="600329B3">
        <w:tblPrEx>
          <w:tblCellMar>
            <w:top w:w="0" w:type="dxa"/>
            <w:left w:w="108" w:type="dxa"/>
            <w:bottom w:w="0" w:type="dxa"/>
            <w:right w:w="108" w:type="dxa"/>
          </w:tblCellMar>
        </w:tblPrEx>
        <w:tc>
          <w:tcPr>
            <w:tcW w:w="3000" w:type="dxa"/>
          </w:tcPr>
          <w:p w14:paraId="0CFD415F">
            <w:r>
              <w:t>完整参数Schema(JSON Schema)</w:t>
            </w:r>
          </w:p>
        </w:tc>
        <w:tc>
          <w:tcPr>
            <w:tcW w:w="2200" w:type="dxa"/>
          </w:tcPr>
          <w:p w14:paraId="28709230">
            <w:r>
              <w:t>不注入，本地缓存</w:t>
            </w:r>
          </w:p>
        </w:tc>
        <w:tc>
          <w:tcPr>
            <w:tcW w:w="4160" w:type="dxa"/>
          </w:tcPr>
          <w:p w14:paraId="3655B305">
            <w:r>
              <w:t>每工具约200~600tokens，10个工具达2K~6K，挤占分析空间</w:t>
            </w:r>
          </w:p>
        </w:tc>
      </w:tr>
      <w:tr w14:paraId="79621C27">
        <w:tblPrEx>
          <w:tblCellMar>
            <w:top w:w="0" w:type="dxa"/>
            <w:left w:w="108" w:type="dxa"/>
            <w:bottom w:w="0" w:type="dxa"/>
            <w:right w:w="108" w:type="dxa"/>
          </w:tblCellMar>
        </w:tblPrEx>
        <w:tc>
          <w:tcPr>
            <w:tcW w:w="3000" w:type="dxa"/>
          </w:tcPr>
          <w:p w14:paraId="607B3780">
            <w:r>
              <w:t>工具调用结果</w:t>
            </w:r>
          </w:p>
        </w:tc>
        <w:tc>
          <w:tcPr>
            <w:tcW w:w="2200" w:type="dxa"/>
          </w:tcPr>
          <w:p w14:paraId="5909B238">
            <w:r>
              <w:t>按需注入</w:t>
            </w:r>
          </w:p>
        </w:tc>
        <w:tc>
          <w:tcPr>
            <w:tcW w:w="4160" w:type="dxa"/>
          </w:tcPr>
          <w:p w14:paraId="23A2EA65">
            <w:r>
              <w:t>仅模型决定调用后注入返回结果</w:t>
            </w:r>
          </w:p>
        </w:tc>
      </w:tr>
    </w:tbl>
    <w:p w14:paraId="390F0F7B">
      <w:pPr>
        <w:ind w:firstLine="480"/>
        <w:outlineLvl w:val="1"/>
        <w:rPr>
          <w:b/>
          <w:bCs/>
        </w:rPr>
      </w:pPr>
      <w:r>
        <w:rPr>
          <w:b/>
          <w:bCs/>
        </w:rPr>
        <w:t>3. 两级发现与按需注入机制</w:t>
      </w:r>
    </w:p>
    <w:p w14:paraId="3A0ED748">
      <w:pPr>
        <w:ind w:firstLine="480"/>
      </w:pPr>
      <w:r>
        <w:t>第一级——启动时全量发现、本地缓存Schema：智能体启动时通过MCP tools/list获取所有工具完整Schema，存入本地内存或Redis缓存(键如mcp:tool_schema:{tool_name})，此后不再重复请求。</w:t>
      </w:r>
    </w:p>
    <w:p w14:paraId="37EDF0BC">
      <w:pPr>
        <w:ind w:firstLine="480"/>
      </w:pPr>
      <w:r>
        <w:t>第二级——运行时只注入“工具目录”：每次分析提示词固定注入一段简洁工具目录(约150~250tokens)，格式示例：</w:t>
      </w:r>
    </w:p>
    <w:p w14:paraId="0A84E2C9">
      <w:pPr>
        <w:ind w:firstLine="480"/>
      </w:pPr>
      <w:r>
        <w:t xml:space="preserve">  可用工具： - query_peer_relations：查询指定IP的对端关系，返回对端IP列表及连接次数。 - count_behavior_hits：统计指定IP在时间范围内命中某行为编号的次数。
  - detect_chain_sequence：检测多个IP之间是否存在时序行为链。
  - get_entity_profile：获取指定IP的实体画像摘要。
  - es_search：在Elasticsearch中执行聚合查询，返回统计结果。</w:t>
      </w:r>
    </w:p>
    <w:p w14:paraId="09824DAD">
      <w:pPr>
        <w:ind w:firstLine="480"/>
      </w:pPr>
      <w:r>
        <w:t>第三级——模型决定调用时，MCP Client自动补全Schema：模型输出调用意图(工具名+关键参数值)，MCP Client从本地缓存取出该工具完整Schema校验参数合法性后执行；模型无需知晓参数详细约束(如time_range须ISO8601、source_ip须IPv4)，由Client侧处理，错误率趋近于0。</w:t>
      </w:r>
    </w:p>
    <w:p w14:paraId="60B1E13D">
      <w:pPr>
        <w:ind w:firstLine="480"/>
        <w:outlineLvl w:val="1"/>
        <w:rPr>
          <w:b/>
          <w:bCs/>
        </w:rPr>
      </w:pPr>
      <w:r>
        <w:rPr>
          <w:b/>
          <w:bCs/>
        </w:rPr>
        <w:t>4. 全量注入与按需注入对比</w:t>
      </w:r>
    </w:p>
    <w:tbl>
      <w:tblPr>
        <w:tblStyle w:val="2"/>
        <w:tblW w:w="9360" w:type="dxa"/>
        <w:tblInd w:w="0" w:type="dxa"/>
        <w:tblLayout w:type="autofit"/>
        <w:tblCellMar>
          <w:top w:w="0" w:type="dxa"/>
          <w:left w:w="108" w:type="dxa"/>
          <w:bottom w:w="0" w:type="dxa"/>
          <w:right w:w="108" w:type="dxa"/>
        </w:tblCellMar>
      </w:tblPr>
      <w:tblGrid>
        <w:gridCol w:w="1800"/>
        <w:gridCol w:w="3500"/>
        <w:gridCol w:w="4060"/>
      </w:tblGrid>
      <w:tr w14:paraId="48649FFF">
        <w:tblPrEx>
          <w:tblCellMar>
            <w:top w:w="0" w:type="dxa"/>
            <w:left w:w="108" w:type="dxa"/>
            <w:bottom w:w="0" w:type="dxa"/>
            <w:right w:w="108" w:type="dxa"/>
          </w:tblCellMar>
        </w:tblPrEx>
        <w:trPr>
          <w:tblHeader/>
        </w:trPr>
        <w:tc>
          <w:tcPr>
            <w:tcW w:w="1800" w:type="dxa"/>
            <w:shd w:val="clear" w:color="auto" w:fill="D5E8F0"/>
          </w:tcPr>
          <w:p w14:paraId="30F7B570">
            <w:pPr>
              <w:jc w:val="center"/>
            </w:pPr>
            <w:r>
              <w:rPr>
                <w:b/>
              </w:rPr>
              <w:t>对比项</w:t>
            </w:r>
          </w:p>
        </w:tc>
        <w:tc>
          <w:tcPr>
            <w:tcW w:w="3500" w:type="dxa"/>
            <w:shd w:val="clear" w:color="auto" w:fill="D5E8F0"/>
          </w:tcPr>
          <w:p w14:paraId="6B106CAF">
            <w:pPr>
              <w:jc w:val="center"/>
            </w:pPr>
            <w:r>
              <w:rPr>
                <w:b/>
              </w:rPr>
              <w:t>全量注入</w:t>
            </w:r>
          </w:p>
        </w:tc>
        <w:tc>
          <w:tcPr>
            <w:tcW w:w="4060" w:type="dxa"/>
            <w:shd w:val="clear" w:color="auto" w:fill="D5E8F0"/>
          </w:tcPr>
          <w:p w14:paraId="7B8AB8BC">
            <w:pPr>
              <w:jc w:val="center"/>
            </w:pPr>
            <w:r>
              <w:rPr>
                <w:b/>
              </w:rPr>
              <w:t>按需注入(工具目录+本地Schema)</w:t>
            </w:r>
          </w:p>
        </w:tc>
      </w:tr>
      <w:tr w14:paraId="2A1D60E3">
        <w:tblPrEx>
          <w:tblCellMar>
            <w:top w:w="0" w:type="dxa"/>
            <w:left w:w="108" w:type="dxa"/>
            <w:bottom w:w="0" w:type="dxa"/>
            <w:right w:w="108" w:type="dxa"/>
          </w:tblCellMar>
        </w:tblPrEx>
        <w:tc>
          <w:tcPr>
            <w:tcW w:w="1800" w:type="dxa"/>
          </w:tcPr>
          <w:p w14:paraId="520E7436">
            <w:r>
              <w:t>上下文占用</w:t>
            </w:r>
          </w:p>
        </w:tc>
        <w:tc>
          <w:tcPr>
            <w:tcW w:w="3500" w:type="dxa"/>
          </w:tcPr>
          <w:p w14:paraId="53B5AD4D">
            <w:r>
              <w:t>2K~6Ktokens(10个工具)</w:t>
            </w:r>
          </w:p>
        </w:tc>
        <w:tc>
          <w:tcPr>
            <w:tcW w:w="4060" w:type="dxa"/>
          </w:tcPr>
          <w:p w14:paraId="29F9C271">
            <w:r>
              <w:t>150~250tokens</w:t>
            </w:r>
          </w:p>
        </w:tc>
      </w:tr>
      <w:tr w14:paraId="4B624099">
        <w:tblPrEx>
          <w:tblCellMar>
            <w:top w:w="0" w:type="dxa"/>
            <w:left w:w="108" w:type="dxa"/>
            <w:bottom w:w="0" w:type="dxa"/>
            <w:right w:w="108" w:type="dxa"/>
          </w:tblCellMar>
        </w:tblPrEx>
        <w:tc>
          <w:tcPr>
            <w:tcW w:w="1800" w:type="dxa"/>
          </w:tcPr>
          <w:p w14:paraId="31F401B8">
            <w:r>
              <w:t>模型推理干扰</w:t>
            </w:r>
          </w:p>
        </w:tc>
        <w:tc>
          <w:tcPr>
            <w:tcW w:w="3500" w:type="dxa"/>
          </w:tcPr>
          <w:p w14:paraId="39730490">
            <w:r>
              <w:t>大量无关Schema分散注意力，影响分析质量</w:t>
            </w:r>
          </w:p>
        </w:tc>
        <w:tc>
          <w:tcPr>
            <w:tcW w:w="4060" w:type="dxa"/>
          </w:tcPr>
          <w:p w14:paraId="5CBF29ED">
            <w:r>
              <w:t>干净简洁，模型专注分析</w:t>
            </w:r>
          </w:p>
        </w:tc>
      </w:tr>
      <w:tr w14:paraId="4ECA264B">
        <w:tblPrEx>
          <w:tblCellMar>
            <w:top w:w="0" w:type="dxa"/>
            <w:left w:w="108" w:type="dxa"/>
            <w:bottom w:w="0" w:type="dxa"/>
            <w:right w:w="108" w:type="dxa"/>
          </w:tblCellMar>
        </w:tblPrEx>
        <w:tc>
          <w:tcPr>
            <w:tcW w:w="1800" w:type="dxa"/>
          </w:tcPr>
          <w:p w14:paraId="33EF208E">
            <w:r>
              <w:t>扩展性</w:t>
            </w:r>
          </w:p>
        </w:tc>
        <w:tc>
          <w:tcPr>
            <w:tcW w:w="3500" w:type="dxa"/>
          </w:tcPr>
          <w:p w14:paraId="16F24DC8">
            <w:r>
              <w:t>每新增工具需修改提示词模板</w:t>
            </w:r>
          </w:p>
        </w:tc>
        <w:tc>
          <w:tcPr>
            <w:tcW w:w="4060" w:type="dxa"/>
          </w:tcPr>
          <w:p w14:paraId="17930A26">
            <w:r>
              <w:t>仅需注册新MCP Server，工具目录自动更新</w:t>
            </w:r>
          </w:p>
        </w:tc>
      </w:tr>
      <w:tr w14:paraId="3E456D7C">
        <w:tblPrEx>
          <w:tblCellMar>
            <w:top w:w="0" w:type="dxa"/>
            <w:left w:w="108" w:type="dxa"/>
            <w:bottom w:w="0" w:type="dxa"/>
            <w:right w:w="108" w:type="dxa"/>
          </w:tblCellMar>
        </w:tblPrEx>
        <w:tc>
          <w:tcPr>
            <w:tcW w:w="1800" w:type="dxa"/>
          </w:tcPr>
          <w:p w14:paraId="689688AE">
            <w:r>
              <w:t>参数校验可靠性</w:t>
            </w:r>
          </w:p>
        </w:tc>
        <w:tc>
          <w:tcPr>
            <w:tcW w:w="3500" w:type="dxa"/>
          </w:tcPr>
          <w:p w14:paraId="5328D675">
            <w:r>
              <w:t>模型可能填错参数类型</w:t>
            </w:r>
          </w:p>
        </w:tc>
        <w:tc>
          <w:tcPr>
            <w:tcW w:w="4060" w:type="dxa"/>
          </w:tcPr>
          <w:p w14:paraId="7FA20226">
            <w:r>
              <w:t>Client侧强校验，错误率趋近0</w:t>
            </w:r>
          </w:p>
        </w:tc>
      </w:tr>
    </w:tbl>
    <w:p w14:paraId="25B8D151">
      <w:pPr>
        <w:ind w:firstLine="480"/>
        <w:outlineLvl w:val="1"/>
        <w:rPr>
          <w:b/>
          <w:bCs/>
        </w:rPr>
      </w:pPr>
      <w:r>
        <w:rPr>
          <w:b/>
          <w:bCs/>
        </w:rPr>
        <w:t>5. 与xLAM-2-1b-fc-r的适配及上下文预算</w:t>
      </w:r>
    </w:p>
    <w:p w14:paraId="11025803">
      <w:pPr>
        <w:ind w:firstLine="480"/>
      </w:pPr>
      <w:r>
        <w:t>Function Calling适配：xLAM-2-1b-fc-r为专用工具调用模型，原生支持function calling，可直接使用OpenAI兼容function call格式(工具目录相当于functions列表的简化版)；若实测不兼容，则通过提示词约束模型输出固定JSON块({"action":"call_tool","tool":"...","args":{...}})，由MCP Client解析执行。</w:t>
      </w:r>
    </w:p>
    <w:p w14:paraId="48B799BB">
      <w:pPr>
        <w:ind w:firstLine="480"/>
      </w:pPr>
      <w:r>
        <w:t>上下文预算分配：工具目录固定在系统提示词中，占用约200tokens，属“固定开销”；剩余上下文留给资产背景(RAG)、会话聚合摘要与历史证据。工具数量超过15个时，可按场景分组(网络层/应用层/威胁情报)，仅注入当前分析场景相关分组(如分析DNS隧道时只注入DNS相关工具)，进一步裁剪。工具调用结果限制max_result_tokens=512，避免撑爆窗口。</w:t>
      </w:r>
    </w:p>
    <w:p w14:paraId="378503C5">
      <w:pPr>
        <w:ind w:firstLine="480"/>
        <w:outlineLvl w:val="1"/>
        <w:rPr>
          <w:b/>
          <w:bCs/>
        </w:rPr>
      </w:pPr>
      <w:r>
        <w:rPr>
          <w:b/>
          <w:bCs/>
        </w:rPr>
        <w:t>6. MCP Server封装与注册建议</w:t>
      </w:r>
    </w:p>
    <w:p w14:paraId="4791F4EA">
      <w:pPr>
        <w:ind w:firstLine="480"/>
      </w:pPr>
      <w:r>
        <w:t>封装方式：每个后端服务(Redis/Elasticsearch/Logstash/本地文件系统)封装为独立MCP Server进程，通过stdio与智能体主进程通信；也可合并为统一MCP Gateway由内部路由到不同后端，更易于管理与鉴权。</w:t>
      </w:r>
    </w:p>
    <w:p w14:paraId="4BB4E7B2">
      <w:pPr>
        <w:ind w:firstLine="480"/>
      </w:pPr>
      <w:r>
        <w:t>性能优化：为每个MCP Server设置独立进程池/线程池，避免阻塞主推理流程；对高频工具(如Redis查询)可改用Unix Socket进一步降低延迟。</w:t>
      </w:r>
    </w:p>
    <w:p w14:paraId="525637FC">
      <w:pPr>
        <w:ind w:firstLine="480"/>
      </w:pPr>
      <w:r>
        <w:t>与上下文优化协同：MCP工具Schema放在系统提示词固定区域，不在每次分析时重复注入(除非工具列表变化)；工具调用结果直接注入当前上下文并限制大小，与第四章上下文预算裁剪策略一致。</w:t>
      </w:r>
    </w:p>
    <w:p w14:paraId="07ACA700">
      <w:pPr>
        <w:ind w:firstLine="480"/>
        <w:outlineLvl w:val="1"/>
        <w:rPr>
          <w:b/>
          <w:bCs/>
        </w:rPr>
      </w:pPr>
      <w:r>
        <w:rPr>
          <w:b/>
          <w:bCs/>
        </w:rPr>
        <w:t>7. 与既有架构集成</w:t>
      </w:r>
    </w:p>
    <w:p w14:paraId="09074B57">
      <w:pPr>
        <w:ind w:firstLine="480"/>
      </w:pPr>
      <w:r>
        <w:t>本MCP注册优化方案归入工具链层：MCP Server统一注册发现、工具目录注入提示词系统层、Client侧Schema缓存与参数校验在分析层内部落地。管理层新增“MCP工具观测”子模块(工具列表/调用次数/耗时/失败率/Schema版本)，不改变既有采集/数据处理/存储/管理层职责。结合第五章行为模型的MCP关联查询工具集，形成“规则触发-&gt;模型调MCP工具-&gt;数值化研判”的闭环。</w:t>
      </w:r>
    </w:p>
    <w:p w14:paraId="4F5B26D5">
      <w:pPr>
        <w:outlineLvl w:val="0"/>
        <w:rPr>
          <w:b/>
          <w:bCs/>
        </w:rPr>
      </w:pPr>
      <w:r>
        <w:rPr>
          <w:b/>
          <w:bCs/>
        </w:rPr>
        <w:t>七、场景化分析 Skills</w:t>
      </w:r>
    </w:p>
    <w:p w14:paraId="11B99723">
      <w:pPr>
        <w:spacing w:after="120" w:line="300" w:lineRule="auto"/>
        <w:ind w:firstLine="420" w:firstLineChars="0"/>
      </w:pPr>
      <w:r>
        <w:t>本章从知乎《700+ Cybersecurity Skills 精选》清单中，筛选真正适配本项目“Zeek + Elasticsearch + Redis + MCP + xLAM-2-1b-fc-r 本地部署”架构的场景化 Skills 子集，并设计动态场景选择加载机制，解决小模型上下文受限下“技能越多越撑爆窗口”的核心矛盾。</w:t>
      </w:r>
    </w:p>
    <w:p w14:paraId="5809E4C8">
      <w:pPr>
        <w:ind w:firstLine="420" w:firstLineChars="0"/>
        <w:outlineLvl w:val="1"/>
        <w:rPr>
          <w:b/>
          <w:bCs/>
        </w:rPr>
      </w:pPr>
      <w:r>
        <w:rPr>
          <w:rFonts w:hint="eastAsia"/>
          <w:b/>
          <w:bCs/>
          <w:lang w:val="en-US" w:eastAsia="zh-CN"/>
        </w:rPr>
        <w:t>1.</w:t>
      </w:r>
      <w:r>
        <w:rPr>
          <w:b/>
          <w:bCs/>
        </w:rPr>
        <w:t>Skill 动态路由流程图</w:t>
      </w:r>
    </w:p>
    <w:p w14:paraId="0D1ED294">
      <w:pPr>
        <w:spacing w:after="120" w:line="300" w:lineRule="auto"/>
        <w:ind w:firstLine="420" w:firstLineChars="0"/>
      </w:pPr>
      <w:r>
        <w:t>下图给出一次分析请求从日志进入到结论回写的完整七阶段路由流程，其中“意图路由 + 按需加载”是上下文可控的关键。</w:t>
      </w:r>
    </w:p>
    <w:tbl>
      <w:tblPr>
        <w:tblStyle w:val="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5934"/>
        <w:gridCol w:w="2183"/>
      </w:tblGrid>
      <w:tr w14:paraId="04D1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tcBorders>
              <w:top w:val="single" w:color="BBBBBB" w:sz="4" w:space="0"/>
              <w:left w:val="single" w:color="BBBBBB" w:sz="4" w:space="0"/>
              <w:bottom w:val="single" w:color="BBBBBB" w:sz="4" w:space="0"/>
              <w:right w:val="single" w:color="BBBBBB" w:sz="4" w:space="0"/>
            </w:tcBorders>
            <w:shd w:val="clear" w:color="auto" w:fill="D5E8F0"/>
            <w:tcMar>
              <w:top w:w="70" w:type="dxa"/>
              <w:left w:w="110" w:type="dxa"/>
              <w:bottom w:w="70" w:type="dxa"/>
              <w:right w:w="110" w:type="dxa"/>
            </w:tcMar>
            <w:vAlign w:val="center"/>
          </w:tcPr>
          <w:p w14:paraId="21C9DF36">
            <w:pPr>
              <w:jc w:val="left"/>
            </w:pPr>
            <w:r>
              <w:rPr>
                <w:b/>
                <w:bCs/>
                <w:sz w:val="19"/>
                <w:szCs w:val="19"/>
              </w:rPr>
              <w:t>阶段</w:t>
            </w:r>
          </w:p>
        </w:tc>
        <w:tc>
          <w:tcPr>
            <w:tcW w:w="6560" w:type="dxa"/>
            <w:tcBorders>
              <w:top w:val="single" w:color="BBBBBB" w:sz="4" w:space="0"/>
              <w:left w:val="single" w:color="BBBBBB" w:sz="4" w:space="0"/>
              <w:bottom w:val="single" w:color="BBBBBB" w:sz="4" w:space="0"/>
              <w:right w:val="single" w:color="BBBBBB" w:sz="4" w:space="0"/>
            </w:tcBorders>
            <w:shd w:val="clear" w:color="auto" w:fill="D5E8F0"/>
            <w:tcMar>
              <w:top w:w="70" w:type="dxa"/>
              <w:left w:w="110" w:type="dxa"/>
              <w:bottom w:w="70" w:type="dxa"/>
              <w:right w:w="110" w:type="dxa"/>
            </w:tcMar>
            <w:vAlign w:val="center"/>
          </w:tcPr>
          <w:p w14:paraId="21642A43">
            <w:pPr>
              <w:jc w:val="left"/>
            </w:pPr>
            <w:r>
              <w:rPr>
                <w:b/>
                <w:bCs/>
                <w:sz w:val="19"/>
                <w:szCs w:val="19"/>
              </w:rPr>
              <w:t>处理节点</w:t>
            </w:r>
          </w:p>
        </w:tc>
        <w:tc>
          <w:tcPr>
            <w:tcW w:w="1400" w:type="dxa"/>
            <w:tcBorders>
              <w:top w:val="single" w:color="BBBBBB" w:sz="4" w:space="0"/>
              <w:left w:val="single" w:color="BBBBBB" w:sz="4" w:space="0"/>
              <w:bottom w:val="single" w:color="BBBBBB" w:sz="4" w:space="0"/>
              <w:right w:val="single" w:color="BBBBBB" w:sz="4" w:space="0"/>
            </w:tcBorders>
            <w:shd w:val="clear" w:color="auto" w:fill="D5E8F0"/>
            <w:tcMar>
              <w:top w:w="70" w:type="dxa"/>
              <w:left w:w="110" w:type="dxa"/>
              <w:bottom w:w="70" w:type="dxa"/>
              <w:right w:w="110" w:type="dxa"/>
            </w:tcMar>
            <w:vAlign w:val="center"/>
          </w:tcPr>
          <w:p w14:paraId="433108E4">
            <w:pPr>
              <w:jc w:val="left"/>
            </w:pPr>
            <w:r>
              <w:rPr>
                <w:b/>
                <w:bCs/>
                <w:sz w:val="19"/>
                <w:szCs w:val="19"/>
              </w:rPr>
              <w:t>输出/动作</w:t>
            </w:r>
          </w:p>
        </w:tc>
      </w:tr>
      <w:tr w14:paraId="3E41C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54C1F511">
            <w:pPr>
              <w:jc w:val="left"/>
            </w:pPr>
            <w:r>
              <w:rPr>
                <w:rFonts w:ascii="Consolas" w:hAnsi="Consolas" w:eastAsia="思源黑体"/>
                <w:sz w:val="17"/>
                <w:szCs w:val="17"/>
              </w:rPr>
              <w:t>① 输入</w:t>
            </w:r>
          </w:p>
        </w:tc>
        <w:tc>
          <w:tcPr>
            <w:tcW w:w="656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18BCB94E">
            <w:pPr>
              <w:jc w:val="left"/>
            </w:pPr>
            <w:r>
              <w:rPr>
                <w:rFonts w:ascii="Consolas" w:hAnsi="Consolas" w:eastAsia="思源黑体"/>
                <w:sz w:val="17"/>
                <w:szCs w:val="17"/>
              </w:rPr>
              <w:t>Zeek 日志流入 → 规则引擎预聚合（三层粒度：会话/流/主机）</w:t>
            </w:r>
          </w:p>
        </w:tc>
        <w:tc>
          <w:tcPr>
            <w:tcW w:w="14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372802D1">
            <w:pPr>
              <w:jc w:val="left"/>
            </w:pPr>
            <w:r>
              <w:rPr>
                <w:rFonts w:ascii="Consolas" w:hAnsi="Consolas" w:eastAsia="思源黑体"/>
                <w:sz w:val="17"/>
                <w:szCs w:val="17"/>
              </w:rPr>
              <w:t>聚合事件摘要</w:t>
            </w:r>
          </w:p>
        </w:tc>
      </w:tr>
      <w:tr w14:paraId="592C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5A9EF77E">
            <w:pPr>
              <w:jc w:val="left"/>
            </w:pPr>
            <w:r>
              <w:rPr>
                <w:rFonts w:ascii="Consolas" w:hAnsi="Consolas" w:eastAsia="思源黑体"/>
                <w:sz w:val="17"/>
                <w:szCs w:val="17"/>
              </w:rPr>
              <w:t>② 行为匹配</w:t>
            </w:r>
          </w:p>
        </w:tc>
        <w:tc>
          <w:tcPr>
            <w:tcW w:w="656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50208C40">
            <w:pPr>
              <w:jc w:val="left"/>
            </w:pPr>
            <w:r>
              <w:rPr>
                <w:rFonts w:ascii="Consolas" w:hAnsi="Consolas" w:eastAsia="思源黑体"/>
                <w:sz w:val="17"/>
                <w:szCs w:val="17"/>
              </w:rPr>
              <w:t>行为模型 BEH-001~BEH-012 匹配，命中 BEH-XXX 并打初始风险标签</w:t>
            </w:r>
          </w:p>
        </w:tc>
        <w:tc>
          <w:tcPr>
            <w:tcW w:w="14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7DE64D0E">
            <w:pPr>
              <w:jc w:val="left"/>
            </w:pPr>
            <w:r>
              <w:rPr>
                <w:rFonts w:ascii="Consolas" w:hAnsi="Consolas" w:eastAsia="思源黑体"/>
                <w:sz w:val="17"/>
                <w:szCs w:val="17"/>
              </w:rPr>
              <w:t>命中行为编号</w:t>
            </w:r>
          </w:p>
        </w:tc>
      </w:tr>
      <w:tr w14:paraId="4F1F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7A34278C">
            <w:pPr>
              <w:jc w:val="left"/>
            </w:pPr>
            <w:r>
              <w:rPr>
                <w:rFonts w:ascii="Consolas" w:hAnsi="Consolas" w:eastAsia="思源黑体"/>
                <w:sz w:val="17"/>
                <w:szCs w:val="17"/>
              </w:rPr>
              <w:t>③ 意图路由</w:t>
            </w:r>
          </w:p>
        </w:tc>
        <w:tc>
          <w:tcPr>
            <w:tcW w:w="656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7C0A09C0">
            <w:pPr>
              <w:jc w:val="left"/>
            </w:pPr>
            <w:r>
              <w:rPr>
                <w:rFonts w:ascii="Consolas" w:hAnsi="Consolas" w:eastAsia="思源黑体"/>
                <w:sz w:val="17"/>
                <w:szCs w:val="17"/>
              </w:rPr>
              <w:t>Skill 路由层按 triggers（proto/behavior/keyword）从 10 个 Skill 中选 Top-1~Top-3</w:t>
            </w:r>
          </w:p>
        </w:tc>
        <w:tc>
          <w:tcPr>
            <w:tcW w:w="14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4E46CB32">
            <w:pPr>
              <w:jc w:val="left"/>
            </w:pPr>
            <w:r>
              <w:rPr>
                <w:rFonts w:ascii="Consolas" w:hAnsi="Consolas" w:eastAsia="思源黑体"/>
                <w:sz w:val="17"/>
                <w:szCs w:val="17"/>
              </w:rPr>
              <w:t>选中 Skill 名</w:t>
            </w:r>
          </w:p>
        </w:tc>
      </w:tr>
      <w:tr w14:paraId="08E3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7C25158A">
            <w:pPr>
              <w:jc w:val="left"/>
            </w:pPr>
            <w:r>
              <w:rPr>
                <w:rFonts w:ascii="Consolas" w:hAnsi="Consolas" w:eastAsia="思源黑体"/>
                <w:sz w:val="17"/>
                <w:szCs w:val="17"/>
              </w:rPr>
              <w:t>④ 按需加载</w:t>
            </w:r>
          </w:p>
        </w:tc>
        <w:tc>
          <w:tcPr>
            <w:tcW w:w="656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7236BFF2">
            <w:pPr>
              <w:jc w:val="left"/>
            </w:pPr>
            <w:r>
              <w:rPr>
                <w:rFonts w:ascii="Consolas" w:hAnsi="Consolas" w:eastAsia="思源黑体"/>
                <w:sz w:val="17"/>
                <w:szCs w:val="17"/>
              </w:rPr>
              <w:t>仅加载选中 Skill 完整 SKILL.md（≤1500 tokens），其余 Skill 指令不进窗口</w:t>
            </w:r>
          </w:p>
        </w:tc>
        <w:tc>
          <w:tcPr>
            <w:tcW w:w="14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13C71D23">
            <w:pPr>
              <w:jc w:val="left"/>
            </w:pPr>
            <w:r>
              <w:rPr>
                <w:rFonts w:ascii="Consolas" w:hAnsi="Consolas" w:eastAsia="思源黑体"/>
                <w:sz w:val="17"/>
                <w:szCs w:val="17"/>
              </w:rPr>
              <w:t>Skill 指令注入</w:t>
            </w:r>
          </w:p>
        </w:tc>
      </w:tr>
      <w:tr w14:paraId="5D78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1D8274C6">
            <w:pPr>
              <w:jc w:val="left"/>
            </w:pPr>
            <w:r>
              <w:rPr>
                <w:rFonts w:ascii="Consolas" w:hAnsi="Consolas" w:eastAsia="思源黑体"/>
                <w:sz w:val="17"/>
                <w:szCs w:val="17"/>
              </w:rPr>
              <w:t>⑤ 工具协同</w:t>
            </w:r>
          </w:p>
        </w:tc>
        <w:tc>
          <w:tcPr>
            <w:tcW w:w="656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75F8F57D">
            <w:pPr>
              <w:jc w:val="left"/>
            </w:pPr>
            <w:r>
              <w:rPr>
                <w:rFonts w:ascii="Consolas" w:hAnsi="Consolas" w:eastAsia="思源黑体"/>
                <w:sz w:val="17"/>
                <w:szCs w:val="17"/>
              </w:rPr>
              <w:t>Skill 声明 mcp_tools → 第六章 MCP Client 补全 Schema 并调用（stdio）</w:t>
            </w:r>
          </w:p>
        </w:tc>
        <w:tc>
          <w:tcPr>
            <w:tcW w:w="14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3F4A673B">
            <w:pPr>
              <w:jc w:val="left"/>
            </w:pPr>
            <w:r>
              <w:rPr>
                <w:rFonts w:ascii="Consolas" w:hAnsi="Consolas" w:eastAsia="思源黑体"/>
                <w:sz w:val="17"/>
                <w:szCs w:val="17"/>
              </w:rPr>
              <w:t>工具返回数值</w:t>
            </w:r>
          </w:p>
        </w:tc>
      </w:tr>
      <w:tr w14:paraId="150E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750D5FBD">
            <w:pPr>
              <w:jc w:val="left"/>
            </w:pPr>
            <w:r>
              <w:rPr>
                <w:rFonts w:ascii="Consolas" w:hAnsi="Consolas" w:eastAsia="思源黑体"/>
                <w:sz w:val="17"/>
                <w:szCs w:val="17"/>
              </w:rPr>
              <w:t>⑥ 模型研判</w:t>
            </w:r>
          </w:p>
        </w:tc>
        <w:tc>
          <w:tcPr>
            <w:tcW w:w="656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4D35121F">
            <w:pPr>
              <w:jc w:val="left"/>
            </w:pPr>
            <w:r>
              <w:rPr>
                <w:rFonts w:ascii="Consolas" w:hAnsi="Consolas" w:eastAsia="思源黑体"/>
                <w:sz w:val="17"/>
                <w:szCs w:val="17"/>
              </w:rPr>
              <w:t>xLAM-2-1b-fc-r 综合聚合摘要+资产RAG+工具结果，输出 JSON 结论</w:t>
            </w:r>
          </w:p>
        </w:tc>
        <w:tc>
          <w:tcPr>
            <w:tcW w:w="14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1543930D">
            <w:pPr>
              <w:jc w:val="left"/>
            </w:pPr>
            <w:r>
              <w:rPr>
                <w:rFonts w:ascii="Consolas" w:hAnsi="Consolas" w:eastAsia="思源黑体"/>
                <w:sz w:val="17"/>
                <w:szCs w:val="17"/>
              </w:rPr>
              <w:t>risk/verdict/evidence</w:t>
            </w:r>
          </w:p>
        </w:tc>
      </w:tr>
      <w:tr w14:paraId="0014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496C94AF">
            <w:pPr>
              <w:jc w:val="left"/>
            </w:pPr>
            <w:r>
              <w:rPr>
                <w:rFonts w:ascii="Consolas" w:hAnsi="Consolas" w:eastAsia="思源黑体"/>
                <w:sz w:val="17"/>
                <w:szCs w:val="17"/>
              </w:rPr>
              <w:t>⑦ 回写</w:t>
            </w:r>
          </w:p>
        </w:tc>
        <w:tc>
          <w:tcPr>
            <w:tcW w:w="656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3B329D17">
            <w:pPr>
              <w:jc w:val="left"/>
            </w:pPr>
            <w:r>
              <w:rPr>
                <w:rFonts w:ascii="Consolas" w:hAnsi="Consolas" w:eastAsia="思源黑体"/>
                <w:sz w:val="17"/>
                <w:szCs w:val="17"/>
              </w:rPr>
              <w:t>结论写入 Redis agent:result:{会话键} TTL 1h；命中记录 agent:skill_hit:{skill}</w:t>
            </w:r>
          </w:p>
        </w:tc>
        <w:tc>
          <w:tcPr>
            <w:tcW w:w="14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4113017C">
            <w:pPr>
              <w:jc w:val="left"/>
            </w:pPr>
            <w:r>
              <w:rPr>
                <w:rFonts w:ascii="Consolas" w:hAnsi="Consolas" w:eastAsia="思源黑体"/>
                <w:sz w:val="17"/>
                <w:szCs w:val="17"/>
              </w:rPr>
              <w:t>缓存就绪</w:t>
            </w:r>
          </w:p>
        </w:tc>
      </w:tr>
    </w:tbl>
    <w:p w14:paraId="0625B292">
      <w:pPr>
        <w:spacing w:after="120" w:line="300" w:lineRule="auto"/>
        <w:ind w:firstLine="420" w:firstLineChars="0"/>
      </w:pPr>
      <w:r>
        <w:t>核心收益：单次分析仅加载 1~2 个相关 Skill 的完整指令，其余 8~9 个 Skill 的详细指令不进入上下文窗口，Skill 相关上下文占用 ≤ 5000 tokens（仅占 32K 窗口约 15.6%），远低于全量注入的 15000+ tokens。</w:t>
      </w:r>
    </w:p>
    <w:p w14:paraId="0A31F064">
      <w:pPr>
        <w:spacing w:after="120" w:line="300" w:lineRule="auto"/>
        <w:outlineLvl w:val="1"/>
        <w:rPr>
          <w:b/>
          <w:bCs/>
        </w:rPr>
      </w:pPr>
      <w:r>
        <w:rPr>
          <w:rFonts w:hint="eastAsia"/>
          <w:b/>
          <w:bCs/>
          <w:lang w:val="en-US" w:eastAsia="zh-CN"/>
        </w:rPr>
        <w:t>2.</w:t>
      </w:r>
      <w:r>
        <w:rPr>
          <w:b/>
          <w:bCs/>
        </w:rPr>
        <w:t>三层渐进式加载架构</w:t>
      </w:r>
    </w:p>
    <w:p w14:paraId="671DC5DA">
      <w:pPr>
        <w:spacing w:after="120" w:line="300" w:lineRule="auto"/>
        <w:ind w:firstLine="420" w:firstLineChars="0"/>
      </w:pPr>
      <w:r>
        <w:t>参照渐进式披露（Progressive Disclosure）“Discovery → Activation → Execution”三层架构，Skill 元数据常驻、完整指令按需、执行资源动态加载。</w:t>
      </w:r>
    </w:p>
    <w:tbl>
      <w:tblPr>
        <w:tblStyle w:val="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3160"/>
        <w:gridCol w:w="2300"/>
        <w:gridCol w:w="2300"/>
      </w:tblGrid>
      <w:tr w14:paraId="28E4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Borders>
              <w:top w:val="single" w:color="BBBBBB" w:sz="4" w:space="0"/>
              <w:left w:val="single" w:color="BBBBBB" w:sz="4" w:space="0"/>
              <w:bottom w:val="single" w:color="BBBBBB" w:sz="4" w:space="0"/>
              <w:right w:val="single" w:color="BBBBBB" w:sz="4" w:space="0"/>
            </w:tcBorders>
            <w:shd w:val="clear" w:color="auto" w:fill="D5E8F0"/>
            <w:tcMar>
              <w:top w:w="70" w:type="dxa"/>
              <w:left w:w="110" w:type="dxa"/>
              <w:bottom w:w="70" w:type="dxa"/>
              <w:right w:w="110" w:type="dxa"/>
            </w:tcMar>
            <w:vAlign w:val="center"/>
          </w:tcPr>
          <w:p w14:paraId="09D5284E">
            <w:pPr>
              <w:jc w:val="left"/>
            </w:pPr>
            <w:r>
              <w:rPr>
                <w:b/>
                <w:bCs/>
                <w:sz w:val="19"/>
                <w:szCs w:val="19"/>
              </w:rPr>
              <w:t>层级</w:t>
            </w:r>
          </w:p>
        </w:tc>
        <w:tc>
          <w:tcPr>
            <w:tcW w:w="3160" w:type="dxa"/>
            <w:tcBorders>
              <w:top w:val="single" w:color="BBBBBB" w:sz="4" w:space="0"/>
              <w:left w:val="single" w:color="BBBBBB" w:sz="4" w:space="0"/>
              <w:bottom w:val="single" w:color="BBBBBB" w:sz="4" w:space="0"/>
              <w:right w:val="single" w:color="BBBBBB" w:sz="4" w:space="0"/>
            </w:tcBorders>
            <w:shd w:val="clear" w:color="auto" w:fill="D5E8F0"/>
            <w:tcMar>
              <w:top w:w="70" w:type="dxa"/>
              <w:left w:w="110" w:type="dxa"/>
              <w:bottom w:w="70" w:type="dxa"/>
              <w:right w:w="110" w:type="dxa"/>
            </w:tcMar>
            <w:vAlign w:val="center"/>
          </w:tcPr>
          <w:p w14:paraId="1B395E0B">
            <w:pPr>
              <w:jc w:val="left"/>
            </w:pPr>
            <w:r>
              <w:rPr>
                <w:b/>
                <w:bCs/>
                <w:sz w:val="19"/>
                <w:szCs w:val="19"/>
              </w:rPr>
              <w:t>内容</w:t>
            </w:r>
          </w:p>
        </w:tc>
        <w:tc>
          <w:tcPr>
            <w:tcW w:w="2300" w:type="dxa"/>
            <w:tcBorders>
              <w:top w:val="single" w:color="BBBBBB" w:sz="4" w:space="0"/>
              <w:left w:val="single" w:color="BBBBBB" w:sz="4" w:space="0"/>
              <w:bottom w:val="single" w:color="BBBBBB" w:sz="4" w:space="0"/>
              <w:right w:val="single" w:color="BBBBBB" w:sz="4" w:space="0"/>
            </w:tcBorders>
            <w:shd w:val="clear" w:color="auto" w:fill="D5E8F0"/>
            <w:tcMar>
              <w:top w:w="70" w:type="dxa"/>
              <w:left w:w="110" w:type="dxa"/>
              <w:bottom w:w="70" w:type="dxa"/>
              <w:right w:w="110" w:type="dxa"/>
            </w:tcMar>
            <w:vAlign w:val="center"/>
          </w:tcPr>
          <w:p w14:paraId="458FFBC4">
            <w:pPr>
              <w:jc w:val="left"/>
            </w:pPr>
            <w:r>
              <w:rPr>
                <w:b/>
                <w:bCs/>
                <w:sz w:val="19"/>
                <w:szCs w:val="19"/>
              </w:rPr>
              <w:t>常驻/按需</w:t>
            </w:r>
          </w:p>
        </w:tc>
        <w:tc>
          <w:tcPr>
            <w:tcW w:w="2300" w:type="dxa"/>
            <w:tcBorders>
              <w:top w:val="single" w:color="BBBBBB" w:sz="4" w:space="0"/>
              <w:left w:val="single" w:color="BBBBBB" w:sz="4" w:space="0"/>
              <w:bottom w:val="single" w:color="BBBBBB" w:sz="4" w:space="0"/>
              <w:right w:val="single" w:color="BBBBBB" w:sz="4" w:space="0"/>
            </w:tcBorders>
            <w:shd w:val="clear" w:color="auto" w:fill="D5E8F0"/>
            <w:tcMar>
              <w:top w:w="70" w:type="dxa"/>
              <w:left w:w="110" w:type="dxa"/>
              <w:bottom w:w="70" w:type="dxa"/>
              <w:right w:w="110" w:type="dxa"/>
            </w:tcMar>
            <w:vAlign w:val="center"/>
          </w:tcPr>
          <w:p w14:paraId="43E84D44">
            <w:pPr>
              <w:jc w:val="left"/>
            </w:pPr>
            <w:r>
              <w:rPr>
                <w:b/>
                <w:bCs/>
                <w:sz w:val="19"/>
                <w:szCs w:val="19"/>
              </w:rPr>
              <w:t>上下文代价</w:t>
            </w:r>
          </w:p>
        </w:tc>
      </w:tr>
      <w:tr w14:paraId="36A44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4E5C942C">
            <w:pPr>
              <w:jc w:val="left"/>
            </w:pPr>
            <w:r>
              <w:rPr>
                <w:rFonts w:ascii="Consolas" w:hAnsi="Consolas" w:eastAsia="思源黑体"/>
                <w:sz w:val="17"/>
                <w:szCs w:val="17"/>
              </w:rPr>
              <w:t>Layer1 Discovery</w:t>
            </w:r>
          </w:p>
        </w:tc>
        <w:tc>
          <w:tcPr>
            <w:tcW w:w="316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37594ED9">
            <w:pPr>
              <w:jc w:val="left"/>
            </w:pPr>
            <w:r>
              <w:rPr>
                <w:rFonts w:ascii="Consolas" w:hAnsi="Consolas" w:eastAsia="思源黑体"/>
                <w:sz w:val="17"/>
                <w:szCs w:val="17"/>
              </w:rPr>
              <w:t>所有 Skill 的 name+description+triggers 索引</w:t>
            </w:r>
          </w:p>
        </w:tc>
        <w:tc>
          <w:tcPr>
            <w:tcW w:w="23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66562681">
            <w:pPr>
              <w:jc w:val="left"/>
            </w:pPr>
            <w:r>
              <w:rPr>
                <w:rFonts w:ascii="Consolas" w:hAnsi="Consolas" w:eastAsia="思源黑体"/>
                <w:sz w:val="17"/>
                <w:szCs w:val="17"/>
              </w:rPr>
              <w:t>常驻系统提示词</w:t>
            </w:r>
          </w:p>
        </w:tc>
        <w:tc>
          <w:tcPr>
            <w:tcW w:w="23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3FE3F5AA">
            <w:pPr>
              <w:jc w:val="left"/>
            </w:pPr>
            <w:r>
              <w:rPr>
                <w:rFonts w:ascii="Consolas" w:hAnsi="Consolas" w:eastAsia="思源黑体"/>
                <w:sz w:val="17"/>
                <w:szCs w:val="17"/>
              </w:rPr>
              <w:t>~2000 tokens（10个）</w:t>
            </w:r>
          </w:p>
        </w:tc>
      </w:tr>
      <w:tr w14:paraId="7EC9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08490574">
            <w:pPr>
              <w:jc w:val="left"/>
            </w:pPr>
            <w:r>
              <w:rPr>
                <w:rFonts w:ascii="Consolas" w:hAnsi="Consolas" w:eastAsia="思源黑体"/>
                <w:sz w:val="17"/>
                <w:szCs w:val="17"/>
              </w:rPr>
              <w:t>Layer2 Activation</w:t>
            </w:r>
          </w:p>
        </w:tc>
        <w:tc>
          <w:tcPr>
            <w:tcW w:w="316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4D5F4481">
            <w:pPr>
              <w:jc w:val="left"/>
            </w:pPr>
            <w:r>
              <w:rPr>
                <w:rFonts w:ascii="Consolas" w:hAnsi="Consolas" w:eastAsia="思源黑体"/>
                <w:sz w:val="17"/>
                <w:szCs w:val="17"/>
              </w:rPr>
              <w:t>被路由选中 Skill 的完整 SKILL.md 指令</w:t>
            </w:r>
          </w:p>
        </w:tc>
        <w:tc>
          <w:tcPr>
            <w:tcW w:w="2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16CC92E9">
            <w:pPr>
              <w:jc w:val="left"/>
            </w:pPr>
            <w:r>
              <w:rPr>
                <w:rFonts w:ascii="Consolas" w:hAnsi="Consolas" w:eastAsia="思源黑体"/>
                <w:sz w:val="17"/>
                <w:szCs w:val="17"/>
              </w:rPr>
              <w:t>按需加载（1~2个）</w:t>
            </w:r>
          </w:p>
        </w:tc>
        <w:tc>
          <w:tcPr>
            <w:tcW w:w="2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vAlign w:val="center"/>
          </w:tcPr>
          <w:p w14:paraId="0F458461">
            <w:pPr>
              <w:jc w:val="left"/>
            </w:pPr>
            <w:r>
              <w:rPr>
                <w:rFonts w:ascii="Consolas" w:hAnsi="Consolas" w:eastAsia="思源黑体"/>
                <w:sz w:val="17"/>
                <w:szCs w:val="17"/>
              </w:rPr>
              <w:t>~1500~3000 tokens</w:t>
            </w:r>
          </w:p>
        </w:tc>
      </w:tr>
      <w:tr w14:paraId="4228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0C65C13A">
            <w:pPr>
              <w:jc w:val="left"/>
            </w:pPr>
            <w:r>
              <w:rPr>
                <w:rFonts w:ascii="Consolas" w:hAnsi="Consolas" w:eastAsia="思源黑体"/>
                <w:sz w:val="17"/>
                <w:szCs w:val="17"/>
              </w:rPr>
              <w:t>Layer3 Execution</w:t>
            </w:r>
          </w:p>
        </w:tc>
        <w:tc>
          <w:tcPr>
            <w:tcW w:w="316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5828EC70">
            <w:pPr>
              <w:jc w:val="left"/>
            </w:pPr>
            <w:r>
              <w:rPr>
                <w:rFonts w:ascii="Consolas" w:hAnsi="Consolas" w:eastAsia="思源黑体"/>
                <w:sz w:val="17"/>
                <w:szCs w:val="17"/>
              </w:rPr>
              <w:t>Skill 的 scripts/ + references/（YARA/Sigma 模板）</w:t>
            </w:r>
          </w:p>
        </w:tc>
        <w:tc>
          <w:tcPr>
            <w:tcW w:w="23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45382EE3">
            <w:pPr>
              <w:jc w:val="left"/>
            </w:pPr>
            <w:r>
              <w:rPr>
                <w:rFonts w:ascii="Consolas" w:hAnsi="Consolas" w:eastAsia="思源黑体"/>
                <w:sz w:val="17"/>
                <w:szCs w:val="17"/>
              </w:rPr>
              <w:t>执行时动态加载</w:t>
            </w:r>
          </w:p>
        </w:tc>
        <w:tc>
          <w:tcPr>
            <w:tcW w:w="2300" w:type="dxa"/>
            <w:tcBorders>
              <w:top w:val="single" w:color="BBBBBB" w:sz="4" w:space="0"/>
              <w:left w:val="single" w:color="BBBBBB" w:sz="4" w:space="0"/>
              <w:bottom w:val="single" w:color="BBBBBB" w:sz="4" w:space="0"/>
              <w:right w:val="single" w:color="BBBBBB" w:sz="4" w:space="0"/>
            </w:tcBorders>
            <w:shd w:val="clear" w:color="auto" w:fill="EEF3F8"/>
            <w:tcMar>
              <w:top w:w="70" w:type="dxa"/>
              <w:left w:w="110" w:type="dxa"/>
              <w:bottom w:w="70" w:type="dxa"/>
              <w:right w:w="110" w:type="dxa"/>
            </w:tcMar>
            <w:vAlign w:val="center"/>
          </w:tcPr>
          <w:p w14:paraId="7FD4C8CC">
            <w:pPr>
              <w:jc w:val="left"/>
            </w:pPr>
            <w:r>
              <w:rPr>
                <w:rFonts w:ascii="Consolas" w:hAnsi="Consolas" w:eastAsia="思源黑体"/>
                <w:sz w:val="17"/>
                <w:szCs w:val="17"/>
              </w:rPr>
              <w:t>按结果截断≤512 tokens</w:t>
            </w:r>
          </w:p>
        </w:tc>
      </w:tr>
    </w:tbl>
    <w:p w14:paraId="7F7A3746">
      <w:pPr>
        <w:spacing w:after="120" w:line="300" w:lineRule="auto"/>
        <w:ind w:firstLine="420" w:firstLineChars="0"/>
      </w:pPr>
      <w:r>
        <w:t>该架构与第六章“MCP 工具目录常驻 + Schema 本地缓存”同源同构：工具是能力底座，Skill 是场景化编排；两者均通过“索引常驻、详情按需”把上下文开销压到最低。</w:t>
      </w:r>
    </w:p>
    <w:p w14:paraId="4A78A4A0">
      <w:pPr>
        <w:outlineLvl w:val="1"/>
        <w:rPr>
          <w:b/>
          <w:bCs/>
        </w:rPr>
      </w:pPr>
      <w:r>
        <w:rPr>
          <w:rFonts w:hint="eastAsia"/>
          <w:b/>
          <w:bCs/>
          <w:lang w:val="en-US" w:eastAsia="zh-CN"/>
        </w:rPr>
        <w:t>3.</w:t>
      </w:r>
      <w:r>
        <w:rPr>
          <w:b/>
          <w:bCs/>
        </w:rPr>
        <w:t>Skill SKILL.md 完整模板示例</w:t>
      </w:r>
    </w:p>
    <w:p w14:paraId="5269707A">
      <w:pPr>
        <w:spacing w:after="120" w:line="300" w:lineRule="auto"/>
        <w:ind w:firstLine="420" w:firstLineChars="0"/>
      </w:pPr>
      <w:r>
        <w:t>以下以 BEH-002“DNS 隧道狩猎”为例，给出本项目 Skill 的标准 SKILL.md 模板（YAML front-matter + 目标/步骤/阈值/输出），可直接作为各 Skill 的编写规范。该模板以代码框呈现，可在 Word 中复制使用。</w:t>
      </w:r>
    </w:p>
    <w:tbl>
      <w:tblPr>
        <w:tblStyle w:val="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E6B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Borders>
              <w:top w:val="single" w:color="BBBBBB" w:sz="4" w:space="0"/>
              <w:left w:val="single" w:color="BBBBBB" w:sz="4" w:space="0"/>
              <w:bottom w:val="single" w:color="BBBBBB" w:sz="4" w:space="0"/>
              <w:right w:val="single" w:color="BBBBBB" w:sz="4" w:space="0"/>
            </w:tcBorders>
            <w:shd w:val="clear" w:color="auto" w:fill="F5F5F5"/>
            <w:tcMar>
              <w:top w:w="90" w:type="dxa"/>
              <w:left w:w="140" w:type="dxa"/>
              <w:bottom w:w="90" w:type="dxa"/>
              <w:right w:w="140" w:type="dxa"/>
            </w:tcMar>
          </w:tcPr>
          <w:p w14:paraId="4F42B0E6">
            <w:pPr>
              <w:spacing w:after="0"/>
            </w:pPr>
            <w:r>
              <w:rPr>
                <w:rFonts w:ascii="Consolas" w:hAnsi="Consolas" w:eastAsia="思源黑体"/>
                <w:sz w:val="16"/>
                <w:szCs w:val="16"/>
              </w:rPr>
              <w:t>---</w:t>
            </w:r>
          </w:p>
          <w:p w14:paraId="402AA4A2">
            <w:pPr>
              <w:spacing w:after="0"/>
            </w:pPr>
            <w:r>
              <w:rPr>
                <w:rFonts w:ascii="Consolas" w:hAnsi="Consolas" w:eastAsia="思源黑体"/>
                <w:sz w:val="16"/>
                <w:szCs w:val="16"/>
              </w:rPr>
              <w:t>name: hunting-for-dns-tunneling-with-zeek</w:t>
            </w:r>
          </w:p>
          <w:p w14:paraId="29BE153C">
            <w:pPr>
              <w:spacing w:after="0"/>
            </w:pPr>
            <w:r>
              <w:rPr>
                <w:rFonts w:ascii="Consolas" w:hAnsi="Consolas" w:eastAsia="思源黑体"/>
                <w:sz w:val="16"/>
                <w:szCs w:val="16"/>
              </w:rPr>
              <w:t>description: 检测 DNS 隧道通信（高熵/长域名/罕见TLD + A记录指向内网IP）</w:t>
            </w:r>
          </w:p>
          <w:p w14:paraId="774E9048">
            <w:pPr>
              <w:spacing w:after="0"/>
            </w:pPr>
            <w:r>
              <w:rPr>
                <w:rFonts w:ascii="Consolas" w:hAnsi="Consolas" w:eastAsia="思源黑体"/>
                <w:sz w:val="16"/>
                <w:szCs w:val="16"/>
              </w:rPr>
              <w:t>version: 1.0</w:t>
            </w:r>
          </w:p>
          <w:p w14:paraId="7532D905">
            <w:pPr>
              <w:spacing w:after="0"/>
            </w:pPr>
            <w:r>
              <w:rPr>
                <w:rFonts w:ascii="Consolas" w:hAnsi="Consolas" w:eastAsia="思源黑体"/>
                <w:sz w:val="16"/>
                <w:szCs w:val="16"/>
              </w:rPr>
              <w:t>triggers:</w:t>
            </w:r>
          </w:p>
          <w:p w14:paraId="686CF2D1">
            <w:pPr>
              <w:spacing w:after="0"/>
            </w:pPr>
            <w:r>
              <w:rPr>
                <w:rFonts w:ascii="Consolas" w:hAnsi="Consolas" w:eastAsia="思源黑体"/>
                <w:sz w:val="16"/>
                <w:szCs w:val="16"/>
              </w:rPr>
              <w:t xml:space="preserve">  proto: [dns]</w:t>
            </w:r>
          </w:p>
          <w:p w14:paraId="2B6C7C1A">
            <w:pPr>
              <w:spacing w:after="0"/>
            </w:pPr>
            <w:r>
              <w:rPr>
                <w:rFonts w:ascii="Consolas" w:hAnsi="Consolas" w:eastAsia="思源黑体"/>
                <w:sz w:val="16"/>
                <w:szCs w:val="16"/>
              </w:rPr>
              <w:t xml:space="preserve">  behavior: [BEH-002]</w:t>
            </w:r>
          </w:p>
          <w:p w14:paraId="2F9EE0C7">
            <w:pPr>
              <w:spacing w:after="0"/>
            </w:pPr>
            <w:r>
              <w:rPr>
                <w:rFonts w:ascii="Consolas" w:hAnsi="Consolas" w:eastAsia="思源黑体"/>
                <w:sz w:val="16"/>
                <w:szCs w:val="16"/>
              </w:rPr>
              <w:t xml:space="preserve">  keyword: ["dns_tunnel","high_entropy_domain","long_label"]</w:t>
            </w:r>
          </w:p>
          <w:p w14:paraId="4D41C78C">
            <w:pPr>
              <w:spacing w:after="0"/>
            </w:pPr>
            <w:r>
              <w:rPr>
                <w:rFonts w:ascii="Consolas" w:hAnsi="Consolas" w:eastAsia="思源黑体"/>
                <w:sz w:val="16"/>
                <w:szCs w:val="16"/>
              </w:rPr>
              <w:t>context_budget: 1500</w:t>
            </w:r>
          </w:p>
          <w:p w14:paraId="09678912">
            <w:pPr>
              <w:spacing w:after="0"/>
            </w:pPr>
            <w:r>
              <w:rPr>
                <w:rFonts w:ascii="Consolas" w:hAnsi="Consolas" w:eastAsia="思源黑体"/>
                <w:sz w:val="16"/>
                <w:szCs w:val="16"/>
              </w:rPr>
              <w:t>mcp_tools: [query_peer_relations, es_search, detect_chain_sequence, get_entity_profile]</w:t>
            </w:r>
          </w:p>
          <w:p w14:paraId="54A54545">
            <w:pPr>
              <w:spacing w:after="0"/>
            </w:pPr>
            <w:r>
              <w:rPr>
                <w:rFonts w:ascii="Consolas" w:hAnsi="Consolas" w:eastAsia="思源黑体"/>
                <w:sz w:val="16"/>
                <w:szCs w:val="16"/>
              </w:rPr>
              <w:t>outputs: [risk_level, verdict, evidence, iocs]</w:t>
            </w:r>
          </w:p>
          <w:p w14:paraId="63A069A4">
            <w:pPr>
              <w:spacing w:after="0"/>
            </w:pPr>
            <w:r>
              <w:rPr>
                <w:rFonts w:ascii="Consolas" w:hAnsi="Consolas" w:eastAsia="思源黑体"/>
                <w:sz w:val="16"/>
                <w:szCs w:val="16"/>
              </w:rPr>
              <w:t>---</w:t>
            </w:r>
          </w:p>
          <w:p w14:paraId="1C6E89DB">
            <w:pPr>
              <w:spacing w:after="0"/>
            </w:pPr>
          </w:p>
          <w:p w14:paraId="1C27287F">
            <w:pPr>
              <w:spacing w:after="0"/>
            </w:pPr>
            <w:r>
              <w:rPr>
                <w:rFonts w:ascii="Consolas" w:hAnsi="Consolas" w:eastAsia="思源黑体"/>
                <w:sz w:val="16"/>
                <w:szCs w:val="16"/>
              </w:rPr>
              <w:t>## 目标</w:t>
            </w:r>
          </w:p>
          <w:p w14:paraId="5747BF29">
            <w:pPr>
              <w:spacing w:after="0"/>
            </w:pPr>
            <w:r>
              <w:rPr>
                <w:rFonts w:ascii="Consolas" w:hAnsi="Consolas" w:eastAsia="思源黑体"/>
                <w:sz w:val="16"/>
                <w:szCs w:val="16"/>
              </w:rPr>
              <w:t>识别通过 DNS 协议外传数据或建立 C2 心跳的隧道行为，区分正常 DNS 递归查询。</w:t>
            </w:r>
          </w:p>
          <w:p w14:paraId="6912FC61">
            <w:pPr>
              <w:spacing w:after="0"/>
            </w:pPr>
          </w:p>
          <w:p w14:paraId="4F39B181">
            <w:pPr>
              <w:spacing w:after="0"/>
            </w:pPr>
            <w:r>
              <w:rPr>
                <w:rFonts w:ascii="Consolas" w:hAnsi="Consolas" w:eastAsia="思源黑体"/>
                <w:sz w:val="16"/>
                <w:szCs w:val="16"/>
              </w:rPr>
              <w:t>## 分析步骤</w:t>
            </w:r>
          </w:p>
          <w:p w14:paraId="6075D788">
            <w:pPr>
              <w:spacing w:after="0"/>
            </w:pPr>
            <w:r>
              <w:rPr>
                <w:rFonts w:ascii="Consolas" w:hAnsi="Consolas" w:eastAsia="思源黑体"/>
                <w:sz w:val="16"/>
                <w:szCs w:val="16"/>
              </w:rPr>
              <w:t>1. 从 Zeek DNS 日志提取 query_name，计算熵值与标签长度；记录 QTYPE 分布。</w:t>
            </w:r>
          </w:p>
          <w:p w14:paraId="15888051">
            <w:pPr>
              <w:spacing w:after="0"/>
            </w:pPr>
            <w:r>
              <w:rPr>
                <w:rFonts w:ascii="Consolas" w:hAnsi="Consolas" w:eastAsia="思源黑体"/>
                <w:sz w:val="16"/>
                <w:szCs w:val="16"/>
              </w:rPr>
              <w:t>2. 调用 es_search 回溯该源IP近1小时 DNS 查询频次与域名唯一数。</w:t>
            </w:r>
          </w:p>
          <w:p w14:paraId="014B64B2">
            <w:pPr>
              <w:spacing w:after="0"/>
            </w:pPr>
            <w:r>
              <w:rPr>
                <w:rFonts w:ascii="Consolas" w:hAnsi="Consolas" w:eastAsia="思源黑体"/>
                <w:sz w:val="16"/>
                <w:szCs w:val="16"/>
              </w:rPr>
              <w:t>3. 调用 query_peer_relations 获取对端关系，判断是否为首次异常外联。</w:t>
            </w:r>
          </w:p>
          <w:p w14:paraId="6B781ED9">
            <w:pPr>
              <w:spacing w:after="0"/>
            </w:pPr>
            <w:r>
              <w:rPr>
                <w:rFonts w:ascii="Consolas" w:hAnsi="Consolas" w:eastAsia="思源黑体"/>
                <w:sz w:val="16"/>
                <w:szCs w:val="16"/>
              </w:rPr>
              <w:t>4. 若 A/AAAA 记录指向内网 IP 或 TXT 记录含高熵字符串，上调风险。</w:t>
            </w:r>
          </w:p>
          <w:p w14:paraId="518E3A3C">
            <w:pPr>
              <w:spacing w:after="0"/>
            </w:pPr>
            <w:r>
              <w:rPr>
                <w:rFonts w:ascii="Consolas" w:hAnsi="Consolas" w:eastAsia="思源黑体"/>
                <w:sz w:val="16"/>
                <w:szCs w:val="16"/>
              </w:rPr>
              <w:t>5. 输出 JSON 结论；ioc 字段填可疑域名与解析 IP。</w:t>
            </w:r>
          </w:p>
          <w:p w14:paraId="2247B5CE">
            <w:pPr>
              <w:spacing w:after="0"/>
            </w:pPr>
          </w:p>
          <w:p w14:paraId="3AC604B3">
            <w:pPr>
              <w:spacing w:after="0"/>
            </w:pPr>
            <w:r>
              <w:rPr>
                <w:rFonts w:ascii="Consolas" w:hAnsi="Consolas" w:eastAsia="思源黑体"/>
                <w:sz w:val="16"/>
                <w:szCs w:val="16"/>
              </w:rPr>
              <w:t>## 判定阈值（参考）</w:t>
            </w:r>
          </w:p>
          <w:p w14:paraId="51DECDB9">
            <w:pPr>
              <w:spacing w:after="0"/>
            </w:pPr>
            <w:r>
              <w:rPr>
                <w:rFonts w:ascii="Consolas" w:hAnsi="Consolas" w:eastAsia="思源黑体"/>
                <w:sz w:val="16"/>
                <w:szCs w:val="16"/>
              </w:rPr>
              <w:t>- 域名熵值&gt;3.5 且 标签长度&gt;40 且 1h 内唯一域名&gt;50 → High</w:t>
            </w:r>
          </w:p>
          <w:p w14:paraId="7D366F24">
            <w:pPr>
              <w:spacing w:after="0"/>
            </w:pPr>
            <w:r>
              <w:rPr>
                <w:rFonts w:ascii="Consolas" w:hAnsi="Consolas" w:eastAsia="思源黑体"/>
                <w:sz w:val="16"/>
                <w:szCs w:val="16"/>
              </w:rPr>
              <w:t>- 仅高频 TXT 查询且 QTYPE 异常 → Medium</w:t>
            </w:r>
          </w:p>
          <w:p w14:paraId="437C7D20">
            <w:pPr>
              <w:spacing w:after="0"/>
            </w:pPr>
            <w:r>
              <w:rPr>
                <w:rFonts w:ascii="Consolas" w:hAnsi="Consolas" w:eastAsia="思源黑体"/>
                <w:sz w:val="16"/>
                <w:szCs w:val="16"/>
              </w:rPr>
              <w:t>- 单次长域名、无其它异常 → Low（不告警，仅记录）</w:t>
            </w:r>
          </w:p>
          <w:p w14:paraId="48E38727">
            <w:pPr>
              <w:spacing w:after="0"/>
            </w:pPr>
          </w:p>
          <w:p w14:paraId="501D4A16">
            <w:pPr>
              <w:spacing w:after="0"/>
            </w:pPr>
            <w:r>
              <w:rPr>
                <w:rFonts w:ascii="Consolas" w:hAnsi="Consolas" w:eastAsia="思源黑体"/>
                <w:sz w:val="16"/>
                <w:szCs w:val="16"/>
              </w:rPr>
              <w:t>## 输出示例</w:t>
            </w:r>
          </w:p>
          <w:p w14:paraId="7780D995">
            <w:pPr>
              <w:spacing w:after="0"/>
            </w:pPr>
            <w:r>
              <w:rPr>
                <w:rFonts w:ascii="Consolas" w:hAnsi="Consolas" w:eastAsia="思源黑体"/>
                <w:sz w:val="16"/>
                <w:szCs w:val="16"/>
              </w:rPr>
              <w:t>{</w:t>
            </w:r>
          </w:p>
          <w:p w14:paraId="4217B6D2">
            <w:pPr>
              <w:spacing w:after="0"/>
            </w:pPr>
            <w:r>
              <w:rPr>
                <w:rFonts w:ascii="Consolas" w:hAnsi="Consolas" w:eastAsia="思源黑体"/>
                <w:sz w:val="16"/>
                <w:szCs w:val="16"/>
              </w:rPr>
              <w:t xml:space="preserve">  "risk_level": "High",</w:t>
            </w:r>
          </w:p>
          <w:p w14:paraId="0EB5EF4D">
            <w:pPr>
              <w:spacing w:after="0"/>
            </w:pPr>
            <w:r>
              <w:rPr>
                <w:rFonts w:ascii="Consolas" w:hAnsi="Consolas" w:eastAsia="思源黑体"/>
                <w:sz w:val="16"/>
                <w:szCs w:val="16"/>
              </w:rPr>
              <w:t xml:space="preserve">  "verdict": "dns_tunnel_suspected",</w:t>
            </w:r>
          </w:p>
          <w:p w14:paraId="3637218C">
            <w:pPr>
              <w:spacing w:after="0"/>
            </w:pPr>
            <w:r>
              <w:rPr>
                <w:rFonts w:ascii="Consolas" w:hAnsi="Consolas" w:eastAsia="思源黑体"/>
                <w:sz w:val="16"/>
                <w:szCs w:val="16"/>
              </w:rPr>
              <w:t xml:space="preserve">  "evidence": "entropy=4.1 len=58 qtype=TXT-&gt;10.0.0.5",</w:t>
            </w:r>
          </w:p>
          <w:p w14:paraId="18E5807C">
            <w:pPr>
              <w:spacing w:after="0"/>
            </w:pPr>
            <w:r>
              <w:rPr>
                <w:rFonts w:ascii="Consolas" w:hAnsi="Consolas" w:eastAsia="思源黑体"/>
                <w:sz w:val="16"/>
                <w:szCs w:val="16"/>
              </w:rPr>
              <w:t xml:space="preserve">  "iocs": [{"type":"domain","value":"xxxx.&lt;target&gt;.com"}]</w:t>
            </w:r>
          </w:p>
          <w:p w14:paraId="5C1348C6">
            <w:pPr>
              <w:spacing w:after="0"/>
            </w:pPr>
            <w:r>
              <w:rPr>
                <w:rFonts w:ascii="Consolas" w:hAnsi="Consolas" w:eastAsia="思源黑体"/>
                <w:sz w:val="16"/>
                <w:szCs w:val="16"/>
              </w:rPr>
              <w:t>}</w:t>
            </w:r>
          </w:p>
        </w:tc>
      </w:tr>
    </w:tbl>
    <w:p w14:paraId="334E1C06">
      <w:pPr>
        <w:spacing w:after="120" w:line="300" w:lineRule="auto"/>
        <w:ind w:firstLine="420" w:firstLineChars="0"/>
      </w:pPr>
      <w:r>
        <w:t>模板字段说明：triggers 决定路由命中条件，须与第五章行为模型编号对应；context_budget 约束该 Skill 加载时的 token 上限；mcp_tools 声明所需工具，由第六章 MCP Client 从本地缓存补全 Schema 并校验执行；outputs 固定为 risk_level/verdict/evidence/iocs，与 Redis 缓存值结构一致。</w:t>
      </w:r>
    </w:p>
    <w:p w14:paraId="6DEC01AE">
      <w:pPr>
        <w:spacing w:after="120" w:line="300" w:lineRule="auto"/>
        <w:ind w:firstLine="420" w:firstLineChars="0"/>
      </w:pPr>
      <w:r>
        <w:t>管理层面，建议在“Skills 管理”子模块提供 Skill 清单与版本管理、启用/停用开关、触发命中率统计及 Skill 与行为模型映射关系可视化，支撑后续微调数据集积累与规则例外沉淀。</w:t>
      </w:r>
    </w:p>
    <w:p w14:paraId="09F42116">
      <w:pPr>
        <w:outlineLvl w:val="0"/>
      </w:pPr>
      <w:r>
        <w:rPr>
          <w:b/>
        </w:rPr>
        <w:t>八、模型调用与能力边界</w:t>
      </w:r>
    </w:p>
    <w:p w14:paraId="5007B582">
      <w:pPr>
        <w:ind w:firstLine="420"/>
      </w:pPr>
      <w:r>
        <w:t>本章定义本地边缘模型与云端高阶模型的分工边界。本地部署 xLAM-2-1b-fc-r（Q4_K_M 量化）作为边缘模型，仅承担“快速分析 + 工具调用”职责；深度任务分析（多步关联、跨会话攻击链、高危复核等）按 token 调用高阶模型 API 完成。本地模型定位为“预筛 + 初判 + 结构化输出”的快速执行器，而非分析大脑。</w:t>
      </w:r>
      <w:r>
        <w:t>部署前提：本方案依赖云端高阶模型对复杂任务进行终审，智能体部署环境必须能够访问互联网（可连通云端模型 API）；若目标环境无法联网，需另行评估本地大模型替代方案。</w:t>
      </w:r>
    </w:p>
    <w:p w14:paraId="1F6631BB">
      <w:pPr>
        <w:ind w:firstLine="420"/>
        <w:outlineLvl w:val="1"/>
      </w:pPr>
      <w:r>
        <w:rPr>
          <w:b/>
        </w:rPr>
        <w:t>1. 模型分工总览</w:t>
      </w:r>
    </w:p>
    <w:p w14:paraId="2F488AF5">
      <w:pPr>
        <w:ind w:firstLine="420"/>
      </w:pPr>
      <w:r>
        <w:t>本地模型与云端模型按任务复杂度分工，避免把边缘模型用于深度推理，也避免将简单事件频繁送往云端产生不必要的 token 开销。</w:t>
      </w:r>
    </w:p>
    <w:p w14:paraId="5A510EFF">
      <w:pPr>
        <w:ind w:firstLine="420"/>
      </w:pPr>
      <w:r>
        <w:t>本地边缘模型（xLAM-2-1b-fc-r）：承担规则引擎预聚合后的事件初判、1~2 次 MCP 工具调用、按固定 Schema 输出 verdict。目标是将约 80% 的简单事件在 15 秒内本地消化，零 token 成本。</w:t>
      </w:r>
    </w:p>
    <w:p w14:paraId="5AC5AE8B">
      <w:pPr>
        <w:ind w:firstLine="420"/>
      </w:pPr>
      <w:r>
        <w:t>云端高阶模型：承担跨会话攻击链分析、多行为叠加研判、高危终审、新攻击模式定性等深度任务。按 token 计费，仅对升级事件调用。</w:t>
      </w:r>
    </w:p>
    <w:p w14:paraId="23DED0FA">
      <w:pPr>
        <w:ind w:firstLine="420"/>
        <w:outlineLvl w:val="1"/>
      </w:pPr>
      <w:r>
        <w:rPr>
          <w:b/>
        </w:rPr>
        <w:t>2. 本地模型选型</w:t>
      </w:r>
    </w:p>
    <w:p w14:paraId="6506533E">
      <w:pPr>
        <w:ind w:firstLine="420"/>
      </w:pPr>
      <w:r>
        <w:t>本地模型采用 xLAM-2-1b-fc-r（Q4_K_M 量化，模型体积约 0.99GB），部署于 6C/12G 专属</w:t>
      </w:r>
      <w:r>
        <w:rPr>
          <w:rFonts w:hint="eastAsia"/>
          <w:lang w:val="en-US" w:eastAsia="zh-CN"/>
        </w:rPr>
        <w:t>容器环境</w:t>
      </w:r>
      <w:r>
        <w:t>，通过 llama.cpp（llama-server）提供 OpenAI 兼容接口，供智能体以标准 function calling 协议调用。</w:t>
      </w:r>
    </w:p>
    <w:p w14:paraId="62659427">
      <w:pPr>
        <w:ind w:firstLine="420"/>
      </w:pPr>
      <w:r>
        <w:t>选型依据：能力权重排序为“速度 &gt; 单步工具调用准确率 &gt; 多步推理”。由于复杂任务已上云，本地模型无需深度推理能力，因此优先选择体积最小、推理最快的 1B 级专用工具调用模型。关键指标如下：</w:t>
      </w:r>
    </w:p>
    <w:p w14:paraId="1424DF58">
      <w:pPr>
        <w:ind w:firstLine="420"/>
      </w:pPr>
      <w:r>
        <w:t>BFCL-v3 工具调用 Overall 58.90（1B 类最强，多轮 43.12）；推理速度约 60~75 tokens/s，单事件端到端小于 15 秒；原生 function calling 训练（APIGen-MT 多轮 Agent 数据），JSON 输出合规率目标大于 95%。</w:t>
      </w:r>
    </w:p>
    <w:p w14:paraId="5E5C0511">
      <w:pPr>
        <w:ind w:firstLine="420"/>
      </w:pPr>
      <w:r>
        <w:t>许可说明：该模型采用 CC-BY-NC-4.0 许可，适用于内部/研究场景；若商用需另行评估替代模型（见 6. 模型升级路径）。</w:t>
      </w:r>
    </w:p>
    <w:p w14:paraId="0A21358C">
      <w:pPr>
        <w:ind w:firstLine="420"/>
        <w:outlineLvl w:val="1"/>
      </w:pPr>
      <w:r>
        <w:rPr>
          <w:b/>
        </w:rPr>
        <w:t>3. 本地模型在管线中的定位</w:t>
      </w:r>
    </w:p>
    <w:p w14:paraId="1315A577">
      <w:pPr>
        <w:ind w:firstLine="420"/>
      </w:pPr>
      <w:r>
        <w:t>本地模型处理阶段固定为：</w:t>
      </w:r>
    </w:p>
    <w:p w14:paraId="6CF87051">
      <w:pPr>
        <w:ind w:firstLine="420"/>
      </w:pPr>
      <w:r>
        <w:t>Zeek 日志 → 规则预聚合（BEH 匹配）→ 资产 RAG 注入 → 【本地模型：工具调用 + 初判 + 输出 JSON】→ Redis 缓存 / 告警；当触发升级条件时转交云端高阶模型。</w:t>
      </w:r>
    </w:p>
    <w:p w14:paraId="0E69044E">
      <w:pPr>
        <w:ind w:firstLine="420"/>
      </w:pPr>
      <w:r>
        <w:t>本地模型拿到的输入永远是规则引擎已聚合的事件摘要与资产背景（非原始日志），职责固定为三件事：判定风险等级、调用所需 MCP 工具补充信息、按固定 Schema 输出结论。</w:t>
      </w:r>
    </w:p>
    <w:p w14:paraId="241CA1DC">
      <w:pPr>
        <w:ind w:firstLine="420"/>
        <w:outlineLvl w:val="1"/>
      </w:pPr>
      <w:r>
        <w:rPr>
          <w:b/>
        </w:rPr>
        <w:t>4. 本地模型能处理的任务边界</w:t>
      </w:r>
    </w:p>
    <w:p w14:paraId="593C0615">
      <w:pPr>
        <w:ind w:firstLine="420"/>
      </w:pPr>
      <w:r>
        <w:t>本地模型的处理程度由事件复杂度决定（在规则引擎阶段判定并写入输入），而非由模型自行决定。各类任务的处理边界如下表：</w:t>
      </w:r>
    </w:p>
    <w:tbl>
      <w:tblPr>
        <w:tblStyle w:val="2"/>
        <w:tblW w:w="8306" w:type="dxa"/>
        <w:tblInd w:w="0" w:type="dxa"/>
        <w:tblLayout w:type="autofit"/>
        <w:tblCellMar>
          <w:top w:w="0" w:type="dxa"/>
          <w:left w:w="108" w:type="dxa"/>
          <w:bottom w:w="0" w:type="dxa"/>
          <w:right w:w="108" w:type="dxa"/>
        </w:tblCellMar>
      </w:tblPr>
      <w:tblGrid>
        <w:gridCol w:w="3880"/>
        <w:gridCol w:w="4426"/>
      </w:tblGrid>
      <w:tr w14:paraId="614BAD31">
        <w:tblPrEx>
          <w:tblCellMar>
            <w:top w:w="0" w:type="dxa"/>
            <w:left w:w="108" w:type="dxa"/>
            <w:bottom w:w="0" w:type="dxa"/>
            <w:right w:w="108" w:type="dxa"/>
          </w:tblCellMar>
        </w:tblPrEx>
        <w:tc>
          <w:tcPr>
            <w:tcW w:w="4153" w:type="dxa"/>
          </w:tcPr>
          <w:p w14:paraId="4BB61D23">
            <w:r>
              <w:rPr>
                <w:b/>
              </w:rPr>
              <w:t>任务类型</w:t>
            </w:r>
          </w:p>
        </w:tc>
        <w:tc>
          <w:tcPr>
            <w:tcW w:w="4153" w:type="dxa"/>
          </w:tcPr>
          <w:p w14:paraId="7F3F39E3">
            <w:r>
              <w:rPr>
                <w:b/>
              </w:rPr>
              <w:t>处理程度与说明</w:t>
            </w:r>
          </w:p>
        </w:tc>
      </w:tr>
      <w:tr w14:paraId="677FA479">
        <w:tblPrEx>
          <w:tblCellMar>
            <w:top w:w="0" w:type="dxa"/>
            <w:left w:w="108" w:type="dxa"/>
            <w:bottom w:w="0" w:type="dxa"/>
            <w:right w:w="108" w:type="dxa"/>
          </w:tblCellMar>
        </w:tblPrEx>
        <w:tc>
          <w:tcPr>
            <w:tcW w:w="3300" w:type="dxa"/>
          </w:tcPr>
          <w:p w14:paraId="793DAAF9">
            <w:r>
              <w:t>爆破 / 扫描类（BEH-001/005/006）</w:t>
            </w:r>
          </w:p>
        </w:tc>
        <w:tc>
          <w:tcPr>
            <w:tcW w:w="5006" w:type="dxa"/>
          </w:tcPr>
          <w:p w14:paraId="426D6DD0">
            <w:r>
              <w:t>完整闭环：判定 + verdict + 建议动作</w:t>
            </w:r>
          </w:p>
        </w:tc>
      </w:tr>
      <w:tr w14:paraId="22CEC83B">
        <w:tblPrEx>
          <w:tblCellMar>
            <w:top w:w="0" w:type="dxa"/>
            <w:left w:w="108" w:type="dxa"/>
            <w:bottom w:w="0" w:type="dxa"/>
            <w:right w:w="108" w:type="dxa"/>
          </w:tblCellMar>
        </w:tblPrEx>
        <w:tc>
          <w:tcPr>
            <w:tcW w:w="3300" w:type="dxa"/>
          </w:tcPr>
          <w:p w14:paraId="7A413276">
            <w:r>
              <w:t>DNS 隧道类（BEH-002/007）</w:t>
            </w:r>
          </w:p>
        </w:tc>
        <w:tc>
          <w:tcPr>
            <w:tcW w:w="5006" w:type="dxa"/>
          </w:tcPr>
          <w:p w14:paraId="5F73FC85">
            <w:r>
              <w:t>完整闭环：1 次工具调用后出结论</w:t>
            </w:r>
          </w:p>
        </w:tc>
      </w:tr>
      <w:tr w14:paraId="4EE304A4">
        <w:tblPrEx>
          <w:tblCellMar>
            <w:top w:w="0" w:type="dxa"/>
            <w:left w:w="108" w:type="dxa"/>
            <w:bottom w:w="0" w:type="dxa"/>
            <w:right w:w="108" w:type="dxa"/>
          </w:tblCellMar>
        </w:tblPrEx>
        <w:tc>
          <w:tcPr>
            <w:tcW w:w="3300" w:type="dxa"/>
          </w:tcPr>
          <w:p w14:paraId="49007D6C">
            <w:r>
              <w:t>Web 漏洞 / 凭据窃取类（BEH-008/010）</w:t>
            </w:r>
          </w:p>
        </w:tc>
        <w:tc>
          <w:tcPr>
            <w:tcW w:w="5006" w:type="dxa"/>
          </w:tcPr>
          <w:p w14:paraId="12101F05">
            <w:r>
              <w:t>完整闭环：1~2 次工具调用后出结论</w:t>
            </w:r>
          </w:p>
        </w:tc>
      </w:tr>
      <w:tr w14:paraId="69FA283F">
        <w:tblPrEx>
          <w:tblCellMar>
            <w:top w:w="0" w:type="dxa"/>
            <w:left w:w="108" w:type="dxa"/>
            <w:bottom w:w="0" w:type="dxa"/>
            <w:right w:w="108" w:type="dxa"/>
          </w:tblCellMar>
        </w:tblPrEx>
        <w:tc>
          <w:tcPr>
            <w:tcW w:w="3300" w:type="dxa"/>
          </w:tcPr>
          <w:p w14:paraId="31FD54F5">
            <w:r>
              <w:t>异常外连类（BEH-009）</w:t>
            </w:r>
          </w:p>
        </w:tc>
        <w:tc>
          <w:tcPr>
            <w:tcW w:w="5006" w:type="dxa"/>
          </w:tcPr>
          <w:p w14:paraId="1650BADC">
            <w:r>
              <w:t>完整闭环：查询对端关系后出结论</w:t>
            </w:r>
          </w:p>
        </w:tc>
      </w:tr>
      <w:tr w14:paraId="6CDF79E1">
        <w:tblPrEx>
          <w:tblCellMar>
            <w:top w:w="0" w:type="dxa"/>
            <w:left w:w="108" w:type="dxa"/>
            <w:bottom w:w="0" w:type="dxa"/>
            <w:right w:w="108" w:type="dxa"/>
          </w:tblCellMar>
        </w:tblPrEx>
        <w:tc>
          <w:tcPr>
            <w:tcW w:w="3300" w:type="dxa"/>
          </w:tcPr>
          <w:p w14:paraId="2A8EF417">
            <w:r>
              <w:t>跨会话关联（A→B→C）</w:t>
            </w:r>
          </w:p>
        </w:tc>
        <w:tc>
          <w:tcPr>
            <w:tcW w:w="5006" w:type="dxa"/>
          </w:tcPr>
          <w:p w14:paraId="5F8C3678">
            <w:r>
              <w:t>仅检测时序链，不做定性，升级云端</w:t>
            </w:r>
          </w:p>
        </w:tc>
      </w:tr>
      <w:tr w14:paraId="58522CCC">
        <w:tblPrEx>
          <w:tblCellMar>
            <w:top w:w="0" w:type="dxa"/>
            <w:left w:w="108" w:type="dxa"/>
            <w:bottom w:w="0" w:type="dxa"/>
            <w:right w:w="108" w:type="dxa"/>
          </w:tblCellMar>
        </w:tblPrEx>
        <w:tc>
          <w:tcPr>
            <w:tcW w:w="3300" w:type="dxa"/>
          </w:tcPr>
          <w:p w14:paraId="27B8F677">
            <w:r>
              <w:t>多行为叠加（同时命中 ≥2 个 BEH）</w:t>
            </w:r>
          </w:p>
        </w:tc>
        <w:tc>
          <w:tcPr>
            <w:tcW w:w="5006" w:type="dxa"/>
          </w:tcPr>
          <w:p w14:paraId="4A33947D">
            <w:r>
              <w:t>仅初判风险倾向，升级云端</w:t>
            </w:r>
          </w:p>
        </w:tc>
      </w:tr>
      <w:tr w14:paraId="0D176D67">
        <w:tblPrEx>
          <w:tblCellMar>
            <w:top w:w="0" w:type="dxa"/>
            <w:left w:w="108" w:type="dxa"/>
            <w:bottom w:w="0" w:type="dxa"/>
            <w:right w:w="108" w:type="dxa"/>
          </w:tblCellMar>
        </w:tblPrEx>
        <w:tc>
          <w:tcPr>
            <w:tcW w:w="3300" w:type="dxa"/>
          </w:tcPr>
          <w:p w14:paraId="05CD0669">
            <w:r>
              <w:t>新攻击模式 / 未知行为</w:t>
            </w:r>
          </w:p>
        </w:tc>
        <w:tc>
          <w:tcPr>
            <w:tcW w:w="5006" w:type="dxa"/>
          </w:tcPr>
          <w:p w14:paraId="547FC793">
            <w:r>
              <w:t>仅标记异常，升级云端</w:t>
            </w:r>
          </w:p>
        </w:tc>
      </w:tr>
      <w:tr w14:paraId="68C32609">
        <w:tblPrEx>
          <w:tblCellMar>
            <w:top w:w="0" w:type="dxa"/>
            <w:left w:w="108" w:type="dxa"/>
            <w:bottom w:w="0" w:type="dxa"/>
            <w:right w:w="108" w:type="dxa"/>
          </w:tblCellMar>
        </w:tblPrEx>
        <w:tc>
          <w:tcPr>
            <w:tcW w:w="3300" w:type="dxa"/>
          </w:tcPr>
          <w:p w14:paraId="55DFA0B6">
            <w:r>
              <w:t>高危确认（High）</w:t>
            </w:r>
          </w:p>
        </w:tc>
        <w:tc>
          <w:tcPr>
            <w:tcW w:w="5006" w:type="dxa"/>
          </w:tcPr>
          <w:p w14:paraId="4E25C1DC">
            <w:r>
              <w:t>一律升级云端复核</w:t>
            </w:r>
          </w:p>
        </w:tc>
      </w:tr>
    </w:tbl>
    <w:p w14:paraId="5BAA3284">
      <w:pPr>
        <w:spacing w:after="120"/>
      </w:pPr>
    </w:p>
    <w:p w14:paraId="2304AF1C">
      <w:pPr>
        <w:ind w:firstLine="420"/>
        <w:outlineLvl w:val="1"/>
      </w:pPr>
      <w:r>
        <w:rPr>
          <w:b/>
        </w:rPr>
        <w:t>5. 升级 / 转交云端触发条件</w:t>
      </w:r>
    </w:p>
    <w:p w14:paraId="1D4A0E9A">
      <w:pPr>
        <w:ind w:firstLine="420"/>
      </w:pPr>
      <w:r>
        <w:t>升级条件由 Agent 调度层以代码硬编码判定，不依赖模型自行判断，避免边缘模型在能力边界内做出越权结论。满足以下任一条件即升级云端：</w:t>
      </w:r>
    </w:p>
    <w:p w14:paraId="231FC03B">
      <w:pPr>
        <w:ind w:firstLine="420"/>
      </w:pPr>
      <w:r>
        <w:t>① 风险等级为 High（含本地模型初判为 High）；② 涉及跨会话 / 多 IP 时序链（requires_chain_analysis）；③ 同时命中 ≥2 个 BEH 行为且规则引擎无法消歧；④ 本地模型拒答或 JSON 解析失败（verdict=uncertain）；⑤ 单事件预估需要 ≥3 次工具调用才能定性。</w:t>
      </w:r>
    </w:p>
    <w:p w14:paraId="45C6EF57">
      <w:pPr>
        <w:ind w:firstLine="420"/>
      </w:pPr>
      <w:r>
        <w:t>调度层判定逻辑示例如下：</w:t>
      </w:r>
    </w:p>
    <w:p w14:paraId="60CC75CB">
      <w:pPr>
        <w:ind w:left="480"/>
      </w:pPr>
      <w:r>
        <w:rPr>
          <w:rFonts w:ascii="Consolas" w:hAnsi="Consolas" w:eastAsia="微软雅黑"/>
          <w:sz w:val="18"/>
        </w:rPr>
        <w:t>def needs_cloud(event, local_result):</w:t>
      </w:r>
    </w:p>
    <w:p w14:paraId="64B05D1B">
      <w:pPr>
        <w:ind w:left="480"/>
      </w:pPr>
      <w:r>
        <w:rPr>
          <w:rFonts w:ascii="Consolas" w:hAnsi="Consolas" w:eastAsia="微软雅黑"/>
          <w:sz w:val="18"/>
        </w:rPr>
        <w:t xml:space="preserve">    if event.risk_level == 'high' or local_result.risk_level == 'high':</w:t>
      </w:r>
    </w:p>
    <w:p w14:paraId="41A9578E">
      <w:pPr>
        <w:ind w:left="480"/>
      </w:pPr>
      <w:r>
        <w:rPr>
          <w:rFonts w:ascii="Consolas" w:hAnsi="Consolas" w:eastAsia="微软雅黑"/>
          <w:sz w:val="18"/>
        </w:rPr>
        <w:t xml:space="preserve">        return True</w:t>
      </w:r>
    </w:p>
    <w:p w14:paraId="1F16C50E">
      <w:pPr>
        <w:ind w:left="480"/>
      </w:pPr>
      <w:r>
        <w:rPr>
          <w:rFonts w:ascii="Consolas" w:hAnsi="Consolas" w:eastAsia="微软雅黑"/>
          <w:sz w:val="18"/>
        </w:rPr>
        <w:t xml:space="preserve">    if event.requires_chain_analysis:</w:t>
      </w:r>
    </w:p>
    <w:p w14:paraId="1FA3F4B1">
      <w:pPr>
        <w:ind w:left="480"/>
      </w:pPr>
      <w:r>
        <w:rPr>
          <w:rFonts w:ascii="Consolas" w:hAnsi="Consolas" w:eastAsia="微软雅黑"/>
          <w:sz w:val="18"/>
        </w:rPr>
        <w:t xml:space="preserve">        return True</w:t>
      </w:r>
    </w:p>
    <w:p w14:paraId="6A5A38A1">
      <w:pPr>
        <w:ind w:left="480"/>
      </w:pPr>
      <w:r>
        <w:rPr>
          <w:rFonts w:ascii="Consolas" w:hAnsi="Consolas" w:eastAsia="微软雅黑"/>
          <w:sz w:val="18"/>
        </w:rPr>
        <w:t xml:space="preserve">    if event.behavior_hits &gt;= 2 and not event.rule_resolved:</w:t>
      </w:r>
    </w:p>
    <w:p w14:paraId="278B4C7E">
      <w:pPr>
        <w:ind w:left="480"/>
      </w:pPr>
      <w:r>
        <w:rPr>
          <w:rFonts w:ascii="Consolas" w:hAnsi="Consolas" w:eastAsia="微软雅黑"/>
          <w:sz w:val="18"/>
        </w:rPr>
        <w:t xml:space="preserve">        return True</w:t>
      </w:r>
    </w:p>
    <w:p w14:paraId="763000ED">
      <w:pPr>
        <w:ind w:left="480"/>
      </w:pPr>
      <w:r>
        <w:rPr>
          <w:rFonts w:ascii="Consolas" w:hAnsi="Consolas" w:eastAsia="微软雅黑"/>
          <w:sz w:val="18"/>
        </w:rPr>
        <w:t xml:space="preserve">    if local_result.verdict == 'uncertain' or not local_result.parsed:</w:t>
      </w:r>
    </w:p>
    <w:p w14:paraId="5D452DF7">
      <w:pPr>
        <w:ind w:left="480"/>
      </w:pPr>
      <w:r>
        <w:rPr>
          <w:rFonts w:ascii="Consolas" w:hAnsi="Consolas" w:eastAsia="微软雅黑"/>
          <w:sz w:val="18"/>
        </w:rPr>
        <w:t xml:space="preserve">        return True</w:t>
      </w:r>
    </w:p>
    <w:p w14:paraId="152AE0ED">
      <w:pPr>
        <w:ind w:left="480"/>
      </w:pPr>
      <w:r>
        <w:rPr>
          <w:rFonts w:ascii="Consolas" w:hAnsi="Consolas" w:eastAsia="微软雅黑"/>
          <w:sz w:val="18"/>
        </w:rPr>
        <w:t xml:space="preserve">    if event.estimated_tool_calls &gt;= 3:</w:t>
      </w:r>
    </w:p>
    <w:p w14:paraId="5EC19322">
      <w:pPr>
        <w:ind w:left="480"/>
      </w:pPr>
      <w:r>
        <w:rPr>
          <w:rFonts w:ascii="Consolas" w:hAnsi="Consolas" w:eastAsia="微软雅黑"/>
          <w:sz w:val="18"/>
        </w:rPr>
        <w:t xml:space="preserve">        return True</w:t>
      </w:r>
    </w:p>
    <w:p w14:paraId="28A74905">
      <w:pPr>
        <w:ind w:left="480"/>
      </w:pPr>
      <w:r>
        <w:rPr>
          <w:rFonts w:ascii="Consolas" w:hAnsi="Consolas" w:eastAsia="微软雅黑"/>
          <w:sz w:val="18"/>
        </w:rPr>
        <w:t xml:space="preserve">    return False</w:t>
      </w:r>
    </w:p>
    <w:p w14:paraId="3E928257">
      <w:pPr>
        <w:ind w:firstLine="420"/>
        <w:outlineLvl w:val="1"/>
      </w:pPr>
      <w:r>
        <w:rPr>
          <w:b/>
        </w:rPr>
        <w:t xml:space="preserve">6. </w:t>
      </w:r>
      <w:r>
        <w:rPr>
          <w:rFonts w:hint="eastAsia"/>
          <w:b/>
          <w:lang w:val="en-US" w:eastAsia="zh-CN"/>
        </w:rPr>
        <w:t>本地</w:t>
      </w:r>
      <w:r>
        <w:rPr>
          <w:b/>
        </w:rPr>
        <w:t>模型升级路径</w:t>
      </w:r>
    </w:p>
    <w:p w14:paraId="19EE94E7">
      <w:pPr>
        <w:ind w:firstLine="420"/>
      </w:pPr>
      <w:r>
        <w:t>若实测本地模型工具调用准确率低于 85% 或 JSON 输出合规率低于 90%，可平滑切换至更强本地模型：xLAM-2-3b-fc-r（BFCL-v3 65.11，多轮 56.00，Q4_K_M 约 1.93GB，6C/12G 内可运行）或 Granite-4.1-3B（Apache 2.0，BFCL-v3 60.80，131K 上下文，商用合规）。</w:t>
      </w:r>
    </w:p>
    <w:p w14:paraId="71A12E26">
      <w:pPr>
        <w:ind w:firstLine="420"/>
      </w:pPr>
      <w:r>
        <w:t>切换成本极低：替换 GGUF 文件并重启 llama-server 即可，Agent 侧 OpenAI 兼容接口与 MCP 调用逻辑无需改动。</w:t>
      </w:r>
    </w:p>
    <w:p w14:paraId="09F42116">
      <w:pPr>
        <w:outlineLvl w:val="0"/>
      </w:pPr>
      <w:r>
        <w:rPr>
          <w:b/>
        </w:rPr>
        <w:t xml:space="preserve">九、智能体框架与编排（LangGraph）</w:t>
      </w:r>
    </w:p>
    <w:p w14:paraId="5007B582">
      <w:pPr>
        <w:ind w:firstLine="420"/>
      </w:pPr>
      <w:r>
        <w:t xml:space="preserve">智能体采用 LangGraph 作为编排框架，将“缓存查询→规则聚合→本地初判→工具调用→云端复核→结论写回→告警”建模为状态图（StateGraph），替代原先模糊的“智能体调度层”。智能体仍为后台常驻的纯后端分析引擎，不提供对话窗口。</w:t>
      </w:r>
    </w:p>
    <w:p w14:paraId="1F6631BB">
      <w:pPr>
        <w:ind w:firstLine="420"/>
        <w:outlineLvl w:val="1"/>
      </w:pPr>
      <w:r>
        <w:rPr>
          <w:b/>
        </w:rPr>
        <w:t xml:space="preserve">1. 选型理由</w:t>
      </w:r>
    </w:p>
    <w:p w14:paraId="5007B582">
      <w:pPr>
        <w:ind w:firstLine="420"/>
      </w:pPr>
      <w:r>
        <w:t xml:space="preserve">LangGraph 的状态化图编排天然适配本方案：条件边（conditional edges）实现本地/云端分支路由，ToolNode 原生支持工具调用循环，Checkpoint 将图状态持久化（崩溃恢复与任务接续），节点级执行统计直接支撑可观测性；相比对话式 Agent 框架，更适合“无对话、常驻、任务可接续”的后台分析定位。</w:t>
      </w:r>
    </w:p>
    <w:p w14:paraId="1F6631BB">
      <w:pPr>
        <w:ind w:firstLine="420"/>
        <w:outlineLvl w:val="1"/>
      </w:pPr>
      <w:r>
        <w:rPr>
          <w:b/>
        </w:rPr>
        <w:t xml:space="preserve">2. 状态定义（AgentState）</w:t>
      </w:r>
    </w:p>
    <w:p w14:paraId="5007B582">
      <w:pPr>
        <w:ind w:firstLine="420"/>
      </w:pPr>
      <w:r>
        <w:t xml:space="preserve">AgentState 字段：analysis_unit（聚合摘要、命中行为编号、初始风险、预估工具调用次数）、会话键与水位、证据摘要、本地初判结果、升级标志、云端复核结果、工具调用记录（含次数上限）、trace_id、最终结论。状态经 Checkpoint 持久化到 Redis，支持任务中断后续跑与崩溃恢复。</w:t>
      </w:r>
    </w:p>
    <w:p w14:paraId="1F6631BB">
      <w:pPr>
        <w:ind w:firstLine="420"/>
        <w:outlineLvl w:val="1"/>
      </w:pPr>
      <w:r>
        <w:rPr>
          <w:b/>
        </w:rPr>
        <w:t xml:space="preserve">3. 图结构与节点</w:t>
      </w:r>
    </w:p>
    <w:p w14:paraId="5007B582">
      <w:pPr>
        <w:ind w:firstLine="420"/>
      </w:pPr>
      <w:r>
        <w:t xml:space="preserve">节点编排：cache_lookup（查水位/缓存，命中即短路返回）→ aggregate（规则引擎，输出 analysis_unit）→ local_model（xLAM-2-1b-fc-r 初判）→ escalate_check（needs_cloud 条件边）→ cloud_model（云端终审）与 tool_loop（MCP 工具调用，复用第六章 MCP Client，设置循环上限与结果截断）→ verdict_write（原子回写 Redis + ES，XACK）→ alert（告警去重）。条件边示例：缓存命中→结束；升级条件满足→cloud_model；工具调用未定性且未超限→继续 tool_loop。</w:t>
      </w:r>
    </w:p>
    <w:p w14:paraId="1F6631BB">
      <w:pPr>
        <w:ind w:firstLine="420"/>
        <w:outlineLvl w:val="1"/>
      </w:pPr>
      <w:r>
        <w:rPr>
          <w:b/>
        </w:rPr>
        <w:t xml:space="preserve">4. 本地/云端任务接续</w:t>
      </w:r>
    </w:p>
    <w:p w14:paraId="5007B582">
      <w:pPr>
        <w:ind w:firstLine="420"/>
      </w:pPr>
      <w:r>
        <w:t xml:space="preserve">本地模型节点输出“初判结论 + 升级标志 + 已收集证据摘要”，条件边按第八章 needs_cloud 规则路由；转云端时，将本地初判与证据摘要注入云端节点上下文作为复核基线，云端结论覆盖并回写，避免云端从零开始重复检索。升级任务可先投递 Redis Stream 队列，由独立 worker 异步执行，执行结果经 Checkpoint 恢复图状态后继续后续节点（verdict_write/alert），实现“本地先行、云端复核、状态续接”。</w:t>
      </w:r>
    </w:p>
    <w:p w14:paraId="1F6631BB">
      <w:pPr>
        <w:ind w:firstLine="420"/>
        <w:outlineLvl w:val="1"/>
      </w:pPr>
      <w:r>
        <w:rPr>
          <w:b/>
        </w:rPr>
        <w:t xml:space="preserve">5. 与既有架构集成</w:t>
      </w:r>
    </w:p>
    <w:p w14:paraId="5007B582">
      <w:pPr>
        <w:ind w:firstLine="420"/>
      </w:pPr>
      <w:r>
        <w:t xml:space="preserve">LangGraph 作为分析层编排引擎落地于智能体管理模块；LLM 接入配置（本地/云端双 Provider）映射为图节点配置；MCP 工具调用、缓存/水位、双写均作为节点或回调接入；管理层可观测 LangGraph 节点执行统计、Checkpoint 状态与图中断/恢复事件。</w:t>
      </w:r>
    </w:p>
    <w:p w14:paraId="09F42116">
      <w:pPr>
        <w:outlineLvl w:val="0"/>
      </w:pPr>
      <w:r>
        <w:rPr>
          <w:b/>
        </w:rPr>
        <w:t xml:space="preserve">十、资产知识库设计</w:t>
      </w:r>
    </w:p>
    <w:p w14:paraId="5007B582">
      <w:pPr>
        <w:ind w:firstLine="420"/>
      </w:pPr>
      <w:r>
        <w:t xml:space="preserve">资产背景注入是本方案区别于纯流量分析的差异化核心。本节定义资产知识库的数据来源、档案模型、更新机制、RAG 检索与管理面，补齐此前缺失的“资产管理”模块。</w:t>
      </w:r>
    </w:p>
    <w:p w14:paraId="1F6631BB">
      <w:pPr>
        <w:ind w:firstLine="420"/>
        <w:outlineLvl w:val="1"/>
      </w:pPr>
      <w:r>
        <w:rPr>
          <w:b/>
        </w:rPr>
        <w:t xml:space="preserve">1. 数据来源</w:t>
      </w:r>
    </w:p>
    <w:p w14:paraId="5007B582">
      <w:pPr>
        <w:ind w:firstLine="420"/>
      </w:pPr>
      <w:r>
        <w:t xml:space="preserve">初始化导入（CMDB、资产台账、Excel/CSV）、Zeek 被动资产测绘（基于流量自动发现活跃 IP、端口、协议与流量指纹）、分析师人工补全与修正；三方来源以“来源 + 置信度”合并，冲突时以人工审核结果为准。</w:t>
      </w:r>
    </w:p>
    <w:p w14:paraId="1F6631BB">
      <w:pPr>
        <w:ind w:firstLine="420"/>
        <w:outlineLvl w:val="1"/>
      </w:pPr>
      <w:r>
        <w:rPr>
          <w:b/>
        </w:rPr>
        <w:t xml:space="preserve">2. 资产档案模型</w:t>
      </w:r>
    </w:p>
    <w:p w14:paraId="5007B582">
      <w:pPr>
        <w:ind w:firstLine="420"/>
      </w:pPr>
      <w:r>
        <w:t xml:space="preserve">每条档案含：ip、网段归属、业务系统与责任人、开放端口与服务、已知漏洞、业务重要性、数据敏感度、允许出向/入向基线、信任等级、标签、最近更新时间与置信度；档案版本化，变更可追溯。</w:t>
      </w:r>
    </w:p>
    <w:p w14:paraId="1F6631BB">
      <w:pPr>
        <w:ind w:firstLine="420"/>
        <w:outlineLvl w:val="1"/>
      </w:pPr>
      <w:r>
        <w:rPr>
          <w:b/>
        </w:rPr>
        <w:t xml:space="preserve">3. 更新与生命周期</w:t>
      </w:r>
    </w:p>
    <w:p w14:paraId="5007B582">
      <w:pPr>
        <w:ind w:firstLine="420"/>
      </w:pPr>
      <w:r>
        <w:t xml:space="preserve">被动测绘按周期（如每日）刷新，出现新端口/新域名/新对端自动打“待确认”标签；人工变更走“草稿→审核→生效”，生效时触发 agent:result 缓存失效与实体画像重建，复用核心链路的失效机制。</w:t>
      </w:r>
    </w:p>
    <w:p w14:paraId="1F6631BB">
      <w:pPr>
        <w:ind w:firstLine="420"/>
        <w:outlineLvl w:val="1"/>
      </w:pPr>
      <w:r>
        <w:rPr>
          <w:b/>
        </w:rPr>
        <w:t xml:space="preserve">4. RAG 检索</w:t>
      </w:r>
    </w:p>
    <w:p w14:paraId="5007B582">
      <w:pPr>
        <w:ind w:firstLine="420"/>
      </w:pPr>
      <w:r>
        <w:t xml:space="preserve">档案索引采用 ES dense_vector 或独立向量库 + 业务规则过滤；检索范围：涉及 IP 的档案 Top-N、相邻网段同类资产、历史异常标签；注入上下文前做压缩与脱敏，单条约 100~200 tokens，与第四章上下文预算一致。</w:t>
      </w:r>
    </w:p>
    <w:p w14:paraId="1F6631BB">
      <w:pPr>
        <w:ind w:firstLine="420"/>
        <w:outlineLvl w:val="1"/>
      </w:pPr>
      <w:r>
        <w:rPr>
          <w:b/>
        </w:rPr>
        <w:t xml:space="preserve">5. 管理面</w:t>
      </w:r>
    </w:p>
    <w:p w14:paraId="5007B582">
      <w:pPr>
        <w:ind w:firstLine="420"/>
      </w:pPr>
      <w:r>
        <w:t xml:space="preserve">管理层新增“资产管理”子模块：档案列表与检索、批量导入、置信度与审核、版本生效、与告警/缓存联动；同时作为评测集中“资产背景正确性”的标注入口。</w:t>
      </w:r>
    </w:p>
    <w:p w14:paraId="09F42116">
      <w:pPr>
        <w:outlineLvl w:val="0"/>
      </w:pPr>
      <w:r>
        <w:rPr>
          <w:b/>
        </w:rPr>
        <w:t xml:space="preserve">十一、告警与事件处置闭环</w:t>
      </w:r>
    </w:p>
    <w:p w14:paraId="5007B582">
      <w:pPr>
        <w:ind w:firstLine="420"/>
      </w:pPr>
      <w:r>
        <w:t xml:space="preserve">分析结论必须落到可处置的事件上。本节定义事件模型、状态机与人工反馈回灌，补齐“检测→告警→处置→反馈→优化”的产品闭环。</w:t>
      </w:r>
    </w:p>
    <w:p w14:paraId="1F6631BB">
      <w:pPr>
        <w:ind w:firstLine="420"/>
        <w:outlineLvl w:val="1"/>
      </w:pPr>
      <w:r>
        <w:rPr>
          <w:b/>
        </w:rPr>
        <w:t xml:space="preserve">1. 事件模型</w:t>
      </w:r>
    </w:p>
    <w:p w14:paraId="5007B582">
      <w:pPr>
        <w:ind w:firstLine="420"/>
      </w:pPr>
      <w:r>
        <w:t xml:space="preserve">事件由“会话键 + 结论 + 命中行为编号 + 证据时间线”聚合生成；同会话同结论合并更新，重复触发不重复建单（复用告警指纹去重）；事件含 risk_level、verdict、iocs、suggest_action、关联时间线与 trace_id。</w:t>
      </w:r>
    </w:p>
    <w:p w14:paraId="1F6631BB">
      <w:pPr>
        <w:ind w:firstLine="420"/>
        <w:outlineLvl w:val="1"/>
      </w:pPr>
      <w:r>
        <w:rPr>
          <w:b/>
        </w:rPr>
        <w:t xml:space="preserve">2. 状态机</w:t>
      </w:r>
    </w:p>
    <w:p w14:paraId="5007B582">
      <w:pPr>
        <w:ind w:firstLine="420"/>
      </w:pPr>
      <w:r>
        <w:t xml:space="preserve">open（待研判）→ triage（研判中）→ confirmed/in_progress（确认/处置中）→ closed（关闭）；误报标记进入 false_positive；超时未处置自动升级提醒，SLA 可配置。</w:t>
      </w:r>
    </w:p>
    <w:p w14:paraId="1F6631BB">
      <w:pPr>
        <w:ind w:firstLine="420"/>
        <w:outlineLvl w:val="1"/>
      </w:pPr>
      <w:r>
        <w:rPr>
          <w:b/>
        </w:rPr>
        <w:t xml:space="preserve">3. 人工反馈回灌</w:t>
      </w:r>
    </w:p>
    <w:p w14:paraId="5007B582">
      <w:pPr>
        <w:ind w:firstLine="420"/>
      </w:pPr>
      <w:r>
        <w:t xml:space="preserve">标记“误报”→ 失效对应缓存与告警、写入评测集、生成规则例外（供规则引擎 shadow 校准）；标记“确认”→ 沉淀为标注样本，反哺阈值与 Skills；标记“需重新分析”→ 失效缓存并触发重新分析。</w:t>
      </w:r>
    </w:p>
    <w:p w14:paraId="1F6631BB">
      <w:pPr>
        <w:ind w:firstLine="420"/>
        <w:outlineLvl w:val="1"/>
      </w:pPr>
      <w:r>
        <w:rPr>
          <w:b/>
        </w:rPr>
        <w:t xml:space="preserve">4. 通知与展示</w:t>
      </w:r>
    </w:p>
    <w:p w14:paraId="5007B582">
      <w:pPr>
        <w:ind w:firstLine="420"/>
      </w:pPr>
      <w:r>
        <w:t xml:space="preserve">事件中心提供列表/详情/时间线/证据关联/处置建议；通知渠道（邮件、企业微信、Webhook）可配置，支持合并、抑制与静默窗口，避免告警疲劳。</w:t>
      </w:r>
    </w:p>
    <w:p w14:paraId="1F6631BB">
      <w:pPr>
        <w:ind w:firstLine="420"/>
        <w:outlineLvl w:val="1"/>
      </w:pPr>
      <w:r>
        <w:rPr>
          <w:b/>
        </w:rPr>
        <w:t xml:space="preserve">5. 集成</w:t>
      </w:r>
    </w:p>
    <w:p w14:paraId="5007B582">
      <w:pPr>
        <w:ind w:firstLine="420"/>
      </w:pPr>
      <w:r>
        <w:t xml:space="preserve">与核心链路“告警去重”、规则引擎 shadow、模型评测集联动，构成完整闭环。</w:t>
      </w:r>
    </w:p>
    <w:p w14:paraId="09F42116">
      <w:pPr>
        <w:outlineLvl w:val="0"/>
      </w:pPr>
      <w:r>
        <w:rPr>
          <w:b/>
        </w:rPr>
        <w:t xml:space="preserve">十二、模型评测、合规治理与可观测性</w:t>
      </w:r>
    </w:p>
    <w:p w14:paraId="5007B582">
      <w:pPr>
        <w:ind w:firstLine="420"/>
      </w:pPr>
      <w:r>
        <w:t xml:space="preserve">本章补齐模型能力验证、云端调用治理与全链路可观测性，将纸面目标转化为可测量、可验收的工程标准。</w:t>
      </w:r>
    </w:p>
    <w:p w14:paraId="1F6631BB">
      <w:pPr>
        <w:ind w:firstLine="420"/>
        <w:outlineLvl w:val="1"/>
      </w:pPr>
      <w:r>
        <w:rPr>
          <w:b/>
        </w:rPr>
        <w:t xml:space="preserve">1. 模型能力验证与评测计划</w:t>
      </w:r>
    </w:p>
    <w:p w14:paraId="5007B582">
      <w:pPr>
        <w:ind w:firstLine="420"/>
      </w:pPr>
      <w:r>
        <w:t xml:space="preserve">评测集构建：历史流量回放 + 专家标注集，覆盖 BEH 各行为与典型误报场景；评测指标：工具调用准确率、JSON 合规率、判定一致性、精确率/召回率/误报率、端到端延迟；验收目标：本地消化 ≥80% 简单事件、P95 端到端 ≤15 秒、JSON 合规率 ≥95%、工具调用准确率 ≥85%，未达标按第八章升级路径切换模型。评测流程：基线评测 → shadow 对比 → 灰度 → 全量。</w:t>
      </w:r>
    </w:p>
    <w:p w14:paraId="1F6631BB">
      <w:pPr>
        <w:ind w:firstLine="420"/>
        <w:outlineLvl w:val="1"/>
      </w:pPr>
      <w:r>
        <w:rPr>
          <w:b/>
        </w:rPr>
        <w:t xml:space="preserve">2. 数据合规与云端调用治理</w:t>
      </w:r>
    </w:p>
    <w:p w14:paraId="5007B582">
      <w:pPr>
        <w:ind w:firstLine="420"/>
      </w:pPr>
      <w:r>
        <w:t xml:space="preserve">部署环境可联网前提下，内网元数据上云需脱敏与最小化（仅传聚合摘要与必要字段，敏感 payload 脱敏），明确数据出境与合规评估责任；云端 Provider 接入规范：API Key 安全管理、TLS、限流；配额与预算：小时/日 token 上限、并发上限，超预算自动降级为“本地初判 + 待复核队列”；熔断与降级：连续失败自动熔断，降级期间结论标记 uncertain 并排队人工复核。</w:t>
      </w:r>
    </w:p>
    <w:p w14:paraId="1F6631BB">
      <w:pPr>
        <w:ind w:firstLine="420"/>
        <w:outlineLvl w:val="1"/>
      </w:pPr>
      <w:r>
        <w:rPr>
          <w:b/>
        </w:rPr>
        <w:t xml:space="preserve">3. 可观测性与指标体系</w:t>
      </w:r>
    </w:p>
    <w:p w14:paraId="5007B582">
      <w:pPr>
        <w:ind w:firstLine="420"/>
      </w:pPr>
      <w:r>
        <w:t xml:space="preserve">Trace：trace_id 贯穿从事件到结论全链路，LangGraph 节点级 span（cache/aggregate/local/cloud/tool/write/alert）。指标分层：管道（队列深度、消费延迟、批大小、事件吞吐）、分析（各节点延迟 P50/P95/P99、缓存命中率、本地/云端比例、升级率、工具调用成功率、JSON 合规率）、业务（告警量、误报率、处置时效）、成本（本地 token、云端 token 与费用、配额水位）。日志：结构化并关联 trace_id。看板：管理层新增“运维观测”子模块，聚合上述指标，并对积压、失败率、预算超限设置告警阈值。</w:t>
      </w:r>
    </w:p>
    <w:p w14:paraId="09F42116">
      <w:pPr>
        <w:outlineLvl w:val="0"/>
      </w:pPr>
      <w:r>
        <w:rPr>
          <w:b/>
        </w:rPr>
        <w:t xml:space="preserve">十三、事件模型与 Schema 定义</w:t>
      </w:r>
    </w:p>
    <w:p w14:paraId="5007B582">
      <w:pPr>
        <w:ind w:firstLine="420"/>
      </w:pPr>
      <w:r>
        <w:t xml:space="preserve">统一核心数据结构，作为跨章节开发的契约，避免各章描述不一致。</w:t>
      </w:r>
    </w:p>
    <w:p w14:paraId="1F6631BB">
      <w:pPr>
        <w:ind w:firstLine="420"/>
        <w:outlineLvl w:val="1"/>
      </w:pPr>
      <w:r>
        <w:rPr>
          <w:b/>
        </w:rPr>
        <w:t xml:space="preserve">1. 事件信封（触发）</w:t>
      </w:r>
    </w:p>
    <w:p w14:paraId="5007B582">
      <w:pPr>
        <w:ind w:firstLine="420"/>
      </w:pPr>
      <w:r>
        <w:t xml:space="preserve">字段：event_id（幂等去重）、@timestamp、五元组、proto、富化标签（IOC 命中、基础计数）、trace_id；由 Logstash 写入 Redis Streams，原始日志全文不进队列。</w:t>
      </w:r>
    </w:p>
    <w:p w14:paraId="1F6631BB">
      <w:pPr>
        <w:ind w:firstLine="420"/>
        <w:outlineLvl w:val="1"/>
      </w:pPr>
      <w:r>
        <w:rPr>
          <w:b/>
        </w:rPr>
        <w:t xml:space="preserve">2. analysis_unit（规则引擎输出）</w:t>
      </w:r>
    </w:p>
    <w:p w14:paraId="5007B582">
      <w:pPr>
        <w:ind w:firstLine="420"/>
      </w:pPr>
      <w:r>
        <w:t xml:space="preserve">字段：会话键、聚合窗口、三层聚合摘要、命中行为编号与初始风险、预估工具调用次数、升级标志（requires_chain_analysis、behavior_hits）、watermark。</w:t>
      </w:r>
    </w:p>
    <w:p w14:paraId="1F6631BB">
      <w:pPr>
        <w:ind w:firstLine="420"/>
        <w:outlineLvl w:val="1"/>
      </w:pPr>
      <w:r>
        <w:rPr>
          <w:b/>
        </w:rPr>
        <w:t xml:space="preserve">3. 结论（verdict）</w:t>
      </w:r>
    </w:p>
    <w:p w14:paraId="5007B582">
      <w:pPr>
        <w:ind w:firstLine="420"/>
      </w:pPr>
      <w:r>
        <w:t xml:space="preserve">字段：risk_level、verdict、evidence、iocs、suggest_action、model、ver、watermark、trace_id、created_at；写 Redis 缓存并双写 ES 历史索引。</w:t>
      </w:r>
    </w:p>
    <w:p w14:paraId="1F6631BB">
      <w:pPr>
        <w:ind w:firstLine="420"/>
        <w:outlineLvl w:val="1"/>
      </w:pPr>
      <w:r>
        <w:rPr>
          <w:b/>
        </w:rPr>
        <w:t xml:space="preserve">4. 缓存键规范</w:t>
      </w:r>
    </w:p>
    <w:p w14:paraId="5007B582">
      <w:pPr>
        <w:ind w:firstLine="420"/>
      </w:pPr>
      <w:r>
        <w:t xml:space="preserve">sess:{源IP}:{目标IP}:{目标端口}:{协议}（会话结论与水位）、evt:{event_id}（事件去重）、lock:{会话键}（单飞锁）、alert:{指纹}（告警去重）；IPv6 地址规范化或哈希存储。</w:t>
      </w:r>
    </w:p>
    <w:p w14:paraId="1F6631BB">
      <w:pPr>
        <w:ind w:firstLine="420"/>
        <w:outlineLvl w:val="1"/>
      </w:pPr>
      <w:r>
        <w:rPr>
          <w:b/>
        </w:rPr>
        <w:t xml:space="preserve">5. 原子写回与时序</w:t>
      </w:r>
    </w:p>
    <w:p w14:paraId="5007B582">
      <w:pPr>
        <w:ind w:firstLine="420"/>
      </w:pPr>
      <w:r>
        <w:t xml:space="preserve">水位与结论在单个 Redis Lua 脚本内原子更新；XACK 在双写成功后执行；失败/超时不写错误结论；ver 字段保障结论结构向后兼容。</w:t>
      </w:r>
    </w:p>
    <w:p w14:paraId="09F42116">
      <w:pPr>
        <w:outlineLvl w:val="0"/>
      </w:pPr>
      <w:r>
        <w:rPr>
          <w:b/>
        </w:rPr>
        <w:t xml:space="preserve">十四、基线学习与异常检测设计</w:t>
      </w:r>
    </w:p>
    <w:p w14:paraId="5007B582">
      <w:pPr>
        <w:ind w:firstLine="420"/>
      </w:pPr>
      <w:r>
        <w:t xml:space="preserve">基线学习与异常检测用于发现规则引擎无法识别的未知/偏离行为（新攻击模式），与规则引擎的“确定性检测”构成互补。本方案不依赖初始训练数据：不把基线当作训练模型，而是采用“在线统计量 + 置信度加权 + 反馈闭环”的自适应基准，从零开始自动观测数据建立基线。</w:t>
      </w:r>
    </w:p>
    <w:p w14:paraId="1F6631BB">
      <w:pPr>
        <w:ind w:firstLine="420"/>
        <w:outlineLvl w:val="1"/>
      </w:pPr>
      <w:r>
        <w:rPr>
          <w:b/>
        </w:rPr>
        <w:t xml:space="preserve">1. 总体思路：三阶段冷启动</w:t>
      </w:r>
    </w:p>
    <w:p w14:paraId="5007B582">
      <w:pPr>
        <w:ind w:firstLine="420"/>
      </w:pPr>
      <w:r>
        <w:t xml:space="preserve">阶段一（第 0~3 天）学习期（shadow）：只记录统计量、不产生告警，规则引擎继续兜底；阶段二（第 3~7 天）初始基线成形：开始输出偏差分，但阈值放宽（×1.5~2），告警标注“低置信度”；阶段三（第 7 天后）基线收敛：正常在线更新，阈值自适应收敛。核心原则是“边学边用、置信度加权”：基线置信度由样本量决定，低置信度时异常分打折、阈值放宽，规则引擎的确定性检测不受影响。</w:t>
      </w:r>
    </w:p>
    <w:p w14:paraId="1F6631BB">
      <w:pPr>
        <w:ind w:firstLine="420"/>
        <w:outlineLvl w:val="1"/>
      </w:pPr>
      <w:r>
        <w:rPr>
          <w:b/>
        </w:rPr>
        <w:t xml:space="preserve">2. 观测维度（统计量）</w:t>
      </w:r>
    </w:p>
    <w:p w14:paraId="5007B582">
      <w:pPr>
        <w:ind w:firstLine="420"/>
      </w:pPr>
      <w:r>
        <w:t xml:space="preserve">实体粒度：主机级（IP）、主机-服务端口级、主机-对端级（后期扩展）、网段/全局级兜底。时间窗口三级：5 分钟/1 小时/24 小时。统计维度：流量（字节数、包数、连接数、连接时长）、拓扑（唯一目标 IP 数、唯一端口数、新对端比例 novelty）、服务（端口/协议分布）、时间（活跃小时分布、峰谷周期）、应用（DNS 查询频次、唯一域名数、域名熵、HTTP 请求频次）、质量（连接失败率、认证失败率、RST/超时比例）。统计量写入 ES 时间序列索引，短期基线状态存 Redis。</w:t>
      </w:r>
    </w:p>
    <w:p w14:paraId="1F6631BB">
      <w:pPr>
        <w:ind w:firstLine="420"/>
        <w:outlineLvl w:val="1"/>
      </w:pPr>
      <w:r>
        <w:rPr>
          <w:b/>
        </w:rPr>
        <w:t xml:space="preserve">3. 在线算法选型（无监督、无需训练）</w:t>
      </w:r>
    </w:p>
    <w:p w14:paraId="5007B582">
      <w:pPr>
        <w:ind w:firstLine="420"/>
      </w:pPr>
      <w:r>
        <w:t xml:space="preserve">分位数基线（首选）：采用 t-digest 在线分位数草图（P5/P50/P95/P99），支持增量更新与跨 worker 合并；稳健 z 分数：(x − median)/MAD；EWMA/CUSUM 控制图用于缓变漂移与突变点检测；计数维度（失败次数、连接数）采用自适应泊松/负二项分布；分布变化（端口/对端集合）采用熵、基尼或新对端比例。冷启动期不采用聚类/PCA/深度模型（样本不足时易学出噪音），先跑稳“每维度独立分位数 + 多维加权”，积累标注样本后再演进。</w:t>
      </w:r>
    </w:p>
    <w:p w14:paraId="1F6631BB">
      <w:pPr>
        <w:ind w:firstLine="420"/>
        <w:outlineLvl w:val="1"/>
      </w:pPr>
      <w:r>
        <w:rPr>
          <w:b/>
        </w:rPr>
        <w:t xml:space="preserve">4. 抗污染（防止把攻击学进基线）</w:t>
      </w:r>
    </w:p>
    <w:p w14:paraId="5007B582">
      <w:pPr>
        <w:ind w:firstLine="420"/>
      </w:pPr>
      <w:r>
        <w:t xml:space="preserve">使用中位数/MAD/分位数而非均值/方差；截断学习：观测值超过当前基线上限（如 P99 + N×MAD）时不纳入基线更新或降权更新；双基线：短期基线（EWMA，快速适应）+ 长期基线（周/月分位数，稳定），两者差异大时触发变化点告警；学习窗口跳过规则引擎标记为 High 的时间段；每日用最近 7/30 天数据重建长期基线，避免无限累积。</w:t>
      </w:r>
    </w:p>
    <w:p w14:paraId="1F6631BB">
      <w:pPr>
        <w:ind w:firstLine="420"/>
        <w:outlineLvl w:val="1"/>
      </w:pPr>
      <w:r>
        <w:rPr>
          <w:b/>
        </w:rPr>
        <w:t xml:space="preserve">5. 阈值自适应</w:t>
      </w:r>
    </w:p>
    <w:p w14:paraId="5007B582">
      <w:pPr>
        <w:ind w:firstLine="420"/>
      </w:pPr>
      <w:r>
        <w:t xml:space="preserve">告警预算：每个实体每日最多 N 条告警（如 3~5 条），取当天异常分 Top-N，既控制告警量又不漏高异常；动态分位阈值：按全局异常分分布取 P99/P99.5 作为当天阈值并隔日滚动更新。偏差分三档输出：低分仅记录、中分产生事件、高分告警并升级云端复核（接入 LangGraph escalate 逻辑）。</w:t>
      </w:r>
    </w:p>
    <w:p w14:paraId="1F6631BB">
      <w:pPr>
        <w:ind w:firstLine="420"/>
        <w:outlineLvl w:val="1"/>
      </w:pPr>
      <w:r>
        <w:rPr>
          <w:b/>
        </w:rPr>
        <w:t xml:space="preserve">6. 反馈闭环</w:t>
      </w:r>
    </w:p>
    <w:p w14:paraId="5007B582">
      <w:pPr>
        <w:ind w:firstLine="420"/>
      </w:pPr>
      <w:r>
        <w:t xml:space="preserve">分析师标记“误报”→ 对应维度降权、基线修正（误报样本不学入基线）、阈值放宽；标记“确认”→ 该模式沉淀为新的行为模型（BEH-013 起）或 Skill；反馈样本进入评测集，定期评估基线误报率与漏报率，作为基线质量指标。</w:t>
      </w:r>
    </w:p>
    <w:p w14:paraId="1F6631BB">
      <w:pPr>
        <w:ind w:firstLine="420"/>
        <w:outlineLvl w:val="1"/>
      </w:pPr>
      <w:r>
        <w:rPr>
          <w:b/>
        </w:rPr>
        <w:t xml:space="preserve">7. 架构集成</w:t>
      </w:r>
    </w:p>
    <w:p w14:paraId="5007B582">
      <w:pPr>
        <w:ind w:firstLine="420"/>
      </w:pPr>
      <w:r>
        <w:t xml:space="preserve">独立“基线引擎”组件（分析层），输出 anomaly_unit（偏差分 + 维度明细 + 置信度），并入 LangGraph 的 aggregate 节点，与 analysis_unit 合并；仅异常分达到阈值才送模型，普通流量不增加模型负担。存储：统计量 → ES 时间序列；t-digest 草图、EWMA 状态、置信度 → Redis（草图可合并，支持多 worker 水平扩展）。与规则引擎互补：规则引擎做已知攻击确定性检测，基线引擎做未知/偏离检测；历史基线快照用于时间回溯与事后回判。</w:t>
      </w:r>
    </w:p>
    <w:p w14:paraId="1F6631BB">
      <w:pPr>
        <w:ind w:firstLine="420"/>
        <w:outlineLvl w:val="1"/>
      </w:pPr>
      <w:r>
        <w:rPr>
          <w:b/>
        </w:rPr>
        <w:t xml:space="preserve">8. 验收指标与注意事项</w:t>
      </w:r>
    </w:p>
    <w:p w14:paraId="5007B582">
      <w:pPr>
        <w:ind w:firstLine="420"/>
      </w:pPr>
      <w:r>
        <w:t xml:space="preserve">学习期验收：0 条误报告警（仅记录）、规则引擎检测能力不下降；稳定期验收：每实体日告警数分布合理、反馈确认率达标、新发现率（规则引擎漏掉的异常）可度量。注意事项：周期性业务（如备份跑批）用同小时/同日分位数对比而非全局分位数；新资产上线采用默认档案 + 7 天快速学习并保持低置信度；节假日/维护窗口纳入日历上下文（工作日/周末/节假日分离）；多 worker 场景的分位数草图必须可合并（t-digest merge），Redis 只存草图而非原始样本。</w:t>
      </w:r>
    </w:p>
    <w:p w14:paraId="09F42116">
      <w:pPr>
        <w:outlineLvl w:val="0"/>
      </w:pPr>
      <w:r>
        <w:rPr>
          <w:b/>
        </w:rPr>
        <w:t xml:space="preserve">十五、LLM Provider 抽象与模型网关</w:t>
      </w:r>
    </w:p>
    <w:p w14:paraId="5007B582">
      <w:pPr>
        <w:ind w:firstLine="420"/>
      </w:pPr>
      <w:r>
        <w:t xml:space="preserve">智能体开发设计聚焦于业务与大模型的调用使用，大模型运行环境本身不在设计范围内——使用方只需提供 API 与 URL，智能体不感知本地还是云端。本本章明确 LLM Provider 抽象与模型网关的基础设施层：本地边缘模型与云端高阶模型均通过 OpenAI 兼容 API 暴露，差异仅在配置（base_url、api_key、model），智能体代码与 LangGraph 图结构保持运行环境无关。</w:t>
      </w:r>
    </w:p>
    <w:p w14:paraId="1F6631BB">
      <w:pPr>
        <w:ind w:firstLine="420"/>
        <w:outlineLvl w:val="1"/>
      </w:pPr>
      <w:r>
        <w:rPr>
          <w:b/>
        </w:rPr>
        <w:t xml:space="preserve">1. 设计原则：API 化与运行环境无关</w:t>
      </w:r>
    </w:p>
    <w:p w14:paraId="5007B582">
      <w:pPr>
        <w:ind w:firstLine="420"/>
      </w:pPr>
      <w:r>
        <w:t xml:space="preserve">智能体对底层 LLM 运行环境的三个解耦：① 不依赖特定模型权重或服务部署方式；② 不绑定特定硬件（CPU/GPU/加速卡）；③ 不假设网络可达性——同一套 LangGraph 代码可在纯本地、云端 API、混合部署三种模式下运行，仅配置项不同。本地边缘模型与云端高阶模型对智能体而言是同构的两个 Provider，路由逻辑由模型网关集中处理。</w:t>
      </w:r>
    </w:p>
    <w:p w14:paraId="1F6631BB">
      <w:pPr>
        <w:ind w:firstLine="420"/>
        <w:outlineLvl w:val="1"/>
      </w:pPr>
      <w:r>
        <w:rPr>
          <w:b/>
        </w:rPr>
        <w:t xml:space="preserve">2. LLM Provider 抽象接口</w:t>
      </w:r>
    </w:p>
    <w:p w14:paraId="5007B582">
      <w:pPr>
        <w:ind w:firstLine="420"/>
      </w:pPr>
      <w:r>
        <w:t xml:space="preserve">所有 Provider 实现统一接口（基于 OpenAI 兼容协议）：generate(messages, tools, response_schema) → response；stream(messages, tools) → token 块；estimate_tokens(messages) → int；get_metadata() → {name, max_context, capabilities}。capabilities 声明是否支持 tool_calling、json_schema、streaming、function_call 等能力，LangGraph 节点根据能力选择调用路径。Provider 运行时暴露健康状态与监控指标（时延、token 消耗、错误率），供第十二章可观测性体系采集。</w:t>
      </w:r>
    </w:p>
    <w:p w14:paraId="1F6631BB">
      <w:pPr>
        <w:ind w:firstLine="420"/>
        <w:outlineLvl w:val="1"/>
      </w:pPr>
      <w:r>
        <w:rPr>
          <w:b/>
        </w:rPr>
        <w:t xml:space="preserve">3. 模型网关职责</w:t>
      </w:r>
    </w:p>
    <w:p w14:paraId="5007B582">
      <w:pPr>
        <w:ind w:firstLine="420"/>
      </w:pPr>
      <w:r>
        <w:t xml:space="preserve">路由：默认指向本地边缘 Provider，命中第八章 needs_cloud 条件时切云端 Provider；可配置降级模式（云端故障自动降级回本地+uncertain 队列）。灰度：按 trace_id 或会话哈希分桶路由新老 Provider，支持平滑切换。配额与熔断：小时/日 token 上限、并发上限、连续失败熔断与自动恢复。监控：调用次数、token 成本、时延 P50/P95/P99、错误码分布、升级率。缓存：提示词模板缓存、响应缓存（等价请求去重）。</w:t>
      </w:r>
    </w:p>
    <w:p w14:paraId="1F6631BB">
      <w:pPr>
        <w:ind w:firstLine="420"/>
        <w:outlineLvl w:val="1"/>
      </w:pPr>
      <w:r>
        <w:rPr>
          <w:b/>
        </w:rPr>
        <w:t xml:space="preserve">4. Provider 注册表与配置</w:t>
      </w:r>
    </w:p>
    <w:p w14:paraId="5007B582">
      <w:pPr>
        <w:ind w:firstLine="420"/>
      </w:pPr>
      <w:r>
        <w:t xml:space="preserve">配置文件声明 Provider 列表，每项含 name、base_url、api_key（或 secret_ref）、model、max_context、capabilities、weight（权重用于灰度分流）。当前规划：provider.edge = 本地边缘模型（xLAM-2-1b-fc-r，OpenAI 兼容 API 暴露）；provider.cloud = 云端高阶模型（候选：通义/DeepSeek/GLM，待第十二章评测确定）；可选 provider.local_large = 离线/护网场景的本地大模型（如 7B/14B 量化版，仅在物理隔离环境启用）。启动时加载，运行期支持热更新与灰度切换。</w:t>
      </w:r>
    </w:p>
    <w:p w14:paraId="1F6631BB">
      <w:pPr>
        <w:ind w:firstLine="420"/>
        <w:outlineLvl w:val="1"/>
      </w:pPr>
      <w:r>
        <w:rPr>
          <w:b/>
        </w:rPr>
        <w:t xml:space="preserve">5. LangGraph 节点与 Provider 解耦</w:t>
      </w:r>
    </w:p>
    <w:p w14:paraId="5007B582">
      <w:pPr>
        <w:ind w:firstLine="420"/>
      </w:pPr>
      <w:r>
        <w:t xml:space="preserve">local_model 与 cloud_model 节点均实现统一的 LLMNode 抽象，节点的 provider 参数在图定义时由配置注入（不硬编码 Provider 实例），运行时根据 AgentState 中的 escalation_flag 与 needs_cloud 判定选择本地还是云端。Checkpoint 持久化 AgentState，保证本地→云端接续的可靠性：即使云端调用超时或失败，回退为本地初判 + uncertain 标记入队，由 worker 依据 Checkpoint 状态重试或人工复核，避免任务状态丢失。该设计与第九章 4. 节“本地/云端任务接续”形成完整闭环：模型网关负责 Provider 路由与可靠性，LangGraph 负责任务状态接续与状态图语义。</w:t>
      </w:r>
    </w:p>
    <w:p w14:paraId="1F6631BB">
      <w:pPr>
        <w:ind w:firstLine="420"/>
        <w:outlineLvl w:val="1"/>
      </w:pPr>
      <w:r>
        <w:rPr>
          <w:b/>
        </w:rPr>
        <w:t xml:space="preserve">6. 部署灵活性</w:t>
      </w:r>
    </w:p>
    <w:p w14:paraId="5007B582">
      <w:pPr>
        <w:ind w:firstLine="420"/>
      </w:pPr>
      <w:r>
        <w:t xml:space="preserve">联网环境（主流部署）：本地边缘 Provider + 云端高阶 Provider 默认组合；离线/护网/物理隔离环境：仅启用本地边缘 + 本地大模型（7B/14B 级别，需 GPU 服务器或 CPU 量化版），云端端点关闭或降级为内网大模型网关。同一份 LangGraph 代码、同一份提示词、同一份 MCP 工具集，部署差异仅在 Provider 配置文件，不需重新开发或修改智能体业务逻辑。这一特性使方案能覆盖国内安服/护网常见的离线隔离场景，同时保持联网环境下的成本与能力优势。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思源黑体">
    <w:altName w:val="黑体"/>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03930"/>
    <w:multiLevelType w:val="singleLevel"/>
    <w:tmpl w:val="A9F03930"/>
    <w:lvl w:ilvl="0" w:tentative="0">
      <w:start w:val="1"/>
      <w:numFmt w:val="chineseCounting"/>
      <w:suff w:val="nothing"/>
      <w:lvlText w:val="（%1）"/>
      <w:lvlJc w:val="left"/>
      <w:pPr>
        <w:ind w:left="0" w:firstLine="420"/>
      </w:pPr>
      <w:rPr>
        <w:rFonts w:hint="eastAsia"/>
      </w:rPr>
    </w:lvl>
  </w:abstractNum>
  <w:abstractNum w:abstractNumId="1">
    <w:nsid w:val="472E695A"/>
    <w:multiLevelType w:val="singleLevel"/>
    <w:tmpl w:val="472E695A"/>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F30A6"/>
    <w:rsid w:val="13A0020C"/>
    <w:rsid w:val="1C8A1C99"/>
    <w:rsid w:val="35A26038"/>
    <w:rsid w:val="36E56B24"/>
    <w:rsid w:val="38E30E42"/>
    <w:rsid w:val="3ED2798E"/>
    <w:rsid w:val="42722B77"/>
    <w:rsid w:val="47176997"/>
    <w:rsid w:val="52B25D5E"/>
    <w:rsid w:val="57895BD4"/>
    <w:rsid w:val="5DC34C1A"/>
    <w:rsid w:val="71F17679"/>
    <w:rsid w:val="73F13E90"/>
    <w:rsid w:val="78E35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1375</Words>
  <Characters>1645</Characters>
  <Lines>0</Lines>
  <Paragraphs>0</Paragraphs>
  <TotalTime>29</TotalTime>
  <ScaleCrop>false</ScaleCrop>
  <LinksUpToDate>false</LinksUpToDate>
  <CharactersWithSpaces>1655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2026-08-24T01:19:00Z</dcterms:created>
  <dc:creator>Yogkx</dc:creator>
  <cp:lastModifiedBy>yet～～</cp:lastModifiedBy>
  <dcterms:modified xsi:type="dcterms:W3CDTF">2026-08-26T10:00:36Z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eyJoZGlkIjoiZWQ2NmI1ZDFlMTM3ZDVkOTljNWY5ODc0MDIyYzQxZGYiLCJ1c2VySWQiOiIyMDg0ODA1OTYifQ==</vt:lpwstr>
  </property>
  <property fmtid="{D5CDD505-2E9C-101B-9397-08002B2CF9AE}" pid="4" name="ICV">
    <vt:lpwstr>A610FDFE919B4CFD90D3524F2E125DF4_12</vt:lpwstr>
  </property>
  <property fmtid="{D5CDD505-2E9C-101B-9397-08002B2CF9AE}" pid="5" name="AIGC">
    <vt:lpwstr>{"Label":"1","ContentProducer":"001191440300708461136T1WFUO","ProduceID":"bf593e3427fc0c348575deb9941774d2-6R0I","ReservedCode1":"{\"Type\":\" TC260PG\",\"Version\":1,\"Bindings\":[{\"Type\":\"soft\",\"AlgID\":\"sm3\",\"Value\":\"7d22e8bf456b480a6e81b7bce24c3add291354277d76de14e8331f0c23e9268c\"},{\"Type\":\"hash\",\"AlgID\":\"sm3\",\"Value\":\"5aef03a5d58a63981209e4386477a52fd59d6c6933a2b2e34a05f841e8fcb922\"}],\"PubSD\":[{\"Type\":\"DS\",\"AlgID\":\"sm2\",\"TBSData\":{\"Type\":\"Binding\",\"BType\":\"hash\"},\"Signature\":\"3045022100c4676b3e33d4e4b8bbaa19d0e0f837ed5fcd9a454f20e98070a1a7faf76831780220416b7772cf281c1d30c4e3ee262ba7de5640a572caa4e316a293d5c4a163c170\"},{\"Type\":\"PubKey\",\"AlgID\":\"sm2\",\"KeyValue\":\"0407f79b28a17a752b3aae4305c98b48978213832729a2571850b1310b2bc9fe8fee039ccf25ebfeac27502414d9fcef792d777183c98893d226171c2f7a3289a2\"}],\"Extension\":{\"Timestamp\":1787561022,\"KeyVersion\":\"v1-TxLeOmf7bqU223\"}}","ContentPropagator":"001191440300708461136T1WFUO","PropagateID":"bf593e3427fc0c348575deb9941774d2-6R0I","ReservedCode2":"{\"Type\":\" TC260PG\",\"Version\":1,\"Bindings\":[{\"Type\":\"soft\",\"AlgID\":\"sm3\",\"Value\":\"7d22e8bf456b480a6e81b7bce24c3add291354277d76de14e8331f0c23e9268c\"},{\"Type\":\"hash\",\"AlgID\":\"sm3\",\"Value\":\"5aef03a5d58a63981209e4386477a52fd59d6c6933a2b2e34a05f841e8fcb922\"}],\"PubSD\":[{\"Type\":\"DS\",\"AlgID\":\"sm2\",\"TBSData\":{\"Type\":\"Binding\",\"BType\":\"hash\"},\"Signature\":\"3045022021e2735a8c71ff9aa9bfa3d50fb6e685106aec1e1781eb0e13dd62e1614c4489022100b7488ad73e68277944aac8bc36565ead5023602181b20d84276c93fb1baf756c\"},{\"Type\":\"PubKey\",\"AlgID\":\"sm2\",\"KeyValue\":\"0407f79b28a17a752b3aae4305c98b48978213832729a2571850b1310b2bc9fe8fee039ccf25ebfeac27502414d9fcef792d777183c98893d226171c2f7a3289a2\"}],\"Extension\":{\"Timestamp\":1787561022,\"KeyVersion\":\"v1-TxLeOmf7bqU223\"}}"}</vt:lpwstr>
  </property>
</Properties>
</file>