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jc w:val="center"/>
        <w:rPr>
          <w:rFonts w:ascii="Arial" w:cs="Arial" w:eastAsia="Arial" w:hAnsi="Arial"/>
          <w:b w:val="1"/>
          <w:b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jc w:val="center"/>
        <w:rPr>
          <w:rFonts w:ascii="Arial" w:cs="Arial" w:eastAsia="Arial" w:hAnsi="Arial"/>
          <w:b w:val="1"/>
          <w:b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jc w:val="center"/>
        <w:rPr>
          <w:rFonts w:ascii="Arial" w:cs="Arial" w:eastAsia="Arial" w:hAnsi="Arial"/>
          <w:b w:val="1"/>
          <w:b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jc w:val="center"/>
        <w:rPr>
          <w:rFonts w:ascii="Arial" w:cs="Arial" w:eastAsia="Arial" w:hAnsi="Arial"/>
          <w:b w:val="1"/>
          <w:bCs w:val="1"/>
          <w:color w:val="365f9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36"/>
          <w:szCs w:val="36"/>
          <w:rtl w:val="0"/>
        </w:rPr>
        <w:t xml:space="preserve">Caso Portafolio de Título</w:t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jc w:val="center"/>
        <w:rPr>
          <w:rFonts w:ascii="Arial" w:cs="Arial" w:eastAsia="Arial" w:hAnsi="Arial"/>
          <w:b w:val="1"/>
          <w:bCs w:val="1"/>
          <w:color w:val="365f9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36"/>
          <w:szCs w:val="36"/>
          <w:rtl w:val="0"/>
        </w:rPr>
        <w:t xml:space="preserve">“Literatus Novelist”</w:t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Integrantes:</w:t>
      </w:r>
      <w:r w:rsidDel="00000000" w:rsidR="00000000" w:rsidRPr="00000000">
        <w:rPr>
          <w:rFonts w:ascii="Arial" w:cs="Arial" w:eastAsia="Arial" w:hAnsi="Arial"/>
          <w:rtl w:val="0"/>
        </w:rPr>
        <w:t xml:space="preserve"> Luis Faundes, Eithan Santibañez,  Matias Morales, Christopher Guerrero</w:t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Caso “Literatus Novelist”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000000" w:space="1" w:sz="4" w:val="single"/>
        </w:pBd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Contexto</w:t>
      </w:r>
    </w:p>
    <w:p w:rsidR="00000000" w:rsidDel="00000000" w:rsidP="00000000" w:rsidRDefault="00000000" w:rsidRPr="00000000" w14:paraId="00000019">
      <w:pPr>
        <w:pBdr>
          <w:bottom w:color="000000" w:space="1" w:sz="4" w:val="single"/>
        </w:pBd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Literatus Novelist es una plataforma web de lectura interactiva orientada a acercar obras literarias, especialmente clásicos de dominio público, a lectores que buscan una experiencia digital más guiada. El proyecto integra catálogo, biblioteca personal, lector por capítulos, progreso de lectura, personajes conversacionales y herramientas de administración editorial.</w:t>
      </w:r>
    </w:p>
    <w:p w:rsidR="00000000" w:rsidDel="00000000" w:rsidP="00000000" w:rsidRDefault="00000000" w:rsidRPr="00000000" w14:paraId="0000001A">
      <w:pPr>
        <w:pBdr>
          <w:bottom w:color="000000" w:space="1" w:sz="4" w:val="single"/>
        </w:pBdr>
        <w:jc w:val="both"/>
        <w:rPr>
          <w:rFonts w:ascii="Arial" w:cs="Arial" w:eastAsia="Arial" w:hAnsi="Arial"/>
          <w:i w:val="1"/>
          <w:iCs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000000" w:space="1" w:sz="4" w:val="single"/>
        </w:pBd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Modelo de negocio</w:t>
      </w:r>
    </w:p>
    <w:p w:rsidR="00000000" w:rsidDel="00000000" w:rsidP="00000000" w:rsidRDefault="00000000" w:rsidRPr="00000000" w14:paraId="0000001C">
      <w:pPr>
        <w:pBdr>
          <w:bottom w:color="000000" w:space="1" w:sz="4" w:val="single"/>
        </w:pBd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modelo se orienta a una biblioteca digital B2C. El usuario puede descubrir obras, incorporarlas a su biblioteca y utilizar la moneda virtual Tinta para adquirir contenidos o servicios asociados. La versión actual contempla pagos mediante Transbank Webpay; la publicación y venta por escritores externos se considera una evolución sujeta a validación de derechos, auditoría editorial y definición comercial.</w:t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Problema</w:t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lectura de textos extensos o clásicos puede resultar poco atractiva y difícil de abordar para usuarios acostumbrados a entornos digitales dinámicos. Se requiere una experiencia que facilite el descubrimiento de obras, acompañe la lectura, conserve el avance y entregue apoyos que favorezcan la comprensión sin reemplazar el valor del texto original.</w:t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000000" w:space="1" w:sz="4" w:val="single"/>
        </w:pBd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Solución</w:t>
      </w:r>
    </w:p>
    <w:p w:rsidR="00000000" w:rsidDel="00000000" w:rsidP="00000000" w:rsidRDefault="00000000" w:rsidRPr="00000000" w14:paraId="00000022">
      <w:pPr>
        <w:pBdr>
          <w:bottom w:color="000000" w:space="1" w:sz="4" w:val="single"/>
        </w:pBd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solución propuesta es una aplicación de lectura interactiva con catálogo administrable, biblioteca por usuario, lector de capítulos, marcadores y notas, progreso persistente, conversación con personajes o autores mediante IA y narración de voz. El sistema incorpora una economía interna basada en Tinta y un panel administrativo para operar el contenido.</w:t>
      </w:r>
    </w:p>
    <w:p w:rsidR="00000000" w:rsidDel="00000000" w:rsidP="00000000" w:rsidRDefault="00000000" w:rsidRPr="00000000" w14:paraId="00000023">
      <w:pPr>
        <w:pBdr>
          <w:bottom w:color="000000" w:space="1" w:sz="4" w:val="single"/>
        </w:pBdr>
        <w:jc w:val="both"/>
        <w:rPr>
          <w:rFonts w:ascii="Arial" w:cs="Arial" w:eastAsia="Arial" w:hAnsi="Arial"/>
          <w:i w:val="1"/>
          <w:iCs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000000" w:space="1" w:sz="4" w:val="single"/>
        </w:pBdr>
        <w:jc w:val="both"/>
        <w:rPr>
          <w:rFonts w:ascii="Arial" w:cs="Arial" w:eastAsia="Arial" w:hAnsi="Arial"/>
          <w:i w:val="1"/>
          <w:iCs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000000" w:space="1" w:sz="4" w:val="single"/>
        </w:pBd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000000" w:space="1" w:sz="4" w:val="single"/>
        </w:pBd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Fonts w:ascii="Calibri" w:hAnsi="Calibri"/>
          <w:b/>
          <w:color w:val="000000"/>
          <w:sz w:val="20"/>
        </w:rPr>
        <w:t>Funcionalidades del producto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hAnsi="Calibri"/>
          <w:b w:val="0"/>
          <w:color w:val="000000"/>
          <w:sz w:val="18"/>
        </w:rPr>
        <w:t>El alcance funcional actual se organiza en los siguientes requisitos: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hAnsi="Calibri"/>
          <w:b w:val="0"/>
          <w:color w:val="000000"/>
          <w:sz w:val="17"/>
        </w:rPr>
        <w:t>RF01. Registro e inicio de sesión de usuarios.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hAnsi="Calibri"/>
          <w:b w:val="0"/>
          <w:color w:val="000000"/>
          <w:sz w:val="17"/>
        </w:rPr>
        <w:t>RF02. Exploración, búsqueda y filtrado de obras, autores y géneros.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hAnsi="Calibri"/>
          <w:b w:val="0"/>
          <w:color w:val="000000"/>
          <w:sz w:val="17"/>
        </w:rPr>
        <w:t>RF03. Consulta del detalle de un libro, autores, edición, precio y disponibilidad.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hAnsi="Calibri"/>
          <w:b w:val="0"/>
          <w:color w:val="000000"/>
          <w:sz w:val="17"/>
        </w:rPr>
        <w:t>RF04. Adquisición de obras gratuitas o compra mediante saldo de Tinta.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hAnsi="Calibri"/>
          <w:b w:val="0"/>
          <w:color w:val="000000"/>
          <w:sz w:val="17"/>
        </w:rPr>
        <w:t>RF05. Recarga de saldo Tinta mediante Transbank Webpay.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hAnsi="Calibri"/>
          <w:b w:val="0"/>
          <w:color w:val="000000"/>
          <w:sz w:val="17"/>
        </w:rPr>
        <w:t>RF06. Acceso a biblioteca personal y apertura de ediciones adquiridas.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hAnsi="Calibri"/>
          <w:b w:val="0"/>
          <w:color w:val="000000"/>
          <w:sz w:val="17"/>
        </w:rPr>
        <w:t>RF07. Lectura por capítulos con almacenamiento del progreso.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hAnsi="Calibri"/>
          <w:b w:val="0"/>
          <w:color w:val="000000"/>
          <w:sz w:val="17"/>
        </w:rPr>
        <w:t>RF08. Creación de marcadores, resaltados y notas de lectura.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hAnsi="Calibri"/>
          <w:b w:val="0"/>
          <w:color w:val="000000"/>
          <w:sz w:val="17"/>
        </w:rPr>
        <w:t>RF09. Conversación con personajes o autores mediante inteligencia artificial.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hAnsi="Calibri"/>
          <w:b w:val="0"/>
          <w:color w:val="000000"/>
          <w:sz w:val="17"/>
        </w:rPr>
        <w:t>RF10. Narración de lectura mediante TTS.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hAnsi="Calibri"/>
          <w:b w:val="0"/>
          <w:color w:val="000000"/>
          <w:sz w:val="17"/>
        </w:rPr>
        <w:t>RF11. Gestión de perfil y preferencias de visualización.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hAnsi="Calibri"/>
          <w:b w:val="0"/>
          <w:color w:val="000000"/>
          <w:sz w:val="17"/>
        </w:rPr>
        <w:t>RF12. Administración de libros, ediciones y capítulos.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hAnsi="Calibri"/>
          <w:b w:val="0"/>
          <w:color w:val="000000"/>
          <w:sz w:val="17"/>
        </w:rPr>
        <w:t>RF13. Administración de autores, géneros, categorías y avatares.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hAnsi="Calibri"/>
          <w:b w:val="0"/>
          <w:color w:val="000000"/>
          <w:sz w:val="17"/>
        </w:rPr>
        <w:t>RF14. Visualización de métricas operativas para administración.</w:t>
      </w:r>
    </w:p>
    <w:p w:rsidR="00000000" w:rsidDel="00000000" w:rsidP="00000000" w:rsidRDefault="00000000" w:rsidRPr="00000000" w14:paraId="00000036">
      <w:pPr>
        <w:pBdr>
          <w:bottom w:color="000000" w:space="1" w:sz="4" w:val="single"/>
        </w:pBd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Fonts w:ascii="Calibri" w:hAnsi="Calibri"/>
          <w:b w:val="0"/>
          <w:color w:val="000000"/>
          <w:sz w:val="17"/>
        </w:rPr>
        <w:t>Evolución del producto: se evaluarán apoyos de accesibilidad y comprensión lectora, diccionario, resúmenes, control parental, publicación de nuevos escritores, medios de pago adicionales, ilustraciones y un proceso de auditoría editorial previa.</w:t>
      </w:r>
    </w:p>
    <w:p w:rsidR="00000000" w:rsidDel="00000000" w:rsidP="00000000" w:rsidRDefault="00000000" w:rsidRPr="00000000" w14:paraId="00000037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Fonts w:ascii="Calibri" w:hAnsi="Calibri"/>
          <w:b/>
          <w:color w:val="000000"/>
          <w:sz w:val="20"/>
        </w:rPr>
        <w:t>Especificación de casos de uso y trazabilidad con requisitos funcionales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</w:rPr>
      </w:pPr>
      <w:r>
        <w:rPr>
          <w:rFonts w:ascii="Calibri" w:hAnsi="Calibri"/>
          <w:b w:val="0"/>
          <w:color w:val="000000"/>
          <w:sz w:val="17"/>
        </w:rPr>
        <w:t>Los casos CU1 a CU14 corresponden al alcance funcional actual. Cada caso se vincula directamente con un requisito funcional (RF).</w:t>
      </w:r>
    </w:p>
    <w:tbl>
      <w:tblPr>
        <w:tblStyle w:val="Table1"/>
        <w:tblW w:w="10740.0" w:type="dxa"/>
        <w:jc w:val="left"/>
        <w:tblInd w:w="-5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35"/>
        <w:gridCol w:w="4275"/>
        <w:gridCol w:w="4830"/>
        <w:tblGridChange w:id="0">
          <w:tblGrid>
            <w:gridCol w:w="1635"/>
            <w:gridCol w:w="4275"/>
            <w:gridCol w:w="483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Arial" w:eastAsia="Arial" w:hAnsi="Calibri"/>
                <w:b/>
                <w:color w:val="000000"/>
                <w:sz w:val="16"/>
                <w:szCs w:val="20"/>
                <w:rtl w:val="0"/>
              </w:rPr>
              <w:t xml:space="preserve">ID Caso de Uso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Arial" w:eastAsia="Arial" w:hAnsi="Calibri"/>
                <w:b/>
                <w:color w:val="000000"/>
                <w:sz w:val="16"/>
                <w:szCs w:val="24"/>
                <w:rtl w:val="0"/>
              </w:rPr>
              <w:t xml:space="preserve">Descripción y trazabilidad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Arial" w:eastAsia="Arial" w:hAnsi="Calibri"/>
                <w:b/>
                <w:color w:val="000000"/>
                <w:sz w:val="16"/>
                <w:szCs w:val="24"/>
                <w:rtl w:val="0"/>
              </w:rPr>
              <w:t xml:space="preserve">Actores involucrados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c6d9f1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CU1</w:t>
              <w:br/>
              <w:t>RF01</w:t>
            </w:r>
          </w:p>
        </w:tc>
        <w:tc>
          <w:tcPr>
            <w:shd w:fill="c6d9f1" w:val="clear"/>
          </w:tcPr>
          <w:p>
            <w:r>
              <w:rPr>
                <w:rFonts w:ascii="Calibri" w:hAnsi="Calibri"/>
                <w:sz w:val="13"/>
              </w:rPr>
              <w:t>Registrarse e iniciar sesión para acceder a funciones privadas. Trazabilidad: autenticación y perfiles. Requisito relacionado: RF01.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Arial" w:eastAsia="Arial" w:hAnsi="Calibri"/>
                <w:sz w:val="13"/>
                <w:rtl w:val="0"/>
              </w:rPr>
              <w:t xml:space="preserve">Visitante / Lector</w:t>
            </w:r>
            <w:r w:rsidDel="00000000" w:rsidR="00000000" w:rsidRPr="00000000">
              <w:rPr>
                <w:rFonts w:ascii="Calibri" w:hAnsi="Calibri"/>
                <w:sz w:val="13"/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c6d9f1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CU2</w:t>
              <w:br/>
              <w:t>RF02</w:t>
            </w:r>
          </w:p>
        </w:tc>
        <w:tc>
          <w:tcPr>
            <w:shd w:fill="c6d9f1" w:val="clear"/>
          </w:tcPr>
          <w:p>
            <w:r>
              <w:rPr>
                <w:rFonts w:ascii="Calibri" w:hAnsi="Calibri"/>
                <w:sz w:val="13"/>
              </w:rPr>
              <w:t>Explorar, filtrar y buscar obras, autores y géneros. Trazabilidad: catálogo editorial. Requisito relacionado: RF02.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Arial" w:eastAsia="Arial" w:hAnsi="Calibri"/>
                <w:sz w:val="13"/>
                <w:rtl w:val="0"/>
              </w:rPr>
              <w:t xml:space="preserve">Visitante / Lector</w:t>
            </w:r>
            <w:r w:rsidDel="00000000" w:rsidR="00000000" w:rsidRPr="00000000">
              <w:rPr>
                <w:rFonts w:ascii="Calibri" w:hAnsi="Calibri"/>
                <w:sz w:val="13"/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c6d9f1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CU3</w:t>
              <w:br/>
              <w:t>RF03</w:t>
            </w:r>
          </w:p>
        </w:tc>
        <w:tc>
          <w:tcPr>
            <w:shd w:fill="c6d9f1" w:val="clear"/>
          </w:tcPr>
          <w:p>
            <w:r>
              <w:rPr>
                <w:rFonts w:ascii="Calibri" w:hAnsi="Calibri"/>
                <w:sz w:val="13"/>
              </w:rPr>
              <w:t>Consultar el detalle de un libro, sus autores, edición, precio y disponibilidad. Trazabilidad: catálogo editorial. Requisito relacionado: RF03.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Arial" w:eastAsia="Arial" w:hAnsi="Calibri"/>
                <w:sz w:val="13"/>
                <w:rtl w:val="0"/>
              </w:rPr>
              <w:t xml:space="preserve">Visitante / Lector</w:t>
            </w:r>
            <w:r w:rsidDel="00000000" w:rsidR="00000000" w:rsidRPr="00000000">
              <w:rPr>
                <w:rFonts w:ascii="Calibri" w:hAnsi="Calibri"/>
                <w:sz w:val="13"/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c6d9f1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CU4</w:t>
              <w:br/>
              <w:t>RF04</w:t>
            </w:r>
          </w:p>
        </w:tc>
        <w:tc>
          <w:tcPr>
            <w:shd w:fill="c6d9f1" w:val="clear"/>
          </w:tcPr>
          <w:p>
            <w:r>
              <w:rPr>
                <w:rFonts w:ascii="Calibri" w:hAnsi="Calibri"/>
                <w:sz w:val="13"/>
              </w:rPr>
              <w:t>Adquirir una obra gratuita o comprarla con saldo de Tinta. Trazabilidad: catálogo, inventario y economía virtual. Requisito relacionado: RF04.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Calibri" w:cs="Arial" w:eastAsia="Arial" w:hAnsi="Calibri"/>
                <w:sz w:val="13"/>
                <w:szCs w:val="24"/>
                <w:rtl w:val="0"/>
              </w:rPr>
              <w:t xml:space="preserve">Lector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d6e3bc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CU5</w:t>
              <w:br/>
              <w:t>RF05</w:t>
            </w:r>
          </w:p>
        </w:tc>
        <w:tc>
          <w:tcPr>
            <w:shd w:fill="d6e3bc" w:val="clear"/>
          </w:tcPr>
          <w:p>
            <w:r>
              <w:rPr>
                <w:rFonts w:ascii="Calibri" w:hAnsi="Calibri"/>
                <w:sz w:val="13"/>
              </w:rPr>
              <w:t>Recargar saldo de Tinta mediante una transacción Webpay. Trazabilidad: finanzas y pagos. Requisito relacionado: RF05.</w:t>
            </w:r>
          </w:p>
        </w:tc>
        <w:tc>
          <w:tcPr>
            <w:shd w:fill="d6e3bc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Calibri" w:cs="Arial" w:eastAsia="Arial" w:hAnsi="Calibri"/>
                <w:sz w:val="13"/>
                <w:rtl w:val="0"/>
              </w:rPr>
              <w:t xml:space="preserve">Lector</w:t>
            </w:r>
            <w:r w:rsidDel="00000000" w:rsidR="00000000" w:rsidRPr="00000000">
              <w:rPr>
                <w:rFonts w:ascii="Calibri" w:hAnsi="Calibri"/>
                <w:sz w:val="13"/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d6e3bc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CU6</w:t>
              <w:br/>
              <w:t>RF06</w:t>
            </w:r>
          </w:p>
        </w:tc>
        <w:tc>
          <w:tcPr>
            <w:shd w:fill="d6e3bc" w:val="clear"/>
          </w:tcPr>
          <w:p>
            <w:r>
              <w:rPr>
                <w:rFonts w:ascii="Calibri" w:hAnsi="Calibri"/>
                <w:sz w:val="13"/>
              </w:rPr>
              <w:t>Consultar la biblioteca personal y abrir una edición adquirida. Trazabilidad: biblioteca e inventario. Requisito relacionado: RF06.</w:t>
            </w:r>
          </w:p>
        </w:tc>
        <w:tc>
          <w:tcPr>
            <w:shd w:fill="d6e3bc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Arial" w:eastAsia="Arial" w:hAnsi="Calibri"/>
                <w:sz w:val="13"/>
                <w:rtl w:val="0"/>
              </w:rPr>
              <w:t xml:space="preserve">Lector</w:t>
            </w:r>
            <w:r w:rsidDel="00000000" w:rsidR="00000000" w:rsidRPr="00000000">
              <w:rPr>
                <w:rFonts w:ascii="Calibri" w:hAnsi="Calibri"/>
                <w:sz w:val="13"/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d6e3bc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CU7</w:t>
              <w:br/>
              <w:t>RF07</w:t>
            </w:r>
          </w:p>
        </w:tc>
        <w:tc>
          <w:tcPr>
            <w:shd w:fill="d6e3bc" w:val="clear"/>
          </w:tcPr>
          <w:p>
            <w:r>
              <w:rPr>
                <w:rFonts w:ascii="Calibri" w:hAnsi="Calibri"/>
                <w:sz w:val="13"/>
              </w:rPr>
              <w:t>Leer capítulos y guardar el progreso de lectura. Trazabilidad: lector y progreso. Requisito relacionado: RF07.</w:t>
            </w:r>
          </w:p>
        </w:tc>
        <w:tc>
          <w:tcPr>
            <w:shd w:fill="d6e3bc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Calibri" w:cs="Arial" w:eastAsia="Arial" w:hAnsi="Calibri"/>
                <w:sz w:val="13"/>
                <w:rtl w:val="0"/>
              </w:rPr>
              <w:t xml:space="preserve">Lector</w:t>
            </w:r>
            <w:r w:rsidDel="00000000" w:rsidR="00000000" w:rsidRPr="00000000">
              <w:rPr>
                <w:rFonts w:ascii="Calibri" w:hAnsi="Calibri"/>
                <w:sz w:val="13"/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6e3bc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CU8</w:t>
              <w:br/>
              <w:t>RF08</w:t>
            </w:r>
          </w:p>
        </w:tc>
        <w:tc>
          <w:tcPr>
            <w:shd w:fill="d6e3bc" w:val="clear"/>
          </w:tcPr>
          <w:p>
            <w:r>
              <w:rPr>
                <w:rFonts w:ascii="Calibri" w:hAnsi="Calibri"/>
                <w:sz w:val="13"/>
              </w:rPr>
              <w:t>Crear marcadores, resaltados y notas asociadas a una lectura. Trazabilidad: bookmarks/anotaciones. Requisito relacionado: RF08.</w:t>
            </w:r>
          </w:p>
        </w:tc>
        <w:tc>
          <w:tcPr>
            <w:shd w:fill="d6e3bc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Calibri" w:cs="Arial" w:eastAsia="Arial" w:hAnsi="Calibri"/>
                <w:sz w:val="13"/>
                <w:rtl w:val="0"/>
              </w:rPr>
              <w:t xml:space="preserve">Lector</w:t>
            </w:r>
            <w:r w:rsidDel="00000000" w:rsidR="00000000" w:rsidRPr="00000000">
              <w:rPr>
                <w:rFonts w:ascii="Calibri" w:hAnsi="Calibri"/>
                <w:sz w:val="13"/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fbd4b4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CU9</w:t>
              <w:br/>
              <w:t>RF09</w:t>
            </w:r>
          </w:p>
        </w:tc>
        <w:tc>
          <w:tcPr>
            <w:shd w:fill="fbd4b4" w:val="clear"/>
          </w:tcPr>
          <w:p>
            <w:r>
              <w:rPr>
                <w:rFonts w:ascii="Calibri" w:hAnsi="Calibri"/>
                <w:sz w:val="13"/>
              </w:rPr>
              <w:t>Conversar con un avatar de personaje o autor disponible. Trazabilidad: motor de IA y sesiones de chat. Requisito relacionado: RF09.</w:t>
            </w:r>
          </w:p>
        </w:tc>
        <w:tc>
          <w:tcPr>
            <w:shd w:fill="fbd4b4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Calibri" w:cs="Arial" w:eastAsia="Arial" w:hAnsi="Calibri"/>
                <w:sz w:val="13"/>
                <w:rtl w:val="0"/>
              </w:rPr>
              <w:t xml:space="preserve">Lector</w:t>
            </w:r>
            <w:r w:rsidDel="00000000" w:rsidR="00000000" w:rsidRPr="00000000">
              <w:rPr>
                <w:rFonts w:ascii="Calibri" w:hAnsi="Calibri"/>
                <w:sz w:val="13"/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fbd4b4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CU10</w:t>
              <w:br/>
              <w:t>RF10</w:t>
            </w:r>
          </w:p>
        </w:tc>
        <w:tc>
          <w:tcPr>
            <w:shd w:fill="fbd4b4" w:val="clear"/>
          </w:tcPr>
          <w:p>
            <w:r>
              <w:rPr>
                <w:rFonts w:ascii="Calibri" w:hAnsi="Calibri"/>
                <w:sz w:val="13"/>
              </w:rPr>
              <w:t>Acceder a narración o voz disponible para la lectura. Trazabilidad: TTS y narración premium. Requisito relacionado: RF10.</w:t>
            </w:r>
          </w:p>
        </w:tc>
        <w:tc>
          <w:tcPr>
            <w:shd w:fill="fbd4b4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Calibri" w:cs="Arial" w:eastAsia="Arial" w:hAnsi="Calibri"/>
                <w:sz w:val="13"/>
                <w:rtl w:val="0"/>
              </w:rPr>
              <w:t xml:space="preserve">Lector</w:t>
            </w:r>
            <w:r w:rsidDel="00000000" w:rsidR="00000000" w:rsidRPr="00000000">
              <w:rPr>
                <w:rFonts w:ascii="Calibri" w:hAnsi="Calibri"/>
                <w:sz w:val="13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d4b4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CU11</w:t>
              <w:br/>
              <w:t>RF11</w:t>
            </w:r>
          </w:p>
        </w:tc>
        <w:tc>
          <w:tcPr>
            <w:shd w:fill="fbd4b4" w:val="clear"/>
          </w:tcPr>
          <w:p>
            <w:r>
              <w:rPr>
                <w:rFonts w:ascii="Calibri" w:hAnsi="Calibri"/>
                <w:sz w:val="13"/>
              </w:rPr>
              <w:t>Actualizar datos de perfil y preferencias de visualización. Trazabilidad: usuarios y temas. Requisito relacionado: RF11.</w:t>
            </w:r>
          </w:p>
        </w:tc>
        <w:tc>
          <w:tcPr>
            <w:shd w:fill="fbd4b4" w:val="clear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Arial" w:eastAsia="Arial" w:hAnsi="Calibri"/>
                <w:sz w:val="13"/>
                <w:rtl w:val="0"/>
              </w:rPr>
              <w:t xml:space="preserve">Lector</w:t>
            </w:r>
          </w:p>
        </w:tc>
      </w:tr>
      <w:tr>
        <w:trPr>
          <w:cantSplit w:val="0"/>
          <w:tblHeader w:val="0"/>
        </w:trPr>
        <w:tc>
          <w:tcPr>
            <w:shd w:fill="92cddc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CU12</w:t>
              <w:br/>
              <w:t>RF12</w:t>
            </w:r>
          </w:p>
        </w:tc>
        <w:tc>
          <w:tcPr>
            <w:shd w:fill="92cddc" w:val="clear"/>
          </w:tcPr>
          <w:p>
            <w:r>
              <w:rPr>
                <w:rFonts w:ascii="Calibri" w:hAnsi="Calibri"/>
                <w:sz w:val="13"/>
              </w:rPr>
              <w:t>Crear, editar, publicar o retirar libros, ediciones y capítulos. Trazabilidad: dashboard y catálogo administrativo. Requisito relacionado: RF12.</w:t>
            </w:r>
          </w:p>
        </w:tc>
        <w:tc>
          <w:tcPr>
            <w:shd w:fill="92cddc" w:val="clear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Arial" w:eastAsia="Arial" w:hAnsi="Calibri"/>
                <w:sz w:val="13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92cddc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CU13</w:t>
              <w:br/>
              <w:t>RF13</w:t>
            </w:r>
          </w:p>
        </w:tc>
        <w:tc>
          <w:tcPr>
            <w:shd w:fill="92cddc" w:val="clear"/>
          </w:tcPr>
          <w:p>
            <w:r>
              <w:rPr>
                <w:rFonts w:ascii="Calibri" w:hAnsi="Calibri"/>
                <w:sz w:val="13"/>
              </w:rPr>
              <w:t>Gestionar autores, géneros, categorías y avatares asociados a las ediciones. Trazabilidad: dashboard editorial. Requisito relacionado: RF13.</w:t>
            </w:r>
          </w:p>
        </w:tc>
        <w:tc>
          <w:tcPr>
            <w:shd w:fill="92cddc" w:val="clear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Arial" w:eastAsia="Arial" w:hAnsi="Calibri"/>
                <w:sz w:val="13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92cddc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CU14</w:t>
              <w:br/>
              <w:t>RF14</w:t>
            </w:r>
          </w:p>
        </w:tc>
        <w:tc>
          <w:tcPr>
            <w:shd w:fill="92cddc" w:val="clear"/>
          </w:tcPr>
          <w:p>
            <w:r>
              <w:rPr>
                <w:rFonts w:ascii="Calibri" w:hAnsi="Calibri"/>
                <w:sz w:val="13"/>
              </w:rPr>
              <w:t>Consultar métricas operativas del catálogo, usuarios y actividad. Trazabilidad: dashboard administrativo. Requisito relacionado: RF14.</w:t>
            </w:r>
          </w:p>
        </w:tc>
        <w:tc>
          <w:tcPr>
            <w:shd w:fill="92cddc" w:val="clear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Arial" w:eastAsia="Arial" w:hAnsi="Calibri"/>
                <w:sz w:val="13"/>
                <w:rtl w:val="0"/>
              </w:rPr>
              <w:t xml:space="preserve">Administrador</w:t>
            </w:r>
          </w:p>
        </w:tc>
      </w:tr>
    </w:tbl>
    <w:p w:rsidR="00000000" w:rsidDel="00000000" w:rsidP="00000000" w:rsidRDefault="00000000" w:rsidRPr="00000000" w14:paraId="0000007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Fonts w:ascii="Calibri" w:hAnsi="Calibri"/>
          <w:b/>
          <w:color w:val="000000"/>
          <w:sz w:val="20"/>
        </w:rPr>
        <w:t>Diagrama de casos de uso</w:t>
      </w:r>
    </w:p>
    <w:p w:rsidR="00000000" w:rsidDel="00000000" w:rsidP="00000000" w:rsidRDefault="00000000" w:rsidRPr="00000000" w14:paraId="00000074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>
        <w:drawing>
          <wp:inline>
            <wp:extent cx="5669280" cy="18490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teratus_usecases_wid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49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666666"/>
          <w:sz w:val="16"/>
        </w:rPr>
        <w:t>Figura 1. Casos de uso principales de Literatus Novelist.</w:t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Fonts w:ascii="Calibri" w:hAnsi="Calibri"/>
          <w:b/>
          <w:color w:val="000000"/>
          <w:sz w:val="20"/>
        </w:rPr>
        <w:t>Requerimientos no funcionales</w:t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highlight w:val="yellow"/>
        </w:rPr>
      </w:pPr>
      <w:r>
        <w:rPr>
          <w:rFonts w:ascii="Calibri" w:hAnsi="Calibri"/>
          <w:b w:val="0"/>
          <w:color w:val="000000"/>
          <w:sz w:val="16"/>
        </w:rPr>
        <w:t>RNF1 Seguridad: Autenticación mediante JWT, control de permisos por rol y protección de operaciones administrativas.</w:t>
      </w:r>
    </w:p>
    <w:p>
      <w:r>
        <w:rPr>
          <w:rFonts w:ascii="Calibri" w:hAnsi="Calibri"/>
          <w:b w:val="0"/>
          <w:color w:val="000000"/>
          <w:sz w:val="16"/>
        </w:rPr>
        <w:t>RNF2 Disponibilidad: El sistema debe operar en entorno web y mantener respaldo de la base de datos.</w:t>
      </w:r>
    </w:p>
    <w:p>
      <w:r>
        <w:rPr>
          <w:rFonts w:ascii="Calibri" w:hAnsi="Calibri"/>
          <w:b w:val="0"/>
          <w:color w:val="000000"/>
          <w:sz w:val="16"/>
        </w:rPr>
        <w:t>RNF3 Rendimiento: Catálogo, búsqueda y carga del lector deben responder de manera ágil mediante paginación y consultas optimizadas.</w:t>
      </w:r>
    </w:p>
    <w:p>
      <w:r>
        <w:rPr>
          <w:rFonts w:ascii="Calibri" w:hAnsi="Calibri"/>
          <w:b w:val="0"/>
          <w:color w:val="000000"/>
          <w:sz w:val="16"/>
        </w:rPr>
        <w:t>RNF4 Usabilidad y accesibilidad: La interfaz debe ser clara, responsive y preparada para incorporar contraste, tamaño de fuente, resaltado y simplificación de contenido.</w:t>
      </w:r>
    </w:p>
    <w:p>
      <w:r>
        <w:rPr>
          <w:rFonts w:ascii="Calibri" w:hAnsi="Calibri"/>
          <w:b w:val="0"/>
          <w:color w:val="000000"/>
          <w:sz w:val="16"/>
        </w:rPr>
        <w:t>RNF5 Compatibilidad: La aplicación debe funcionar en navegadores modernos y dispositivos móviles mediante PWA.</w:t>
      </w:r>
    </w:p>
    <w:p>
      <w:r>
        <w:rPr>
          <w:rFonts w:ascii="Calibri" w:hAnsi="Calibri"/>
          <w:b w:val="0"/>
          <w:color w:val="000000"/>
          <w:sz w:val="16"/>
        </w:rPr>
        <w:t>RNF6 Integridad: Compras, saldos de Tinta, inventario y progreso de lectura deben conservar consistencia transaccional.</w:t>
      </w:r>
    </w:p>
    <w:p>
      <w:r>
        <w:rPr>
          <w:rFonts w:ascii="Calibri" w:hAnsi="Calibri"/>
          <w:b w:val="0"/>
          <w:color w:val="000000"/>
          <w:sz w:val="16"/>
        </w:rPr>
        <w:t>RNF7 Mantenibilidad: Frontend, API, base de datos e integraciones externas deben mantenerse desacoplados y documentados.</w:t>
      </w:r>
    </w:p>
    <w:p>
      <w:r>
        <w:rPr>
          <w:rFonts w:ascii="Calibri" w:hAnsi="Calibri"/>
          <w:b w:val="0"/>
          <w:color w:val="000000"/>
          <w:sz w:val="16"/>
        </w:rPr>
        <w:t>RNF8 Privacidad y auditoría: Se deben resguardar datos personales, registrar operaciones críticas y definir revisión editorial para contenidos publicados.</w:t>
      </w:r>
    </w:p>
    <w:p>
      <w:r>
        <w:rPr>
          <w:rFonts w:ascii="Calibri" w:hAnsi="Calibri"/>
          <w:b w:val="0"/>
          <w:color w:val="000000"/>
          <w:sz w:val="16"/>
        </w:rPr>
        <w:t>RNF9 Escalabilidad: La arquitectura debe permitir incorporar más libros, autores, usuarios, proveedores de IA y medios de pago sin un rediseño completo.</w:t>
      </w:r>
    </w:p>
    <w:sectPr>
      <w:pgSz w:h="15840" w:w="12240" w:orient="portrait"/>
      <w:pgMar w:bottom="1417" w:top="1417" w:left="1701" w:right="118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paragraph" w:styleId="Prrafodelista">
    <w:name w:val="List Paragraph"/>
    <w:basedOn w:val="Normal"/>
    <w:uiPriority w:val="34"/>
    <w:qFormat w:val="1"/>
    <w:rsid w:val="006C7C5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sbjFIIUf9z1/rcZYX086efAxEA==">CgMxLjAyCWguMzBqMHpsbDgAciExTzNzLWE2ZUVQQ1BnN2FpUnYyQ1NaWVNDMXQydXA3M1M=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2020-04-08T20:04:00Z</dcterms:created>
</cp:coreProperties>
</file>