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80"/>
        <w:pBdr>
          <w:bottom w:val="single" w:sz="6" w:space="4" w:color="1F4E78"/>
        </w:pBdr>
      </w:pPr>
      <w:r>
        <w:rPr>
          <w:rFonts w:ascii="Arial" w:hAnsi="Arial"/>
          <w:rFonts w:ascii="Arial" w:hAnsi="Arial"/>
          <w:b/>
          <w:color w:val="1F4E78"/>
          <w:sz w:val="44"/>
        </w:rPr>
        <w:t>Estructura de Código y Estándares de Desarrollo — Literatus Novelist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6F9"/>
            <w:tcBorders>
              <w:top w:val="none"/>
              <w:left w:val="single" w:sz="24" w:space="0" w:color="1F4E78"/>
              <w:bottom w:val="none"/>
              <w:right w:val="non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rFonts w:ascii="Arial" w:hAnsi="Arial"/>
                <w:b/>
                <w:color w:val="1F4E78"/>
                <w:sz w:val="20"/>
              </w:rPr>
              <w:t>METADATOS DEL DOCUMENTO</w:t>
              <w:br/>
            </w:r>
            <w:r>
              <w:rPr>
                <w:rFonts w:ascii="Arial" w:hAnsi="Arial"/>
                <w:rFonts w:ascii="Arial" w:hAnsi="Arial"/>
                <w:b/>
                <w:i w:val="0"/>
                <w:color w:val="444444"/>
                <w:sz w:val="19"/>
              </w:rPr>
              <w:t>Proyecto:</w:t>
            </w:r>
            <w:r>
              <w:rPr>
                <w:rFonts w:ascii="Arial" w:hAnsi="Arial"/>
                <w:rFonts w:ascii="Arial" w:hAnsi="Arial"/>
                <w:b w:val="0"/>
                <w:i w:val="0"/>
                <w:color w:val="444444"/>
                <w:sz w:val="19"/>
              </w:rPr>
              <w:t xml:space="preserve"> Literatus Novelist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rFonts w:ascii="Arial" w:hAnsi="Arial"/>
                <w:b/>
                <w:i w:val="0"/>
                <w:color w:val="444444"/>
                <w:sz w:val="19"/>
              </w:rPr>
              <w:t>Módulo:</w:t>
            </w:r>
            <w:r>
              <w:rPr>
                <w:rFonts w:ascii="Arial" w:hAnsi="Arial"/>
                <w:rFonts w:ascii="Arial" w:hAnsi="Arial"/>
                <w:b w:val="0"/>
                <w:i w:val="0"/>
                <w:color w:val="444444"/>
                <w:sz w:val="19"/>
              </w:rPr>
              <w:t xml:space="preserve"> Desarrollo y Código (03)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rFonts w:ascii="Arial" w:hAnsi="Arial"/>
                <w:b/>
                <w:i w:val="0"/>
                <w:color w:val="444444"/>
                <w:sz w:val="19"/>
              </w:rPr>
              <w:t>Documento:</w:t>
            </w:r>
            <w:r>
              <w:rPr>
                <w:rFonts w:ascii="Arial" w:hAnsi="Arial"/>
                <w:rFonts w:ascii="Arial" w:hAnsi="Arial"/>
                <w:b w:val="0"/>
                <w:i w:val="0"/>
                <w:color w:val="444444"/>
                <w:sz w:val="19"/>
              </w:rPr>
              <w:t xml:space="preserve"> Estructura de Código y Estándares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rFonts w:ascii="Arial" w:hAnsi="Arial"/>
                <w:b/>
                <w:i w:val="0"/>
                <w:color w:val="444444"/>
                <w:sz w:val="19"/>
              </w:rPr>
              <w:t>Autores:</w:t>
            </w:r>
            <w:r>
              <w:rPr>
                <w:rFonts w:ascii="Arial" w:hAnsi="Arial"/>
                <w:rFonts w:ascii="Arial" w:hAnsi="Arial"/>
                <w:b w:val="0"/>
                <w:i w:val="0"/>
                <w:color w:val="444444"/>
                <w:sz w:val="19"/>
              </w:rPr>
              <w:t xml:space="preserve"> Benjamin Norambuena / Josué Ticona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rFonts w:ascii="Arial" w:hAnsi="Arial"/>
                <w:b/>
                <w:i w:val="0"/>
                <w:color w:val="444444"/>
                <w:sz w:val="19"/>
              </w:rPr>
              <w:t>Carrera:</w:t>
            </w:r>
            <w:r>
              <w:rPr>
                <w:rFonts w:ascii="Arial" w:hAnsi="Arial"/>
                <w:rFonts w:ascii="Arial" w:hAnsi="Arial"/>
                <w:b w:val="0"/>
                <w:i w:val="0"/>
                <w:color w:val="444444"/>
                <w:sz w:val="19"/>
              </w:rPr>
              <w:t xml:space="preserve"> Analista Programador</w:t>
            </w:r>
          </w:p>
        </w:tc>
      </w:tr>
    </w:tbl>
    <w:p>
      <w:pPr>
        <w:spacing w:after="240"/>
      </w:pP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1. Entorno de Desarrollo y Configuración Base</w:t>
      </w:r>
    </w:p>
    <w:p>
      <w:pPr>
        <w:spacing w:line="276" w:lineRule="auto" w:after="120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El entorno de desarrollo de </w:t>
      </w:r>
      <w:r>
        <w:rPr>
          <w:rFonts w:ascii="Arial" w:hAnsi="Arial"/>
          <w:rFonts w:ascii="Arial" w:hAnsi="Arial"/>
          <w:b/>
          <w:i w:val="0"/>
          <w:color w:val="333333"/>
          <w:sz w:val="22"/>
        </w:rPr>
        <w:t>Literatus Novelist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está diseñado para asegurar consistencia, reproducibilidad y aislamiento entre las capas del sistema. Se compone de dos entornos principales: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Entorno Backend (Python + Django)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Versión de Python: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3.13.x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Aislamiento de Entorno: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Entorno virtual nativo (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.venv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) configurado a nivel de directorio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Producto/backend/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Gestor de Dependencias: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pip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respaldado por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requirements.txt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para asegurar la congelación de versiones.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Variables de Entorno: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Archivo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.env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local (basado en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.env.example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) para almacenar secretos sensibles, credenciales de base de datos PostgreSQL, claves de API externas (Google Gemini, DeepSeek) y parámetros del comercio de Transbank.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Entorno Frontend (Node.js + Angular)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Versión de Node.js: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20.x LTS o superior.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Gestor de Dependencias: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npm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(gestión mediante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package.json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y bloqueo de árbol de dependencias con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package-lock.json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Framework de Trabajo: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Angular 18+ en TypeScript, estructurado como una Single Page Application (SPA).</w:t>
      </w: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2. Estructura y Organización de Directorios</w:t>
      </w:r>
    </w:p>
    <w:p>
      <w:pPr>
        <w:spacing w:line="276" w:lineRule="auto" w:after="120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El código fuente del sistema está estructurado jerárquicamente de la siguiente manera: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2.1 Estructura del Backend (Django REST Framework)</w:t>
      </w:r>
    </w:p>
    <w:p>
      <w:pPr>
        <w:spacing w:line="276" w:lineRule="auto" w:after="120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La carpeta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Producto/backend/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organiza el backend en aplicaciones modulares de Django: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880"/>
        <w:gridCol w:w="6480"/>
      </w:tblGrid>
      <w:tr>
        <w:trPr>
          <w:cantSplit/>
          <w:tblHeader/>
        </w:trPr>
        <w:tc>
          <w:tcPr>
            <w:tcW w:type="dxa" w:w="2880"/>
            <w:shd w:fill="1F4E7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FFFFFF"/>
                <w:sz w:val="19"/>
              </w:rPr>
              <w:t>Aplicación / Carpeta</w:t>
            </w:r>
          </w:p>
        </w:tc>
        <w:tc>
          <w:tcPr>
            <w:tcW w:type="dxa" w:w="6480"/>
            <w:shd w:fill="1F4E7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FFFFFF"/>
                <w:sz w:val="19"/>
              </w:rPr>
              <w:t>Propósito</w:t>
            </w:r>
          </w:p>
        </w:tc>
      </w:tr>
      <w:tr>
        <w:trPr>
          <w:cantSplit/>
        </w:trPr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rFonts w:ascii="Consolas" w:hAnsi="Consolas"/>
                <w:b w:val="0"/>
                <w:i w:val="0"/>
                <w:color w:val="A31515"/>
                <w:sz w:val="17"/>
              </w:rPr>
              <w:t>config/</w:t>
            </w:r>
          </w:p>
        </w:tc>
        <w:tc>
          <w:tcPr>
            <w:tcW w:type="dxa" w:w="64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Configuración global de la aplicación Django (settings, URLs, enrutamiento WSGI/ASGI).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rFonts w:ascii="Consolas" w:hAnsi="Consolas"/>
                <w:b w:val="0"/>
                <w:i w:val="0"/>
                <w:color w:val="A31515"/>
                <w:sz w:val="17"/>
              </w:rPr>
              <w:t>core/</w:t>
            </w:r>
          </w:p>
        </w:tc>
        <w:tc>
          <w:tcPr>
            <w:tcW w:type="dxa" w:w="64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Modelos base y lógica transversal reutilizable por otros módulos.</w:t>
            </w:r>
          </w:p>
        </w:tc>
      </w:tr>
      <w:tr>
        <w:trPr>
          <w:cantSplit/>
        </w:trPr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rFonts w:ascii="Consolas" w:hAnsi="Consolas"/>
                <w:b w:val="0"/>
                <w:i w:val="0"/>
                <w:color w:val="A31515"/>
                <w:sz w:val="17"/>
              </w:rPr>
              <w:t>users/</w:t>
            </w:r>
          </w:p>
        </w:tc>
        <w:tc>
          <w:tcPr>
            <w:tcW w:type="dxa" w:w="64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Gestión de cuentas de usuario, perfiles, registro, autenticación JWT y permisos de administración.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rFonts w:ascii="Consolas" w:hAnsi="Consolas"/>
                <w:b w:val="0"/>
                <w:i w:val="0"/>
                <w:color w:val="A31515"/>
                <w:sz w:val="17"/>
              </w:rPr>
              <w:t>catalog/</w:t>
            </w:r>
          </w:p>
        </w:tc>
        <w:tc>
          <w:tcPr>
            <w:tcW w:type="dxa" w:w="64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Gestión del inventario de libros clásicos, autores, ediciones y subida masiva de archivos EPUB.</w:t>
            </w:r>
          </w:p>
        </w:tc>
      </w:tr>
      <w:tr>
        <w:trPr>
          <w:cantSplit/>
        </w:trPr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rFonts w:ascii="Consolas" w:hAnsi="Consolas"/>
                <w:b w:val="0"/>
                <w:i w:val="0"/>
                <w:color w:val="A31515"/>
                <w:sz w:val="17"/>
              </w:rPr>
              <w:t>library/</w:t>
            </w:r>
          </w:p>
        </w:tc>
        <w:tc>
          <w:tcPr>
            <w:tcW w:type="dxa" w:w="64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Control de la biblioteca personal del usuario, historial de lectura y progresos por capítulo.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rFonts w:ascii="Consolas" w:hAnsi="Consolas"/>
                <w:b w:val="0"/>
                <w:i w:val="0"/>
                <w:color w:val="A31515"/>
                <w:sz w:val="17"/>
              </w:rPr>
              <w:t>finance/</w:t>
            </w:r>
          </w:p>
        </w:tc>
        <w:tc>
          <w:tcPr>
            <w:tcW w:type="dxa" w:w="64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Lógica de billeteras virtuales (saldo Tinta), transacciones virtuales e integración con Transbank Webpay Plus.</w:t>
            </w:r>
          </w:p>
        </w:tc>
      </w:tr>
      <w:tr>
        <w:trPr>
          <w:cantSplit/>
        </w:trPr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rFonts w:ascii="Consolas" w:hAnsi="Consolas"/>
                <w:b w:val="0"/>
                <w:i w:val="0"/>
                <w:color w:val="A31515"/>
                <w:sz w:val="17"/>
              </w:rPr>
              <w:t>ai_engine/</w:t>
            </w:r>
          </w:p>
        </w:tc>
        <w:tc>
          <w:tcPr>
            <w:tcW w:type="dxa" w:w="64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Pipelines de IA (integración con Gemini para el chat conversacional, Piper TTS para audio local y OpenAI Whisper para alineación de texto).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rFonts w:ascii="Consolas" w:hAnsi="Consolas"/>
                <w:b w:val="0"/>
                <w:i w:val="0"/>
                <w:color w:val="A31515"/>
                <w:sz w:val="17"/>
              </w:rPr>
              <w:t>dashboard/</w:t>
            </w:r>
          </w:p>
        </w:tc>
        <w:tc>
          <w:tcPr>
            <w:tcW w:type="dxa" w:w="64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API de gestión administrativa (Literatus Nexus) para supervisión y reportes de uso.</w:t>
            </w:r>
          </w:p>
        </w:tc>
      </w:tr>
    </w:tbl>
    <w:p>
      <w:pPr>
        <w:spacing w:line="276" w:lineRule="auto" w:after="160"/>
      </w:pP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2.2 Estructura del Frontend (Angular 18+)</w:t>
      </w:r>
    </w:p>
    <w:p>
      <w:pPr>
        <w:spacing w:line="276" w:lineRule="auto" w:after="120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La carpeta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Producto/frontend/src/app/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sigue la arquitectura orientada a características de Angular: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880"/>
        <w:gridCol w:w="6480"/>
      </w:tblGrid>
      <w:tr>
        <w:trPr>
          <w:cantSplit/>
          <w:tblHeader/>
        </w:trPr>
        <w:tc>
          <w:tcPr>
            <w:tcW w:type="dxa" w:w="2880"/>
            <w:shd w:fill="1F4E7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FFFFFF"/>
                <w:sz w:val="19"/>
              </w:rPr>
              <w:t>Directorio</w:t>
            </w:r>
          </w:p>
        </w:tc>
        <w:tc>
          <w:tcPr>
            <w:tcW w:type="dxa" w:w="6480"/>
            <w:shd w:fill="1F4E7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FFFFFF"/>
                <w:sz w:val="19"/>
              </w:rPr>
              <w:t>Propósito</w:t>
            </w:r>
          </w:p>
        </w:tc>
      </w:tr>
      <w:tr>
        <w:trPr>
          <w:cantSplit/>
        </w:trPr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rFonts w:ascii="Consolas" w:hAnsi="Consolas"/>
                <w:b w:val="0"/>
                <w:i w:val="0"/>
                <w:color w:val="A31515"/>
                <w:sz w:val="17"/>
              </w:rPr>
              <w:t>auth/</w:t>
            </w:r>
          </w:p>
        </w:tc>
        <w:tc>
          <w:tcPr>
            <w:tcW w:type="dxa" w:w="64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Componentes de inicio de sesión, registro y vistas de recuperación de contraseña.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rFonts w:ascii="Consolas" w:hAnsi="Consolas"/>
                <w:b w:val="0"/>
                <w:i w:val="0"/>
                <w:color w:val="A31515"/>
                <w:sz w:val="17"/>
              </w:rPr>
              <w:t>catalog/</w:t>
            </w:r>
          </w:p>
        </w:tc>
        <w:tc>
          <w:tcPr>
            <w:tcW w:type="dxa" w:w="64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Vistas de catálogo general, detalles del libro y autor, carrito de compras y pasarela de pago.</w:t>
            </w:r>
          </w:p>
        </w:tc>
      </w:tr>
      <w:tr>
        <w:trPr>
          <w:cantSplit/>
        </w:trPr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rFonts w:ascii="Consolas" w:hAnsi="Consolas"/>
                <w:b w:val="0"/>
                <w:i w:val="0"/>
                <w:color w:val="A31515"/>
                <w:sz w:val="17"/>
              </w:rPr>
              <w:t>library/</w:t>
            </w:r>
          </w:p>
        </w:tc>
        <w:tc>
          <w:tcPr>
            <w:tcW w:type="dxa" w:w="64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Estantería personal del usuario, lector EPUB interactivo, chat conversacional de IA y la sección de La Taberna.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rFonts w:ascii="Consolas" w:hAnsi="Consolas"/>
                <w:b w:val="0"/>
                <w:i w:val="0"/>
                <w:color w:val="A31515"/>
                <w:sz w:val="17"/>
              </w:rPr>
              <w:t>characters/</w:t>
            </w:r>
          </w:p>
        </w:tc>
        <w:tc>
          <w:tcPr>
            <w:tcW w:type="dxa" w:w="64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Hub de personajes literarios interactivos organizados por obra.</w:t>
            </w:r>
          </w:p>
        </w:tc>
      </w:tr>
      <w:tr>
        <w:trPr>
          <w:cantSplit/>
        </w:trPr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rFonts w:ascii="Consolas" w:hAnsi="Consolas"/>
                <w:b w:val="0"/>
                <w:i w:val="0"/>
                <w:color w:val="A31515"/>
                <w:sz w:val="17"/>
              </w:rPr>
              <w:t>dashboard/</w:t>
            </w:r>
          </w:p>
        </w:tc>
        <w:tc>
          <w:tcPr>
            <w:tcW w:type="dxa" w:w="64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Panel administrativo (Nexus) para el control de inventario y configuración de personajes.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rFonts w:ascii="Consolas" w:hAnsi="Consolas"/>
                <w:b w:val="0"/>
                <w:i w:val="0"/>
                <w:color w:val="A31515"/>
                <w:sz w:val="17"/>
              </w:rPr>
              <w:t>core/</w:t>
            </w:r>
          </w:p>
        </w:tc>
        <w:tc>
          <w:tcPr>
            <w:tcW w:type="dxa" w:w="64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 xml:space="preserve">Lógica central e indispensable (guardas de ruta, interceptores HTTP de JWT, y servicios compartidos como </w:t>
            </w:r>
            <w:r>
              <w:rPr>
                <w:rFonts w:ascii="Consolas" w:hAnsi="Consolas"/>
                <w:rFonts w:ascii="Consolas" w:hAnsi="Consolas"/>
                <w:b w:val="0"/>
                <w:i w:val="0"/>
                <w:color w:val="A31515"/>
                <w:sz w:val="17"/>
              </w:rPr>
              <w:t>AudioService</w:t>
            </w:r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/>
                <w:rFonts w:ascii="Consolas" w:hAnsi="Consolas"/>
                <w:b w:val="0"/>
                <w:i w:val="0"/>
                <w:color w:val="A31515"/>
                <w:sz w:val="17"/>
              </w:rPr>
              <w:t>ChatService</w:t>
            </w:r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 xml:space="preserve"> y </w:t>
            </w:r>
            <w:r>
              <w:rPr>
                <w:rFonts w:ascii="Consolas" w:hAnsi="Consolas"/>
                <w:rFonts w:ascii="Consolas" w:hAnsi="Consolas"/>
                <w:b w:val="0"/>
                <w:i w:val="0"/>
                <w:color w:val="A31515"/>
                <w:sz w:val="17"/>
              </w:rPr>
              <w:t>AuthService</w:t>
            </w:r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).</w:t>
            </w:r>
          </w:p>
        </w:tc>
      </w:tr>
    </w:tbl>
    <w:p>
      <w:pPr>
        <w:spacing w:line="276" w:lineRule="auto" w:after="160"/>
      </w:pP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3. Patrones de Diseño e Implementación de Código</w:t>
      </w:r>
    </w:p>
    <w:p>
      <w:pPr>
        <w:spacing w:line="276" w:lineRule="auto" w:after="120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El desarrollo de Literatus Novelist implementa patrones establecidos para garantizar escalabilidad: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3.1 Modelo-Vista-Template / API REST (Django)</w:t>
      </w:r>
    </w:p>
    <w:p>
      <w:pPr>
        <w:spacing w:line="276" w:lineRule="auto" w:after="120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El backend utiliza la arquitectura desacoplada basada en la exposición de una API RESTful: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Modelos (Models):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Representación orientada a objetos (ORM) de las tablas de PostgreSQL.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Serializadores (Serializers):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Capa intermedia que valida las peticiones entrantes y parsea los modelos a formato JSON y viceversa.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Vistas (Views/ViewSets):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Controladores lógicos que gestionan la lógica de negocio y retornan respuestas estructuradas al frontend.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3.2 Singleton y Servicios Compartidos (Angular)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Servicios Injectables (`@Injectable({ providedIn: 'root' })`):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Actúan como singletons de aplicación encargados de centralizar las llamadas a la API REST (ej.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ApiService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,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ChatService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) y mantener estados transversales.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Patrón Observable (RxJS):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Utilizado para el manejo reactivo de flujos asíncronos. Por ejemplo,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AudioService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publica el progreso de la lectura sincronizada, y los componentes interesados se suscriben a estos cambios para actualizar el resaltado CSS tipo karaoke.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2" w:space="0" w:color="E0E0E0"/>
              <w:left w:val="single" w:sz="12" w:space="0" w:color="7F7F7F"/>
              <w:bottom w:val="single" w:sz="2" w:space="0" w:color="E0E0E0"/>
              <w:right w:val="single" w:sz="2" w:space="0" w:color="E0E0E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rFonts w:ascii="Consolas" w:hAnsi="Consolas"/>
                <w:b w:val="0"/>
                <w:i w:val="0"/>
                <w:color w:val="222222"/>
                <w:sz w:val="18"/>
              </w:rPr>
              <w:t>// Ejemplo conceptual del patrón reactivo en AudioService para la sincronización karaoke</w:t>
              <w:br/>
              <w:t>@Injectable({ providedIn: 'root' })</w:t>
              <w:br/>
              <w:t>export class AudioService {</w:t>
              <w:br/>
              <w:t xml:space="preserve">  private currentWordIndex = new BehaviorSubject&lt;number&gt;(0);</w:t>
              <w:br/>
              <w:t xml:space="preserve">  public currentWordIndex$ = this.currentWordIndex.asObservable();</w:t>
              <w:br/>
              <w:br/>
              <w:t xml:space="preserve">  updateWordIndex(index: number) {</w:t>
              <w:br/>
              <w:t xml:space="preserve">    this.currentWordIndex.next(index);</w:t>
              <w:br/>
              <w:t xml:space="preserve">  }</w:t>
              <w:br/>
              <w:t>}</w:t>
            </w:r>
          </w:p>
        </w:tc>
      </w:tr>
    </w:tbl>
    <w:p>
      <w:pPr>
        <w:spacing w:line="276" w:lineRule="auto" w:after="120"/>
      </w:pP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4. Estándares de Codificación y Limpieza (Clean Code)</w:t>
      </w:r>
    </w:p>
    <w:p>
      <w:pPr>
        <w:spacing w:line="276" w:lineRule="auto" w:after="120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La calidad del código y la facilidad de mantenimiento a largo plazo se rigen por las siguientes directrices estrictas: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4.1 Buenas Prácticas Generales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Principios SOLID: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S (Responsabilidad Única):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Un componente de Angular solo maneja la lógica de renderizado e interacción de su vista; la comunicación con el servidor se delega a su servicio correspondiente.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O (Abierto/Cerrado):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La lógica de motores de voz está diseñada para soportar nuevas APIs de síntesis heredando de interfaces de voz genéricas sin modificar el lector base.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Nombres Autoexplicativos: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Variables y funciones descritas con verbos y sustantivos claros (ej.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obtenerProgresoLectura()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en lugar de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getProg()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Funciones Pequeñas: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Métodos con un único propósito, con un promedio menor a 30 líneas de código para maximizar la legibilidad.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Manejo de Excepciones: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Uso sistemático de bloques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try-except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en backend y manejadores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catchError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de RxJS en frontend para evitar caídas del sistema ante fallos externos (ej. caída del API de Gemini).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4.2 Estilo en Python (Backend)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Adherencia al estándar </w:t>
      </w:r>
      <w:r>
        <w:rPr>
          <w:rFonts w:ascii="Arial" w:hAnsi="Arial"/>
          <w:rFonts w:ascii="Arial" w:hAnsi="Arial"/>
          <w:b/>
          <w:i w:val="0"/>
          <w:color w:val="333333"/>
          <w:sz w:val="22"/>
        </w:rPr>
        <w:t>PEP 8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Uso obligatorio de anotaciones de tipo (</w:t>
      </w:r>
      <w:r>
        <w:rPr>
          <w:rFonts w:ascii="Arial" w:hAnsi="Arial"/>
          <w:rFonts w:ascii="Arial" w:hAnsi="Arial"/>
          <w:b w:val="0"/>
          <w:i/>
          <w:color w:val="333333"/>
          <w:sz w:val="22"/>
        </w:rPr>
        <w:t>type hinting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) en firmas de métodos y funciones críticas.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Uso de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snake_case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para variables y funciones, y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CamelCase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para clases.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4.3 Estilo en TypeScript/Angular (Frontend)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Seguimiento de la </w:t>
      </w:r>
      <w:r>
        <w:rPr>
          <w:rFonts w:ascii="Arial" w:hAnsi="Arial"/>
          <w:rFonts w:ascii="Arial" w:hAnsi="Arial"/>
          <w:b/>
          <w:i w:val="0"/>
          <w:color w:val="333333"/>
          <w:sz w:val="22"/>
        </w:rPr>
        <w:t>Guía Oficial de Estilo de Angular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Uso estricto del modo tipado en TypeScript, evitando el uso del tipo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any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Estructuración jerárquica de componentes separando hojas de estilo (CSS), plantillas (HTML) y controladores de componente (TS).</w:t>
      </w: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5. Estrategia de Control de Versiones (Git Workflow)</w:t>
      </w:r>
    </w:p>
    <w:p>
      <w:pPr>
        <w:spacing w:line="276" w:lineRule="auto" w:after="120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Para habilitar el trabajo colaborativo sin conflictos en el código base, se utiliza un flujo simplificado basado en </w:t>
      </w:r>
      <w:r>
        <w:rPr>
          <w:rFonts w:ascii="Arial" w:hAnsi="Arial"/>
          <w:rFonts w:ascii="Arial" w:hAnsi="Arial"/>
          <w:b/>
          <w:i w:val="0"/>
          <w:color w:val="333333"/>
          <w:sz w:val="22"/>
        </w:rPr>
        <w:t>Git Flow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: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5.1 Estructura de Ramas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`main`: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Contiene el código estable listo para demostraciones y entregas oficiales. Solo recibe fusiones completadas y testeadas.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`feature/`: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Ramas de desarrollo temporal dedicadas a tareas específicas (ej.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feature/phase5-webpay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,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feature/phase7-avatar-masive-books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). Se desvían de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main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y se reincorporan mediante Pull Requests.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`bugfix/`: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Ramas de prioridad alta dedicadas a la resolución rápida de errores descubiertos en pruebas.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5.2 Estilo de Commits (Conventional Commits)</w:t>
      </w:r>
    </w:p>
    <w:p>
      <w:pPr>
        <w:spacing w:line="276" w:lineRule="auto" w:after="120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Los mensajes de confirmación de cambios siguen un formato estandarizado que facilita la trazabilidad: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2" w:space="0" w:color="E0E0E0"/>
              <w:left w:val="single" w:sz="12" w:space="0" w:color="7F7F7F"/>
              <w:bottom w:val="single" w:sz="2" w:space="0" w:color="E0E0E0"/>
              <w:right w:val="single" w:sz="2" w:space="0" w:color="E0E0E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rFonts w:ascii="Consolas" w:hAnsi="Consolas"/>
                <w:b w:val="0"/>
                <w:i w:val="0"/>
                <w:color w:val="222222"/>
                <w:sz w:val="18"/>
              </w:rPr>
              <w:t>&lt;tipo&gt;(&lt;ámbito&gt;): &lt;descripción corta en imperativo&gt;</w:t>
            </w:r>
          </w:p>
        </w:tc>
      </w:tr>
    </w:tbl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Tipos comunes:</w:t>
      </w:r>
    </w:p>
    <w:p>
      <w:pPr>
        <w:pStyle w:val="ListBullet"/>
        <w:spacing w:after="60" w:line="276" w:lineRule="auto"/>
      </w:pP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feat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: Nueva funcionalidad implementada (ej.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feat(finance): integración de pasarela Transbank Webpay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fix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: Corrección de un fallo (ej.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fix(reader): corregido desbordamiento de texto en visualización responsive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docs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: Modificaciones únicamente en archivos de documentación (ej.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docs(requirements): actualizado stack tecnológico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chore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: Tareas de mantenimiento o configuración del entorno (ej.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chore(deps): instalada librería python-docx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).</w:t>
      </w: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6. Instrucciones de Despliegue Local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6.1 Despliegue del Backend (Django)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Navegar al directorio del backend: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2" w:space="0" w:color="E0E0E0"/>
              <w:left w:val="single" w:sz="12" w:space="0" w:color="7F7F7F"/>
              <w:bottom w:val="single" w:sz="2" w:space="0" w:color="E0E0E0"/>
              <w:right w:val="single" w:sz="2" w:space="0" w:color="E0E0E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rFonts w:ascii="Consolas" w:hAnsi="Consolas"/>
                <w:b w:val="0"/>
                <w:i w:val="0"/>
                <w:color w:val="222222"/>
                <w:sz w:val="18"/>
              </w:rPr>
              <w:t xml:space="preserve">   cd Producto/backend</w:t>
            </w:r>
          </w:p>
        </w:tc>
      </w:tr>
    </w:tbl>
    <w:p>
      <w:pPr>
        <w:spacing w:line="276" w:lineRule="auto" w:after="120"/>
      </w:pP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Crear e iniciar el entorno virtual: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2" w:space="0" w:color="E0E0E0"/>
              <w:left w:val="single" w:sz="12" w:space="0" w:color="7F7F7F"/>
              <w:bottom w:val="single" w:sz="2" w:space="0" w:color="E0E0E0"/>
              <w:right w:val="single" w:sz="2" w:space="0" w:color="E0E0E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rFonts w:ascii="Consolas" w:hAnsi="Consolas"/>
                <w:b w:val="0"/>
                <w:i w:val="0"/>
                <w:color w:val="222222"/>
                <w:sz w:val="18"/>
              </w:rPr>
              <w:t xml:space="preserve">   python -m venv .venv</w:t>
              <w:br/>
              <w:t xml:space="preserve">   # En Windows (PowerShell):</w:t>
              <w:br/>
              <w:t xml:space="preserve">   .venv\Scripts\Activate.ps1</w:t>
              <w:br/>
              <w:t xml:space="preserve">   # En macOS/Linux:</w:t>
              <w:br/>
              <w:t xml:space="preserve">   source .venv/bin/activate</w:t>
            </w:r>
          </w:p>
        </w:tc>
      </w:tr>
    </w:tbl>
    <w:p>
      <w:pPr>
        <w:spacing w:line="276" w:lineRule="auto" w:after="120"/>
      </w:pP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Instalar las dependencias del proyecto: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2" w:space="0" w:color="E0E0E0"/>
              <w:left w:val="single" w:sz="12" w:space="0" w:color="7F7F7F"/>
              <w:bottom w:val="single" w:sz="2" w:space="0" w:color="E0E0E0"/>
              <w:right w:val="single" w:sz="2" w:space="0" w:color="E0E0E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rFonts w:ascii="Consolas" w:hAnsi="Consolas"/>
                <w:b w:val="0"/>
                <w:i w:val="0"/>
                <w:color w:val="222222"/>
                <w:sz w:val="18"/>
              </w:rPr>
              <w:t xml:space="preserve">   pip install -r requirements.txt</w:t>
            </w:r>
          </w:p>
        </w:tc>
      </w:tr>
    </w:tbl>
    <w:p>
      <w:pPr>
        <w:spacing w:line="276" w:lineRule="auto" w:after="120"/>
      </w:pP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Configurar el archivo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.env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local con las variables necesarias de base de datos y APIs.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Ejecutar migraciones de base de datos PostgreSQL: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2" w:space="0" w:color="E0E0E0"/>
              <w:left w:val="single" w:sz="12" w:space="0" w:color="7F7F7F"/>
              <w:bottom w:val="single" w:sz="2" w:space="0" w:color="E0E0E0"/>
              <w:right w:val="single" w:sz="2" w:space="0" w:color="E0E0E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rFonts w:ascii="Consolas" w:hAnsi="Consolas"/>
                <w:b w:val="0"/>
                <w:i w:val="0"/>
                <w:color w:val="222222"/>
                <w:sz w:val="18"/>
              </w:rPr>
              <w:t xml:space="preserve">   python manage.py migrate</w:t>
            </w:r>
          </w:p>
        </w:tc>
      </w:tr>
    </w:tbl>
    <w:p>
      <w:pPr>
        <w:spacing w:line="276" w:lineRule="auto" w:after="120"/>
      </w:pP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Iniciar el servidor de desarrollo: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2" w:space="0" w:color="E0E0E0"/>
              <w:left w:val="single" w:sz="12" w:space="0" w:color="7F7F7F"/>
              <w:bottom w:val="single" w:sz="2" w:space="0" w:color="E0E0E0"/>
              <w:right w:val="single" w:sz="2" w:space="0" w:color="E0E0E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rFonts w:ascii="Consolas" w:hAnsi="Consolas"/>
                <w:b w:val="0"/>
                <w:i w:val="0"/>
                <w:color w:val="222222"/>
                <w:sz w:val="18"/>
              </w:rPr>
              <w:t xml:space="preserve">   python manage.py runserver</w:t>
            </w:r>
          </w:p>
        </w:tc>
      </w:tr>
    </w:tbl>
    <w:p>
      <w:pPr>
        <w:spacing w:line="276" w:lineRule="auto" w:after="120"/>
      </w:pP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6.2 Despliegue del Frontend (Angular)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Navegar al directorio del frontend: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2" w:space="0" w:color="E0E0E0"/>
              <w:left w:val="single" w:sz="12" w:space="0" w:color="7F7F7F"/>
              <w:bottom w:val="single" w:sz="2" w:space="0" w:color="E0E0E0"/>
              <w:right w:val="single" w:sz="2" w:space="0" w:color="E0E0E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rFonts w:ascii="Consolas" w:hAnsi="Consolas"/>
                <w:b w:val="0"/>
                <w:i w:val="0"/>
                <w:color w:val="222222"/>
                <w:sz w:val="18"/>
              </w:rPr>
              <w:t xml:space="preserve">   cd Producto/frontend</w:t>
            </w:r>
          </w:p>
        </w:tc>
      </w:tr>
    </w:tbl>
    <w:p>
      <w:pPr>
        <w:spacing w:line="276" w:lineRule="auto" w:after="120"/>
      </w:pP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Instalar los paquetes y dependencias de Node: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2" w:space="0" w:color="E0E0E0"/>
              <w:left w:val="single" w:sz="12" w:space="0" w:color="7F7F7F"/>
              <w:bottom w:val="single" w:sz="2" w:space="0" w:color="E0E0E0"/>
              <w:right w:val="single" w:sz="2" w:space="0" w:color="E0E0E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rFonts w:ascii="Consolas" w:hAnsi="Consolas"/>
                <w:b w:val="0"/>
                <w:i w:val="0"/>
                <w:color w:val="222222"/>
                <w:sz w:val="18"/>
              </w:rPr>
              <w:t xml:space="preserve">   npm install</w:t>
            </w:r>
          </w:p>
        </w:tc>
      </w:tr>
    </w:tbl>
    <w:p>
      <w:pPr>
        <w:spacing w:line="276" w:lineRule="auto" w:after="120"/>
      </w:pP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Iniciar el servidor local de Angular: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2" w:space="0" w:color="E0E0E0"/>
              <w:left w:val="single" w:sz="12" w:space="0" w:color="7F7F7F"/>
              <w:bottom w:val="single" w:sz="2" w:space="0" w:color="E0E0E0"/>
              <w:right w:val="single" w:sz="2" w:space="0" w:color="E0E0E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rFonts w:ascii="Consolas" w:hAnsi="Consolas"/>
                <w:b w:val="0"/>
                <w:i w:val="0"/>
                <w:color w:val="222222"/>
                <w:sz w:val="18"/>
              </w:rPr>
              <w:t xml:space="preserve">   npm run start</w:t>
              <w:br/>
              <w:t xml:space="preserve">   # o alternativamente:</w:t>
              <w:br/>
              <w:t xml:space="preserve">   ng serve</w:t>
            </w:r>
          </w:p>
        </w:tc>
      </w:tr>
    </w:tbl>
    <w:p>
      <w:pPr>
        <w:spacing w:line="276" w:lineRule="auto" w:after="120"/>
      </w:pP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Abrir en el navegador web la dirección local: </w:t>
      </w:r>
      <w:r>
        <w:rPr>
          <w:rFonts w:ascii="Consolas" w:hAnsi="Consolas"/>
          <w:rFonts w:ascii="Consolas" w:hAnsi="Consolas"/>
          <w:b w:val="0"/>
          <w:i w:val="0"/>
          <w:color w:val="A31515"/>
          <w:sz w:val="20"/>
        </w:rPr>
        <w:t>http://localhost:4200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rFonts w:ascii="Arial" w:hAnsi="Arial"/>
        <w:color w:val="7F7F7F"/>
        <w:sz w:val="18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rFonts w:ascii="Arial" w:hAnsi="Arial"/>
        <w:color w:val="7F7F7F"/>
        <w:sz w:val="17"/>
      </w:rPr>
      <w:t>Literatus Novelist  |  Estructura de Código y Estándares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