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media/image1.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0" w:after="280"/>
        <w:pBdr>
          <w:bottom w:val="single" w:sz="6" w:space="4" w:color="1F4E78"/>
        </w:pBdr>
      </w:pPr>
      <w:r>
        <w:rPr>
          <w:rFonts w:ascii="Arial" w:hAnsi="Arial"/>
          <w:rFonts w:ascii="Arial" w:hAnsi="Arial"/>
          <w:b/>
          <w:color w:val="1F4E78"/>
          <w:sz w:val="44"/>
        </w:rPr>
        <w:t>Contexto y Diagnóstico — Literatus Novelist</w:t>
      </w:r>
    </w:p>
    <w:tbl>
      <w:tblPr>
        <w:tblW w:type="auto" w:w="0"/>
        <w:jc w:val="center"/>
        <w:tblLayout w:type="fixed"/>
        <w:tblLook w:firstColumn="1" w:firstRow="1" w:lastColumn="0" w:lastRow="0" w:noHBand="0" w:noVBand="1" w:val="04A0"/>
      </w:tblPr>
      <w:tblGrid>
        <w:gridCol w:w="9360"/>
      </w:tblGrid>
      <w:tr>
        <w:tc>
          <w:tcPr>
            <w:tcW w:type="dxa" w:w="9360"/>
            <w:shd w:fill="F2F6F9"/>
            <w:tcBorders>
              <w:top w:val="none"/>
              <w:left w:val="single" w:sz="24" w:space="0" w:color="1F4E78"/>
              <w:bottom w:val="none"/>
              <w:right w:val="none"/>
            </w:tcBorders>
            <w:tcMar>
              <w:top w:w="140" w:type="dxa"/>
              <w:bottom w:w="140" w:type="dxa"/>
              <w:left w:w="180" w:type="dxa"/>
              <w:right w:w="180" w:type="dxa"/>
            </w:tcMar>
          </w:tcPr>
          <w:p>
            <w:pPr>
              <w:spacing w:after="40" w:line="276" w:lineRule="auto"/>
            </w:pPr>
            <w:r>
              <w:rPr>
                <w:rFonts w:ascii="Arial" w:hAnsi="Arial"/>
                <w:rFonts w:ascii="Arial" w:hAnsi="Arial"/>
                <w:b/>
                <w:color w:val="1F4E78"/>
                <w:sz w:val="20"/>
              </w:rPr>
              <w:t>METADATOS DEL DOCUMENTO</w:t>
              <w:br/>
            </w:r>
            <w:r>
              <w:rPr>
                <w:rFonts w:ascii="Arial" w:hAnsi="Arial"/>
                <w:rFonts w:ascii="Arial" w:hAnsi="Arial"/>
                <w:b/>
                <w:i w:val="0"/>
                <w:color w:val="444444"/>
                <w:sz w:val="19"/>
              </w:rPr>
              <w:t>Proyecto:</w:t>
            </w:r>
            <w:r>
              <w:rPr>
                <w:rFonts w:ascii="Arial" w:hAnsi="Arial"/>
                <w:rFonts w:ascii="Arial" w:hAnsi="Arial"/>
                <w:b w:val="0"/>
                <w:i w:val="0"/>
                <w:color w:val="444444"/>
                <w:sz w:val="19"/>
              </w:rPr>
              <w:t xml:space="preserve"> Literatus Novelist</w:t>
            </w:r>
          </w:p>
          <w:p>
            <w:pPr>
              <w:spacing w:after="40" w:line="276" w:lineRule="auto"/>
            </w:pPr>
            <w:r>
              <w:rPr>
                <w:rFonts w:ascii="Arial" w:hAnsi="Arial"/>
                <w:rFonts w:ascii="Arial" w:hAnsi="Arial"/>
                <w:b/>
                <w:i w:val="0"/>
                <w:color w:val="444444"/>
                <w:sz w:val="19"/>
              </w:rPr>
              <w:t>Módulo:</w:t>
            </w:r>
            <w:r>
              <w:rPr>
                <w:rFonts w:ascii="Arial" w:hAnsi="Arial"/>
                <w:rFonts w:ascii="Arial" w:hAnsi="Arial"/>
                <w:b w:val="0"/>
                <w:i w:val="0"/>
                <w:color w:val="444444"/>
                <w:sz w:val="19"/>
              </w:rPr>
              <w:t xml:space="preserve"> Definición del Problema (01)</w:t>
            </w:r>
          </w:p>
          <w:p>
            <w:pPr>
              <w:spacing w:after="40" w:line="276" w:lineRule="auto"/>
            </w:pPr>
            <w:r>
              <w:rPr>
                <w:rFonts w:ascii="Arial" w:hAnsi="Arial"/>
                <w:rFonts w:ascii="Arial" w:hAnsi="Arial"/>
                <w:b/>
                <w:i w:val="0"/>
                <w:color w:val="444444"/>
                <w:sz w:val="19"/>
              </w:rPr>
              <w:t>Documento:</w:t>
            </w:r>
            <w:r>
              <w:rPr>
                <w:rFonts w:ascii="Arial" w:hAnsi="Arial"/>
                <w:rFonts w:ascii="Arial" w:hAnsi="Arial"/>
                <w:b w:val="0"/>
                <w:i w:val="0"/>
                <w:color w:val="444444"/>
                <w:sz w:val="19"/>
              </w:rPr>
              <w:t xml:space="preserve"> Contexto y Diagnóstico</w:t>
            </w:r>
          </w:p>
          <w:p>
            <w:pPr>
              <w:spacing w:after="40" w:line="276" w:lineRule="auto"/>
            </w:pPr>
            <w:r>
              <w:rPr>
                <w:rFonts w:ascii="Arial" w:hAnsi="Arial"/>
                <w:rFonts w:ascii="Arial" w:hAnsi="Arial"/>
                <w:b/>
                <w:i w:val="0"/>
                <w:color w:val="444444"/>
                <w:sz w:val="19"/>
              </w:rPr>
              <w:t>Autores:</w:t>
            </w:r>
            <w:r>
              <w:rPr>
                <w:rFonts w:ascii="Arial" w:hAnsi="Arial"/>
                <w:rFonts w:ascii="Arial" w:hAnsi="Arial"/>
                <w:b w:val="0"/>
                <w:i w:val="0"/>
                <w:color w:val="444444"/>
                <w:sz w:val="19"/>
              </w:rPr>
              <w:t xml:space="preserve"> Benjamin Norambuena / Josué Ticona</w:t>
            </w:r>
          </w:p>
          <w:p>
            <w:pPr>
              <w:spacing w:after="40" w:line="276" w:lineRule="auto"/>
            </w:pPr>
            <w:r>
              <w:rPr>
                <w:rFonts w:ascii="Arial" w:hAnsi="Arial"/>
                <w:rFonts w:ascii="Arial" w:hAnsi="Arial"/>
                <w:b/>
                <w:i w:val="0"/>
                <w:color w:val="444444"/>
                <w:sz w:val="19"/>
              </w:rPr>
              <w:t>Carrera:</w:t>
            </w:r>
            <w:r>
              <w:rPr>
                <w:rFonts w:ascii="Arial" w:hAnsi="Arial"/>
                <w:rFonts w:ascii="Arial" w:hAnsi="Arial"/>
                <w:b w:val="0"/>
                <w:i w:val="0"/>
                <w:color w:val="444444"/>
                <w:sz w:val="19"/>
              </w:rPr>
              <w:t xml:space="preserve"> Analista Programador</w:t>
            </w:r>
          </w:p>
        </w:tc>
      </w:tr>
    </w:tbl>
    <w:p>
      <w:pPr>
        <w:spacing w:after="240"/>
      </w:pPr>
    </w:p>
    <w:p>
      <w:pPr>
        <w:spacing w:before="160" w:after="160"/>
        <w:pBdr>
          <w:bottom w:val="single" w:sz="4" w:space="1" w:color="D3D3D3"/>
        </w:pBdr>
      </w:pPr>
    </w:p>
    <w:p>
      <w:pPr>
        <w:keepNext/>
        <w:spacing w:before="360" w:after="120"/>
      </w:pPr>
      <w:r>
        <w:rPr>
          <w:rFonts w:ascii="Arial" w:hAnsi="Arial"/>
          <w:rFonts w:ascii="Arial" w:hAnsi="Arial"/>
          <w:b/>
          <w:color w:val="1F4E78"/>
          <w:sz w:val="28"/>
        </w:rPr>
        <w:t>1. Modelo de Solución para Procesos de Negocio</w:t>
      </w:r>
    </w:p>
    <w:p>
      <w:pPr>
        <w:spacing w:line="276" w:lineRule="auto" w:after="120"/>
      </w:pPr>
      <w:r>
        <w:rPr>
          <w:rFonts w:ascii="Arial" w:hAnsi="Arial"/>
          <w:rFonts w:ascii="Arial" w:hAnsi="Arial"/>
          <w:b w:val="0"/>
          <w:i w:val="0"/>
          <w:color w:val="333333"/>
          <w:sz w:val="22"/>
        </w:rPr>
        <w:t>La solución propuesta por Literatus Novelist redefine la cadena de valor de la lectura digital mediante la automatización e inteligencia aplicada a tres procesos clave:</w:t>
      </w:r>
    </w:p>
    <w:p>
      <w:pPr>
        <w:keepNext/>
        <w:spacing w:before="240" w:after="80"/>
      </w:pPr>
      <w:r>
        <w:rPr>
          <w:rFonts w:ascii="Arial" w:hAnsi="Arial"/>
          <w:rFonts w:ascii="Arial" w:hAnsi="Arial"/>
          <w:b/>
          <w:color w:val="1F4E78"/>
          <w:sz w:val="23"/>
        </w:rPr>
        <w:t>Proceso 1 — Acceso y Enriquecimiento del Contenido</w:t>
      </w:r>
    </w:p>
    <w:p>
      <w:pPr>
        <w:spacing w:line="276" w:lineRule="auto" w:after="120"/>
      </w:pPr>
      <w:r>
        <w:rPr>
          <w:rFonts w:ascii="Arial" w:hAnsi="Arial"/>
          <w:rFonts w:ascii="Arial" w:hAnsi="Arial"/>
          <w:b w:val="0"/>
          <w:i w:val="0"/>
          <w:color w:val="333333"/>
          <w:sz w:val="22"/>
        </w:rPr>
        <w:t>El software procesa automáticamente archivos EPUB de dominio público, los parsea por capítulos y los enriquece con metadatos generados por IA (sinopsis, perfiles de personajes, géneros, temas). Esto elimina el trabajo manual de catalogación y permite escalar el catálogo a más de 1,800 obras sin intervención humana para cada título.</w:t>
      </w:r>
    </w:p>
    <w:p>
      <w:pPr>
        <w:keepNext/>
        <w:spacing w:before="240" w:after="80"/>
      </w:pPr>
      <w:r>
        <w:rPr>
          <w:rFonts w:ascii="Arial" w:hAnsi="Arial"/>
          <w:rFonts w:ascii="Arial" w:hAnsi="Arial"/>
          <w:b/>
          <w:color w:val="1F4E78"/>
          <w:sz w:val="23"/>
        </w:rPr>
        <w:t>Proceso 2 — Comprensión e Interacción con la Obra</w:t>
      </w:r>
    </w:p>
    <w:p>
      <w:pPr>
        <w:spacing w:line="276" w:lineRule="auto" w:after="120"/>
      </w:pPr>
      <w:r>
        <w:rPr>
          <w:rFonts w:ascii="Arial" w:hAnsi="Arial"/>
          <w:rFonts w:ascii="Arial" w:hAnsi="Arial"/>
          <w:b w:val="0"/>
          <w:i w:val="0"/>
          <w:color w:val="333333"/>
          <w:sz w:val="22"/>
        </w:rPr>
        <w:t>El sistema integra un motor de IA conversacional (Google Gemini 2.0 Flash) que permite al usuario dialogar con avatares de personajes literarios en tiempo real. El avatar conoce el contexto completo de la obra, la personalidad del personaje, su vocabulario y su arco narrativo, entregando respuestas coherentes e inmersivas que funcionan como un tutor literario interactivo.</w:t>
      </w:r>
    </w:p>
    <w:p>
      <w:pPr>
        <w:keepNext/>
        <w:spacing w:before="240" w:after="80"/>
      </w:pPr>
      <w:r>
        <w:rPr>
          <w:rFonts w:ascii="Arial" w:hAnsi="Arial"/>
          <w:rFonts w:ascii="Arial" w:hAnsi="Arial"/>
          <w:b/>
          <w:color w:val="1F4E78"/>
          <w:sz w:val="23"/>
        </w:rPr>
        <w:t>Proceso 3 — Monetización y Sostenibilidad</w:t>
      </w:r>
    </w:p>
    <w:p>
      <w:pPr>
        <w:spacing w:line="276" w:lineRule="auto" w:after="120"/>
      </w:pPr>
      <w:r>
        <w:rPr>
          <w:rFonts w:ascii="Arial" w:hAnsi="Arial"/>
          <w:rFonts w:ascii="Arial" w:hAnsi="Arial"/>
          <w:b w:val="0"/>
          <w:i w:val="0"/>
          <w:color w:val="333333"/>
          <w:sz w:val="22"/>
        </w:rPr>
        <w:t>La plataforma integra un sistema de pagos real (Transbank Webpay Plus) y una economía virtual de moneda "Tinta" que permite al modelo de negocio ser sostenible, incentivando el uso prolongado de la plataforma mediante gamificación y acceso a contenido premium.</w:t>
      </w:r>
    </w:p>
    <w:p>
      <w:pPr>
        <w:spacing w:before="160" w:after="160"/>
        <w:pBdr>
          <w:bottom w:val="single" w:sz="4" w:space="1" w:color="D3D3D3"/>
        </w:pBdr>
      </w:pPr>
    </w:p>
    <w:p>
      <w:pPr>
        <w:keepNext/>
        <w:spacing w:before="360" w:after="120"/>
      </w:pPr>
      <w:r>
        <w:rPr>
          <w:rFonts w:ascii="Arial" w:hAnsi="Arial"/>
          <w:rFonts w:ascii="Arial" w:hAnsi="Arial"/>
          <w:b/>
          <w:color w:val="1F4E78"/>
          <w:sz w:val="28"/>
        </w:rPr>
        <w:t>2. Descripción del Problema: Causas y Efectos</w:t>
      </w:r>
    </w:p>
    <w:p>
      <w:pPr>
        <w:keepNext/>
        <w:spacing w:before="240" w:after="80"/>
      </w:pPr>
      <w:r>
        <w:rPr>
          <w:rFonts w:ascii="Arial" w:hAnsi="Arial"/>
          <w:rFonts w:ascii="Arial" w:hAnsi="Arial"/>
          <w:b/>
          <w:color w:val="1F4E78"/>
          <w:sz w:val="23"/>
        </w:rPr>
        <w:t>2.1 Árbol del Problema</w:t>
      </w:r>
    </w:p>
    <w:p>
      <w:pPr>
        <w:spacing w:line="276" w:lineRule="auto" w:after="120"/>
      </w:pPr>
      <w:r>
        <w:rPr>
          <w:rFonts w:ascii="Arial" w:hAnsi="Arial"/>
          <w:rFonts w:ascii="Arial" w:hAnsi="Arial"/>
          <w:b/>
          <w:i w:val="0"/>
          <w:color w:val="333333"/>
          <w:sz w:val="22"/>
        </w:rPr>
        <w:t>Problema Central:</w:t>
      </w:r>
      <w:r>
        <w:rPr>
          <w:rFonts w:ascii="Arial" w:hAnsi="Arial"/>
          <w:rFonts w:ascii="Arial" w:hAnsi="Arial"/>
          <w:b w:val="0"/>
          <w:i w:val="0"/>
          <w:color w:val="333333"/>
          <w:sz w:val="22"/>
        </w:rPr>
        <w:t xml:space="preserve"> La lectura de literatura clásica tiene baja adherencia entre los lectores digitales modernos.</w:t>
      </w:r>
    </w:p>
    <w:p>
      <w:pPr>
        <w:spacing w:line="276" w:lineRule="auto" w:after="120"/>
      </w:pPr>
      <w:r>
        <w:rPr>
          <w:rFonts w:ascii="Arial" w:hAnsi="Arial"/>
          <w:rFonts w:ascii="Arial" w:hAnsi="Arial"/>
          <w:b/>
          <w:i w:val="0"/>
          <w:color w:val="333333"/>
          <w:sz w:val="22"/>
        </w:rPr>
        <w:t>Causas Raíz identificadas:</w:t>
      </w:r>
    </w:p>
    <w:tbl>
      <w:tblPr>
        <w:tblW w:type="auto" w:w="0"/>
        <w:tblLook w:firstColumn="1" w:firstRow="1" w:lastColumn="0" w:lastRow="0" w:noHBand="0" w:noVBand="1" w:val="04A0"/>
        <w:jc w:val="center"/>
        <w:tblBorders>
          <w:top w:val="single" w:sz="4" w:space="0" w:color="D3D3D3"/>
          <w:bottom w:val="single" w:sz="4" w:space="0" w:color="D3D3D3"/>
          <w:left w:val="none"/>
          <w:right w:val="none"/>
          <w:insideH w:val="single" w:sz="4" w:space="0" w:color="D3D3D3"/>
          <w:insideV w:val="none"/>
        </w:tblBorders>
      </w:tblPr>
      <w:tblGrid>
        <w:gridCol w:w="2880"/>
        <w:gridCol w:w="6480"/>
      </w:tblGrid>
      <w:tr>
        <w:trPr>
          <w:cantSplit/>
          <w:tblHeader/>
        </w:trPr>
        <w:tc>
          <w:tcPr>
            <w:tcW w:type="dxa" w:w="2880"/>
            <w:shd w:fill="1F4E78"/>
            <w:vAlign w:val="center"/>
            <w:tcMar>
              <w:top w:w="120" w:type="dxa"/>
              <w:bottom w:w="120" w:type="dxa"/>
              <w:left w:w="150" w:type="dxa"/>
              <w:right w:w="150" w:type="dxa"/>
            </w:tcMar>
          </w:tcPr>
          <w:p>
            <w:pPr>
              <w:jc w:val="left"/>
            </w:pPr>
            <w:r/>
            <w:r>
              <w:rPr>
                <w:rFonts w:ascii="Arial" w:hAnsi="Arial"/>
                <w:rFonts w:ascii="Arial" w:hAnsi="Arial"/>
                <w:b/>
                <w:i w:val="0"/>
                <w:color w:val="FFFFFF"/>
                <w:sz w:val="19"/>
              </w:rPr>
              <w:t>Causa</w:t>
            </w:r>
          </w:p>
        </w:tc>
        <w:tc>
          <w:tcPr>
            <w:tcW w:type="dxa" w:w="6480"/>
            <w:shd w:fill="1F4E78"/>
            <w:vAlign w:val="center"/>
            <w:tcMar>
              <w:top w:w="120" w:type="dxa"/>
              <w:bottom w:w="120" w:type="dxa"/>
              <w:left w:w="150" w:type="dxa"/>
              <w:right w:w="150" w:type="dxa"/>
            </w:tcMar>
          </w:tcPr>
          <w:p>
            <w:pPr>
              <w:jc w:val="left"/>
            </w:pPr>
            <w:r/>
            <w:r>
              <w:rPr>
                <w:rFonts w:ascii="Arial" w:hAnsi="Arial"/>
                <w:rFonts w:ascii="Arial" w:hAnsi="Arial"/>
                <w:b/>
                <w:i w:val="0"/>
                <w:color w:val="FFFFFF"/>
                <w:sz w:val="19"/>
              </w:rPr>
              <w:t>Descripción</w:t>
            </w:r>
          </w:p>
        </w:tc>
      </w:tr>
      <w:tr>
        <w:trPr>
          <w:cantSplit/>
        </w:trPr>
        <w:tc>
          <w:tcPr>
            <w:tcW w:type="dxa" w:w="2880"/>
            <w:shd w:fill="F9FBFD"/>
            <w:vAlign w:val="center"/>
            <w:tcMar>
              <w:top w:w="120" w:type="dxa"/>
              <w:bottom w:w="120" w:type="dxa"/>
              <w:left w:w="150" w:type="dxa"/>
              <w:right w:w="150" w:type="dxa"/>
            </w:tcMar>
          </w:tcPr>
          <w:p>
            <w:pPr>
              <w:jc w:val="left"/>
            </w:pPr>
            <w:r/>
            <w:r>
              <w:rPr>
                <w:rFonts w:ascii="Arial" w:hAnsi="Arial"/>
                <w:rFonts w:ascii="Arial" w:hAnsi="Arial"/>
                <w:b/>
                <w:i w:val="0"/>
                <w:color w:val="333333"/>
                <w:sz w:val="19"/>
              </w:rPr>
              <w:t>C1. Experiencia pasiva</w:t>
            </w:r>
          </w:p>
        </w:tc>
        <w:tc>
          <w:tcPr>
            <w:tcW w:type="dxa" w:w="6480"/>
            <w:shd w:fill="F9FBFD"/>
            <w:vAlign w:val="center"/>
            <w:tcMar>
              <w:top w:w="120" w:type="dxa"/>
              <w:bottom w:w="120" w:type="dxa"/>
              <w:left w:w="150" w:type="dxa"/>
              <w:right w:w="150" w:type="dxa"/>
            </w:tcMar>
          </w:tcPr>
          <w:p>
            <w:pPr>
              <w:jc w:val="left"/>
            </w:pPr>
            <w:r/>
            <w:r>
              <w:rPr>
                <w:rFonts w:ascii="Arial" w:hAnsi="Arial"/>
                <w:rFonts w:ascii="Arial" w:hAnsi="Arial"/>
                <w:b w:val="0"/>
                <w:i w:val="0"/>
                <w:color w:val="333333"/>
                <w:sz w:val="19"/>
              </w:rPr>
              <w:t>Las plataformas de lectura existentes ofrecen únicamente texto estático sin ningún tipo de interactividad, retroalimentación o acompañamiento.</w:t>
            </w:r>
          </w:p>
        </w:tc>
      </w:tr>
      <w:tr>
        <w:trPr>
          <w:cantSplit/>
        </w:trPr>
        <w:tc>
          <w:tcPr>
            <w:tcW w:type="dxa" w:w="2880"/>
            <w:shd w:fill="FFFFFF"/>
            <w:vAlign w:val="center"/>
            <w:tcMar>
              <w:top w:w="120" w:type="dxa"/>
              <w:bottom w:w="120" w:type="dxa"/>
              <w:left w:w="150" w:type="dxa"/>
              <w:right w:w="150" w:type="dxa"/>
            </w:tcMar>
          </w:tcPr>
          <w:p>
            <w:pPr>
              <w:jc w:val="left"/>
            </w:pPr>
            <w:r/>
            <w:r>
              <w:rPr>
                <w:rFonts w:ascii="Arial" w:hAnsi="Arial"/>
                <w:rFonts w:ascii="Arial" w:hAnsi="Arial"/>
                <w:b/>
                <w:i w:val="0"/>
                <w:color w:val="333333"/>
                <w:sz w:val="19"/>
              </w:rPr>
              <w:t>C2. Falta de contexto accesible</w:t>
            </w:r>
          </w:p>
        </w:tc>
        <w:tc>
          <w:tcPr>
            <w:tcW w:type="dxa" w:w="6480"/>
            <w:shd w:fill="FFFFFF"/>
            <w:vAlign w:val="center"/>
            <w:tcMar>
              <w:top w:w="120" w:type="dxa"/>
              <w:bottom w:w="120" w:type="dxa"/>
              <w:left w:w="150" w:type="dxa"/>
              <w:right w:w="150" w:type="dxa"/>
            </w:tcMar>
          </w:tcPr>
          <w:p>
            <w:pPr>
              <w:jc w:val="left"/>
            </w:pPr>
            <w:r/>
            <w:r>
              <w:rPr>
                <w:rFonts w:ascii="Arial" w:hAnsi="Arial"/>
                <w:rFonts w:ascii="Arial" w:hAnsi="Arial"/>
                <w:b w:val="0"/>
                <w:i w:val="0"/>
                <w:color w:val="333333"/>
                <w:sz w:val="19"/>
              </w:rPr>
              <w:t>El lector moderno no tiene fácil acceso a análisis literario, contexto histórico o explicaciones de vocabulario mientras lee, lo que genera fricción y abandono de la lectura.</w:t>
            </w:r>
          </w:p>
        </w:tc>
      </w:tr>
      <w:tr>
        <w:trPr>
          <w:cantSplit/>
        </w:trPr>
        <w:tc>
          <w:tcPr>
            <w:tcW w:type="dxa" w:w="2880"/>
            <w:shd w:fill="F9FBFD"/>
            <w:vAlign w:val="center"/>
            <w:tcMar>
              <w:top w:w="120" w:type="dxa"/>
              <w:bottom w:w="120" w:type="dxa"/>
              <w:left w:w="150" w:type="dxa"/>
              <w:right w:w="150" w:type="dxa"/>
            </w:tcMar>
          </w:tcPr>
          <w:p>
            <w:pPr>
              <w:jc w:val="left"/>
            </w:pPr>
            <w:r/>
            <w:r>
              <w:rPr>
                <w:rFonts w:ascii="Arial" w:hAnsi="Arial"/>
                <w:rFonts w:ascii="Arial" w:hAnsi="Arial"/>
                <w:b/>
                <w:i w:val="0"/>
                <w:color w:val="333333"/>
                <w:sz w:val="19"/>
              </w:rPr>
              <w:t>C3. Competencia de medios de alto estímulo</w:t>
            </w:r>
          </w:p>
        </w:tc>
        <w:tc>
          <w:tcPr>
            <w:tcW w:type="dxa" w:w="6480"/>
            <w:shd w:fill="F9FBFD"/>
            <w:vAlign w:val="center"/>
            <w:tcMar>
              <w:top w:w="120" w:type="dxa"/>
              <w:bottom w:w="120" w:type="dxa"/>
              <w:left w:w="150" w:type="dxa"/>
              <w:right w:w="150" w:type="dxa"/>
            </w:tcMar>
          </w:tcPr>
          <w:p>
            <w:pPr>
              <w:jc w:val="left"/>
            </w:pPr>
            <w:r/>
            <w:r>
              <w:rPr>
                <w:rFonts w:ascii="Arial" w:hAnsi="Arial"/>
                <w:rFonts w:ascii="Arial" w:hAnsi="Arial"/>
                <w:b w:val="0"/>
                <w:i w:val="0"/>
                <w:color w:val="333333"/>
                <w:sz w:val="19"/>
              </w:rPr>
              <w:t>Las redes sociales, videojuegos y plataformas de streaming ofrecen recompensas inmediatas y retroalimentación constante, haciendo que la lectura pasiva sea percibida como lenta y aburrida.</w:t>
            </w:r>
          </w:p>
        </w:tc>
      </w:tr>
      <w:tr>
        <w:trPr>
          <w:cantSplit/>
        </w:trPr>
        <w:tc>
          <w:tcPr>
            <w:tcW w:type="dxa" w:w="2880"/>
            <w:shd w:fill="FFFFFF"/>
            <w:vAlign w:val="center"/>
            <w:tcMar>
              <w:top w:w="120" w:type="dxa"/>
              <w:bottom w:w="120" w:type="dxa"/>
              <w:left w:w="150" w:type="dxa"/>
              <w:right w:w="150" w:type="dxa"/>
            </w:tcMar>
          </w:tcPr>
          <w:p>
            <w:pPr>
              <w:jc w:val="left"/>
            </w:pPr>
            <w:r/>
            <w:r>
              <w:rPr>
                <w:rFonts w:ascii="Arial" w:hAnsi="Arial"/>
                <w:rFonts w:ascii="Arial" w:hAnsi="Arial"/>
                <w:b/>
                <w:i w:val="0"/>
                <w:color w:val="333333"/>
                <w:sz w:val="19"/>
              </w:rPr>
              <w:t>C4. Formatos anticuados</w:t>
            </w:r>
          </w:p>
        </w:tc>
        <w:tc>
          <w:tcPr>
            <w:tcW w:type="dxa" w:w="6480"/>
            <w:shd w:fill="FFFFFF"/>
            <w:vAlign w:val="center"/>
            <w:tcMar>
              <w:top w:w="120" w:type="dxa"/>
              <w:bottom w:w="120" w:type="dxa"/>
              <w:left w:w="150" w:type="dxa"/>
              <w:right w:w="150" w:type="dxa"/>
            </w:tcMar>
          </w:tcPr>
          <w:p>
            <w:pPr>
              <w:jc w:val="left"/>
            </w:pPr>
            <w:r/>
            <w:r>
              <w:rPr>
                <w:rFonts w:ascii="Arial" w:hAnsi="Arial"/>
                <w:rFonts w:ascii="Arial" w:hAnsi="Arial"/>
                <w:b w:val="0"/>
                <w:i w:val="0"/>
                <w:color w:val="333333"/>
                <w:sz w:val="19"/>
              </w:rPr>
              <w:t>Los archivos de obras de dominio público (Project Gutenberg, elejandria) están disponibles en formatos crudos sin diseño, sin tipografía legible y sin adaptación al consumo móvil.</w:t>
            </w:r>
          </w:p>
        </w:tc>
      </w:tr>
      <w:tr>
        <w:trPr>
          <w:cantSplit/>
        </w:trPr>
        <w:tc>
          <w:tcPr>
            <w:tcW w:type="dxa" w:w="2880"/>
            <w:shd w:fill="F9FBFD"/>
            <w:vAlign w:val="center"/>
            <w:tcMar>
              <w:top w:w="120" w:type="dxa"/>
              <w:bottom w:w="120" w:type="dxa"/>
              <w:left w:w="150" w:type="dxa"/>
              <w:right w:w="150" w:type="dxa"/>
            </w:tcMar>
          </w:tcPr>
          <w:p>
            <w:pPr>
              <w:jc w:val="left"/>
            </w:pPr>
            <w:r/>
            <w:r>
              <w:rPr>
                <w:rFonts w:ascii="Arial" w:hAnsi="Arial"/>
                <w:rFonts w:ascii="Arial" w:hAnsi="Arial"/>
                <w:b/>
                <w:i w:val="0"/>
                <w:color w:val="333333"/>
                <w:sz w:val="19"/>
              </w:rPr>
              <w:t>C5. Ausencia de incentivos</w:t>
            </w:r>
          </w:p>
        </w:tc>
        <w:tc>
          <w:tcPr>
            <w:tcW w:type="dxa" w:w="6480"/>
            <w:shd w:fill="F9FBFD"/>
            <w:vAlign w:val="center"/>
            <w:tcMar>
              <w:top w:w="120" w:type="dxa"/>
              <w:bottom w:w="120" w:type="dxa"/>
              <w:left w:w="150" w:type="dxa"/>
              <w:right w:w="150" w:type="dxa"/>
            </w:tcMar>
          </w:tcPr>
          <w:p>
            <w:pPr>
              <w:jc w:val="left"/>
            </w:pPr>
            <w:r/>
            <w:r>
              <w:rPr>
                <w:rFonts w:ascii="Arial" w:hAnsi="Arial"/>
                <w:rFonts w:ascii="Arial" w:hAnsi="Arial"/>
                <w:b w:val="0"/>
                <w:i w:val="0"/>
                <w:color w:val="333333"/>
                <w:sz w:val="19"/>
              </w:rPr>
              <w:t>No existe un sistema de recompensas o progresión que motive al lector a continuar o completar obras literarias.</w:t>
            </w:r>
          </w:p>
        </w:tc>
      </w:tr>
    </w:tbl>
    <w:p>
      <w:pPr>
        <w:spacing w:line="276" w:lineRule="auto" w:after="160"/>
      </w:pPr>
    </w:p>
    <w:p>
      <w:pPr>
        <w:spacing w:line="276" w:lineRule="auto" w:after="120"/>
      </w:pPr>
      <w:r>
        <w:rPr>
          <w:rFonts w:ascii="Arial" w:hAnsi="Arial"/>
          <w:rFonts w:ascii="Arial" w:hAnsi="Arial"/>
          <w:b/>
          <w:i w:val="0"/>
          <w:color w:val="333333"/>
          <w:sz w:val="22"/>
        </w:rPr>
        <w:t>Efectos:</w:t>
      </w:r>
    </w:p>
    <w:tbl>
      <w:tblPr>
        <w:tblW w:type="auto" w:w="0"/>
        <w:tblLook w:firstColumn="1" w:firstRow="1" w:lastColumn="0" w:lastRow="0" w:noHBand="0" w:noVBand="1" w:val="04A0"/>
        <w:jc w:val="center"/>
        <w:tblBorders>
          <w:top w:val="single" w:sz="4" w:space="0" w:color="D3D3D3"/>
          <w:bottom w:val="single" w:sz="4" w:space="0" w:color="D3D3D3"/>
          <w:left w:val="none"/>
          <w:right w:val="none"/>
          <w:insideH w:val="single" w:sz="4" w:space="0" w:color="D3D3D3"/>
          <w:insideV w:val="none"/>
        </w:tblBorders>
      </w:tblPr>
      <w:tblGrid>
        <w:gridCol w:w="2880"/>
        <w:gridCol w:w="6480"/>
      </w:tblGrid>
      <w:tr>
        <w:trPr>
          <w:cantSplit/>
          <w:tblHeader/>
        </w:trPr>
        <w:tc>
          <w:tcPr>
            <w:tcW w:type="dxa" w:w="2880"/>
            <w:shd w:fill="1F4E78"/>
            <w:vAlign w:val="center"/>
            <w:tcMar>
              <w:top w:w="120" w:type="dxa"/>
              <w:bottom w:w="120" w:type="dxa"/>
              <w:left w:w="150" w:type="dxa"/>
              <w:right w:w="150" w:type="dxa"/>
            </w:tcMar>
          </w:tcPr>
          <w:p>
            <w:pPr>
              <w:jc w:val="left"/>
            </w:pPr>
            <w:r/>
            <w:r>
              <w:rPr>
                <w:rFonts w:ascii="Arial" w:hAnsi="Arial"/>
                <w:rFonts w:ascii="Arial" w:hAnsi="Arial"/>
                <w:b/>
                <w:i w:val="0"/>
                <w:color w:val="FFFFFF"/>
                <w:sz w:val="19"/>
              </w:rPr>
              <w:t>Efecto</w:t>
            </w:r>
          </w:p>
        </w:tc>
        <w:tc>
          <w:tcPr>
            <w:tcW w:type="dxa" w:w="6480"/>
            <w:shd w:fill="1F4E78"/>
            <w:vAlign w:val="center"/>
            <w:tcMar>
              <w:top w:w="120" w:type="dxa"/>
              <w:bottom w:w="120" w:type="dxa"/>
              <w:left w:w="150" w:type="dxa"/>
              <w:right w:w="150" w:type="dxa"/>
            </w:tcMar>
          </w:tcPr>
          <w:p>
            <w:pPr>
              <w:jc w:val="left"/>
            </w:pPr>
            <w:r/>
            <w:r>
              <w:rPr>
                <w:rFonts w:ascii="Arial" w:hAnsi="Arial"/>
                <w:rFonts w:ascii="Arial" w:hAnsi="Arial"/>
                <w:b/>
                <w:i w:val="0"/>
                <w:color w:val="FFFFFF"/>
                <w:sz w:val="19"/>
              </w:rPr>
              <w:t>Descripción</w:t>
            </w:r>
          </w:p>
        </w:tc>
      </w:tr>
      <w:tr>
        <w:trPr>
          <w:cantSplit/>
        </w:trPr>
        <w:tc>
          <w:tcPr>
            <w:tcW w:type="dxa" w:w="2880"/>
            <w:shd w:fill="F9FBFD"/>
            <w:vAlign w:val="center"/>
            <w:tcMar>
              <w:top w:w="120" w:type="dxa"/>
              <w:bottom w:w="120" w:type="dxa"/>
              <w:left w:w="150" w:type="dxa"/>
              <w:right w:w="150" w:type="dxa"/>
            </w:tcMar>
          </w:tcPr>
          <w:p>
            <w:pPr>
              <w:jc w:val="left"/>
            </w:pPr>
            <w:r/>
            <w:r>
              <w:rPr>
                <w:rFonts w:ascii="Arial" w:hAnsi="Arial"/>
                <w:rFonts w:ascii="Arial" w:hAnsi="Arial"/>
                <w:b/>
                <w:i w:val="0"/>
                <w:color w:val="333333"/>
                <w:sz w:val="19"/>
              </w:rPr>
              <w:t>E1. Abandono de lectura</w:t>
            </w:r>
          </w:p>
        </w:tc>
        <w:tc>
          <w:tcPr>
            <w:tcW w:type="dxa" w:w="6480"/>
            <w:shd w:fill="F9FBFD"/>
            <w:vAlign w:val="center"/>
            <w:tcMar>
              <w:top w:w="120" w:type="dxa"/>
              <w:bottom w:w="120" w:type="dxa"/>
              <w:left w:w="150" w:type="dxa"/>
              <w:right w:w="150" w:type="dxa"/>
            </w:tcMar>
          </w:tcPr>
          <w:p>
            <w:pPr>
              <w:jc w:val="left"/>
            </w:pPr>
            <w:r/>
            <w:r>
              <w:rPr>
                <w:rFonts w:ascii="Arial" w:hAnsi="Arial"/>
                <w:rFonts w:ascii="Arial" w:hAnsi="Arial"/>
                <w:b w:val="0"/>
                <w:i w:val="0"/>
                <w:color w:val="333333"/>
                <w:sz w:val="19"/>
              </w:rPr>
              <w:t>El lector inicia obras pero no las termina, generando baja retención en las plataformas.</w:t>
            </w:r>
          </w:p>
        </w:tc>
      </w:tr>
      <w:tr>
        <w:trPr>
          <w:cantSplit/>
        </w:trPr>
        <w:tc>
          <w:tcPr>
            <w:tcW w:type="dxa" w:w="2880"/>
            <w:shd w:fill="FFFFFF"/>
            <w:vAlign w:val="center"/>
            <w:tcMar>
              <w:top w:w="120" w:type="dxa"/>
              <w:bottom w:w="120" w:type="dxa"/>
              <w:left w:w="150" w:type="dxa"/>
              <w:right w:w="150" w:type="dxa"/>
            </w:tcMar>
          </w:tcPr>
          <w:p>
            <w:pPr>
              <w:jc w:val="left"/>
            </w:pPr>
            <w:r/>
            <w:r>
              <w:rPr>
                <w:rFonts w:ascii="Arial" w:hAnsi="Arial"/>
                <w:rFonts w:ascii="Arial" w:hAnsi="Arial"/>
                <w:b/>
                <w:i w:val="0"/>
                <w:color w:val="333333"/>
                <w:sz w:val="19"/>
              </w:rPr>
              <w:t>E2. Baja comprensión profunda</w:t>
            </w:r>
          </w:p>
        </w:tc>
        <w:tc>
          <w:tcPr>
            <w:tcW w:type="dxa" w:w="6480"/>
            <w:shd w:fill="FFFFFF"/>
            <w:vAlign w:val="center"/>
            <w:tcMar>
              <w:top w:w="120" w:type="dxa"/>
              <w:bottom w:w="120" w:type="dxa"/>
              <w:left w:w="150" w:type="dxa"/>
              <w:right w:w="150" w:type="dxa"/>
            </w:tcMar>
          </w:tcPr>
          <w:p>
            <w:pPr>
              <w:jc w:val="left"/>
            </w:pPr>
            <w:r/>
            <w:r>
              <w:rPr>
                <w:rFonts w:ascii="Arial" w:hAnsi="Arial"/>
                <w:rFonts w:ascii="Arial" w:hAnsi="Arial"/>
                <w:b w:val="0"/>
                <w:i w:val="0"/>
                <w:color w:val="333333"/>
                <w:sz w:val="19"/>
              </w:rPr>
              <w:t>Sin acompañamiento ni contexto, el lector no extrae el valor real de la obra literaria.</w:t>
            </w:r>
          </w:p>
        </w:tc>
      </w:tr>
      <w:tr>
        <w:trPr>
          <w:cantSplit/>
        </w:trPr>
        <w:tc>
          <w:tcPr>
            <w:tcW w:type="dxa" w:w="2880"/>
            <w:shd w:fill="F9FBFD"/>
            <w:vAlign w:val="center"/>
            <w:tcMar>
              <w:top w:w="120" w:type="dxa"/>
              <w:bottom w:w="120" w:type="dxa"/>
              <w:left w:w="150" w:type="dxa"/>
              <w:right w:w="150" w:type="dxa"/>
            </w:tcMar>
          </w:tcPr>
          <w:p>
            <w:pPr>
              <w:jc w:val="left"/>
            </w:pPr>
            <w:r/>
            <w:r>
              <w:rPr>
                <w:rFonts w:ascii="Arial" w:hAnsi="Arial"/>
                <w:rFonts w:ascii="Arial" w:hAnsi="Arial"/>
                <w:b/>
                <w:i w:val="0"/>
                <w:color w:val="333333"/>
                <w:sz w:val="19"/>
              </w:rPr>
              <w:t>E3. Desinterés en literatura clásica</w:t>
            </w:r>
          </w:p>
        </w:tc>
        <w:tc>
          <w:tcPr>
            <w:tcW w:type="dxa" w:w="6480"/>
            <w:shd w:fill="F9FBFD"/>
            <w:vAlign w:val="center"/>
            <w:tcMar>
              <w:top w:w="120" w:type="dxa"/>
              <w:bottom w:w="120" w:type="dxa"/>
              <w:left w:w="150" w:type="dxa"/>
              <w:right w:w="150" w:type="dxa"/>
            </w:tcMar>
          </w:tcPr>
          <w:p>
            <w:pPr>
              <w:jc w:val="left"/>
            </w:pPr>
            <w:r/>
            <w:r>
              <w:rPr>
                <w:rFonts w:ascii="Arial" w:hAnsi="Arial"/>
                <w:rFonts w:ascii="Arial" w:hAnsi="Arial"/>
                <w:b w:val="0"/>
                <w:i w:val="0"/>
                <w:color w:val="333333"/>
                <w:sz w:val="19"/>
              </w:rPr>
              <w:t>La literatura de dominio público (Kafka, Wilde, Poe) es percibida como anticuada e inaccesible para el público joven.</w:t>
            </w:r>
          </w:p>
        </w:tc>
      </w:tr>
      <w:tr>
        <w:trPr>
          <w:cantSplit/>
        </w:trPr>
        <w:tc>
          <w:tcPr>
            <w:tcW w:type="dxa" w:w="2880"/>
            <w:shd w:fill="FFFFFF"/>
            <w:vAlign w:val="center"/>
            <w:tcMar>
              <w:top w:w="120" w:type="dxa"/>
              <w:bottom w:w="120" w:type="dxa"/>
              <w:left w:w="150" w:type="dxa"/>
              <w:right w:w="150" w:type="dxa"/>
            </w:tcMar>
          </w:tcPr>
          <w:p>
            <w:pPr>
              <w:jc w:val="left"/>
            </w:pPr>
            <w:r/>
            <w:r>
              <w:rPr>
                <w:rFonts w:ascii="Arial" w:hAnsi="Arial"/>
                <w:rFonts w:ascii="Arial" w:hAnsi="Arial"/>
                <w:b/>
                <w:i w:val="0"/>
                <w:color w:val="333333"/>
                <w:sz w:val="19"/>
              </w:rPr>
              <w:t>E4. Oportunidad económica desaprovechada</w:t>
            </w:r>
          </w:p>
        </w:tc>
        <w:tc>
          <w:tcPr>
            <w:tcW w:type="dxa" w:w="6480"/>
            <w:shd w:fill="FFFFFF"/>
            <w:vAlign w:val="center"/>
            <w:tcMar>
              <w:top w:w="120" w:type="dxa"/>
              <w:bottom w:w="120" w:type="dxa"/>
              <w:left w:w="150" w:type="dxa"/>
              <w:right w:w="150" w:type="dxa"/>
            </w:tcMar>
          </w:tcPr>
          <w:p>
            <w:pPr>
              <w:jc w:val="left"/>
            </w:pPr>
            <w:r/>
            <w:r>
              <w:rPr>
                <w:rFonts w:ascii="Arial" w:hAnsi="Arial"/>
                <w:rFonts w:ascii="Arial" w:hAnsi="Arial"/>
                <w:b w:val="0"/>
                <w:i w:val="0"/>
                <w:color w:val="333333"/>
                <w:sz w:val="19"/>
              </w:rPr>
              <w:t>Las obras de dominio público son legalmente libres para ser explotadas comercialmente, pero pocas plataformas agregan valor suficiente para monetizarlas.</w:t>
            </w:r>
          </w:p>
        </w:tc>
      </w:tr>
    </w:tbl>
    <w:p>
      <w:pPr>
        <w:spacing w:line="276" w:lineRule="auto" w:after="160"/>
      </w:pPr>
    </w:p>
    <w:p>
      <w:pPr>
        <w:spacing w:before="160" w:after="160"/>
        <w:pBdr>
          <w:bottom w:val="single" w:sz="4" w:space="1" w:color="D3D3D3"/>
        </w:pBdr>
      </w:pPr>
    </w:p>
    <w:p>
      <w:pPr>
        <w:keepNext/>
        <w:spacing w:before="360" w:after="120"/>
      </w:pPr>
      <w:r>
        <w:rPr>
          <w:rFonts w:ascii="Arial" w:hAnsi="Arial"/>
          <w:rFonts w:ascii="Arial" w:hAnsi="Arial"/>
          <w:b/>
          <w:color w:val="1F4E78"/>
          <w:sz w:val="28"/>
        </w:rPr>
        <w:t>3. Diagrama de Ishikawa (Espina de Pescado)</w:t>
      </w:r>
    </w:p>
    <w:p>
      <w:pPr>
        <w:spacing w:before="240" w:after="120"/>
        <w:jc w:val="center"/>
      </w:pPr>
      <w:r>
        <w:drawing>
          <wp:inline xmlns:a="http://schemas.openxmlformats.org/drawingml/2006/main" xmlns:pic="http://schemas.openxmlformats.org/drawingml/2006/picture">
            <wp:extent cx="5486400" cy="5486400"/>
            <wp:docPr id="1" name="Picture 1"/>
            <wp:cNvGraphicFramePr>
              <a:graphicFrameLocks noChangeAspect="1"/>
            </wp:cNvGraphicFramePr>
            <a:graphic>
              <a:graphicData uri="http://schemas.openxmlformats.org/drawingml/2006/picture">
                <pic:pic>
                  <pic:nvPicPr>
                    <pic:cNvPr id="0" name="diagrama_ishikawa.png"/>
                    <pic:cNvPicPr/>
                  </pic:nvPicPr>
                  <pic:blipFill>
                    <a:blip r:embed="rId11"/>
                    <a:stretch>
                      <a:fillRect/>
                    </a:stretch>
                  </pic:blipFill>
                  <pic:spPr>
                    <a:xfrm>
                      <a:off x="0" y="0"/>
                      <a:ext cx="5486400" cy="5486400"/>
                    </a:xfrm>
                    <a:prstGeom prst="rect"/>
                  </pic:spPr>
                </pic:pic>
              </a:graphicData>
            </a:graphic>
          </wp:inline>
        </w:drawing>
      </w:r>
    </w:p>
    <w:p>
      <w:pPr>
        <w:spacing w:after="240"/>
        <w:jc w:val="center"/>
      </w:pPr>
      <w:r>
        <w:rPr>
          <w:rFonts w:ascii="Arial" w:hAnsi="Arial"/>
          <w:rFonts w:ascii="Arial" w:hAnsi="Arial"/>
          <w:b w:val="0"/>
          <w:i/>
          <w:color w:val="7F7F7F"/>
          <w:sz w:val="19"/>
        </w:rPr>
        <w:t>Figura: Diagrama de Ishikawa — Causas del Problema Central</w:t>
      </w:r>
    </w:p>
    <w:p>
      <w:pPr>
        <w:spacing w:line="276" w:lineRule="auto" w:after="120"/>
      </w:pPr>
      <w:r>
        <w:rPr>
          <w:rFonts w:ascii="Arial" w:hAnsi="Arial"/>
          <w:rFonts w:ascii="Arial" w:hAnsi="Arial"/>
          <w:b w:val="0"/>
          <w:i w:val="0"/>
          <w:color w:val="333333"/>
          <w:sz w:val="22"/>
        </w:rPr>
        <w:t>Las causas del problema central "Baja adherencia a la lectura digital de literatura clásica" se agrupan en las siguientes categorías:</w:t>
      </w:r>
    </w:p>
    <w:tbl>
      <w:tblPr>
        <w:tblW w:type="auto" w:w="0"/>
        <w:tblLook w:firstColumn="1" w:firstRow="1" w:lastColumn="0" w:lastRow="0" w:noHBand="0" w:noVBand="1" w:val="04A0"/>
        <w:jc w:val="center"/>
        <w:tblBorders>
          <w:top w:val="single" w:sz="4" w:space="0" w:color="D3D3D3"/>
          <w:bottom w:val="single" w:sz="4" w:space="0" w:color="D3D3D3"/>
          <w:left w:val="none"/>
          <w:right w:val="none"/>
          <w:insideH w:val="single" w:sz="4" w:space="0" w:color="D3D3D3"/>
          <w:insideV w:val="none"/>
        </w:tblBorders>
      </w:tblPr>
      <w:tblGrid>
        <w:gridCol w:w="2880"/>
        <w:gridCol w:w="6480"/>
      </w:tblGrid>
      <w:tr>
        <w:trPr>
          <w:cantSplit/>
          <w:tblHeader/>
        </w:trPr>
        <w:tc>
          <w:tcPr>
            <w:tcW w:type="dxa" w:w="2880"/>
            <w:shd w:fill="1F4E78"/>
            <w:vAlign w:val="center"/>
            <w:tcMar>
              <w:top w:w="120" w:type="dxa"/>
              <w:bottom w:w="120" w:type="dxa"/>
              <w:left w:w="150" w:type="dxa"/>
              <w:right w:w="150" w:type="dxa"/>
            </w:tcMar>
          </w:tcPr>
          <w:p>
            <w:pPr>
              <w:jc w:val="left"/>
            </w:pPr>
            <w:r/>
            <w:r>
              <w:rPr>
                <w:rFonts w:ascii="Arial" w:hAnsi="Arial"/>
                <w:rFonts w:ascii="Arial" w:hAnsi="Arial"/>
                <w:b/>
                <w:i w:val="0"/>
                <w:color w:val="FFFFFF"/>
                <w:sz w:val="19"/>
              </w:rPr>
              <w:t>Categoría</w:t>
            </w:r>
          </w:p>
        </w:tc>
        <w:tc>
          <w:tcPr>
            <w:tcW w:type="dxa" w:w="6480"/>
            <w:shd w:fill="1F4E78"/>
            <w:vAlign w:val="center"/>
            <w:tcMar>
              <w:top w:w="120" w:type="dxa"/>
              <w:bottom w:w="120" w:type="dxa"/>
              <w:left w:w="150" w:type="dxa"/>
              <w:right w:w="150" w:type="dxa"/>
            </w:tcMar>
          </w:tcPr>
          <w:p>
            <w:pPr>
              <w:jc w:val="left"/>
            </w:pPr>
            <w:r/>
            <w:r>
              <w:rPr>
                <w:rFonts w:ascii="Arial" w:hAnsi="Arial"/>
                <w:rFonts w:ascii="Arial" w:hAnsi="Arial"/>
                <w:b/>
                <w:i w:val="0"/>
                <w:color w:val="FFFFFF"/>
                <w:sz w:val="19"/>
              </w:rPr>
              <w:t>Causas Identificadas</w:t>
            </w:r>
          </w:p>
        </w:tc>
      </w:tr>
      <w:tr>
        <w:trPr>
          <w:cantSplit/>
        </w:trPr>
        <w:tc>
          <w:tcPr>
            <w:tcW w:type="dxa" w:w="2880"/>
            <w:shd w:fill="F9FBFD"/>
            <w:vAlign w:val="center"/>
            <w:tcMar>
              <w:top w:w="120" w:type="dxa"/>
              <w:bottom w:w="120" w:type="dxa"/>
              <w:left w:w="150" w:type="dxa"/>
              <w:right w:w="150" w:type="dxa"/>
            </w:tcMar>
          </w:tcPr>
          <w:p>
            <w:pPr>
              <w:jc w:val="left"/>
            </w:pPr>
            <w:r/>
            <w:r>
              <w:rPr>
                <w:rFonts w:ascii="Arial" w:hAnsi="Arial"/>
                <w:rFonts w:ascii="Arial" w:hAnsi="Arial"/>
                <w:b/>
                <w:i w:val="0"/>
                <w:color w:val="333333"/>
                <w:sz w:val="19"/>
              </w:rPr>
              <w:t>Tecnología</w:t>
            </w:r>
          </w:p>
        </w:tc>
        <w:tc>
          <w:tcPr>
            <w:tcW w:type="dxa" w:w="6480"/>
            <w:shd w:fill="F9FBFD"/>
            <w:vAlign w:val="center"/>
            <w:tcMar>
              <w:top w:w="120" w:type="dxa"/>
              <w:bottom w:w="120" w:type="dxa"/>
              <w:left w:w="150" w:type="dxa"/>
              <w:right w:w="150" w:type="dxa"/>
            </w:tcMar>
          </w:tcPr>
          <w:p>
            <w:pPr>
              <w:jc w:val="left"/>
            </w:pPr>
            <w:r/>
            <w:r>
              <w:rPr>
                <w:rFonts w:ascii="Arial" w:hAnsi="Arial"/>
                <w:rFonts w:ascii="Arial" w:hAnsi="Arial"/>
                <w:b w:val="0"/>
                <w:i w:val="0"/>
                <w:color w:val="333333"/>
                <w:sz w:val="19"/>
              </w:rPr>
              <w:t>Formatos de archivo crudos sin diseño. Falta de adaptación móvil. Sin integración de IA o multimedia.</w:t>
            </w:r>
          </w:p>
        </w:tc>
      </w:tr>
      <w:tr>
        <w:trPr>
          <w:cantSplit/>
        </w:trPr>
        <w:tc>
          <w:tcPr>
            <w:tcW w:type="dxa" w:w="2880"/>
            <w:shd w:fill="FFFFFF"/>
            <w:vAlign w:val="center"/>
            <w:tcMar>
              <w:top w:w="120" w:type="dxa"/>
              <w:bottom w:w="120" w:type="dxa"/>
              <w:left w:w="150" w:type="dxa"/>
              <w:right w:w="150" w:type="dxa"/>
            </w:tcMar>
          </w:tcPr>
          <w:p>
            <w:pPr>
              <w:jc w:val="left"/>
            </w:pPr>
            <w:r/>
            <w:r>
              <w:rPr>
                <w:rFonts w:ascii="Arial" w:hAnsi="Arial"/>
                <w:rFonts w:ascii="Arial" w:hAnsi="Arial"/>
                <w:b/>
                <w:i w:val="0"/>
                <w:color w:val="333333"/>
                <w:sz w:val="19"/>
              </w:rPr>
              <w:t>Plataforma</w:t>
            </w:r>
          </w:p>
        </w:tc>
        <w:tc>
          <w:tcPr>
            <w:tcW w:type="dxa" w:w="6480"/>
            <w:shd w:fill="FFFFFF"/>
            <w:vAlign w:val="center"/>
            <w:tcMar>
              <w:top w:w="120" w:type="dxa"/>
              <w:bottom w:w="120" w:type="dxa"/>
              <w:left w:w="150" w:type="dxa"/>
              <w:right w:w="150" w:type="dxa"/>
            </w:tcMar>
          </w:tcPr>
          <w:p>
            <w:pPr>
              <w:jc w:val="left"/>
            </w:pPr>
            <w:r/>
            <w:r>
              <w:rPr>
                <w:rFonts w:ascii="Arial" w:hAnsi="Arial"/>
                <w:rFonts w:ascii="Arial" w:hAnsi="Arial"/>
                <w:b w:val="0"/>
                <w:i w:val="0"/>
                <w:color w:val="333333"/>
                <w:sz w:val="19"/>
              </w:rPr>
              <w:t>Experiencia de usuario pasiva. Sin sistema de recomendaciones personalizadas. Sin gamificación.</w:t>
            </w:r>
          </w:p>
        </w:tc>
      </w:tr>
      <w:tr>
        <w:trPr>
          <w:cantSplit/>
        </w:trPr>
        <w:tc>
          <w:tcPr>
            <w:tcW w:type="dxa" w:w="2880"/>
            <w:shd w:fill="F9FBFD"/>
            <w:vAlign w:val="center"/>
            <w:tcMar>
              <w:top w:w="120" w:type="dxa"/>
              <w:bottom w:w="120" w:type="dxa"/>
              <w:left w:w="150" w:type="dxa"/>
              <w:right w:w="150" w:type="dxa"/>
            </w:tcMar>
          </w:tcPr>
          <w:p>
            <w:pPr>
              <w:jc w:val="left"/>
            </w:pPr>
            <w:r/>
            <w:r>
              <w:rPr>
                <w:rFonts w:ascii="Arial" w:hAnsi="Arial"/>
                <w:rFonts w:ascii="Arial" w:hAnsi="Arial"/>
                <w:b/>
                <w:i w:val="0"/>
                <w:color w:val="333333"/>
                <w:sz w:val="19"/>
              </w:rPr>
              <w:t>Contenido</w:t>
            </w:r>
          </w:p>
        </w:tc>
        <w:tc>
          <w:tcPr>
            <w:tcW w:type="dxa" w:w="6480"/>
            <w:shd w:fill="F9FBFD"/>
            <w:vAlign w:val="center"/>
            <w:tcMar>
              <w:top w:w="120" w:type="dxa"/>
              <w:bottom w:w="120" w:type="dxa"/>
              <w:left w:w="150" w:type="dxa"/>
              <w:right w:w="150" w:type="dxa"/>
            </w:tcMar>
          </w:tcPr>
          <w:p>
            <w:pPr>
              <w:jc w:val="left"/>
            </w:pPr>
            <w:r/>
            <w:r>
              <w:rPr>
                <w:rFonts w:ascii="Arial" w:hAnsi="Arial"/>
                <w:rFonts w:ascii="Arial" w:hAnsi="Arial"/>
                <w:b w:val="0"/>
                <w:i w:val="0"/>
                <w:color w:val="333333"/>
                <w:sz w:val="19"/>
              </w:rPr>
              <w:t>Falta de contexto y análisis accesible. Vocabulario complejo sin apoyo. Sin narración de audio.</w:t>
            </w:r>
          </w:p>
        </w:tc>
      </w:tr>
      <w:tr>
        <w:trPr>
          <w:cantSplit/>
        </w:trPr>
        <w:tc>
          <w:tcPr>
            <w:tcW w:type="dxa" w:w="2880"/>
            <w:shd w:fill="FFFFFF"/>
            <w:vAlign w:val="center"/>
            <w:tcMar>
              <w:top w:w="120" w:type="dxa"/>
              <w:bottom w:w="120" w:type="dxa"/>
              <w:left w:w="150" w:type="dxa"/>
              <w:right w:w="150" w:type="dxa"/>
            </w:tcMar>
          </w:tcPr>
          <w:p>
            <w:pPr>
              <w:jc w:val="left"/>
            </w:pPr>
            <w:r/>
            <w:r>
              <w:rPr>
                <w:rFonts w:ascii="Arial" w:hAnsi="Arial"/>
                <w:rFonts w:ascii="Arial" w:hAnsi="Arial"/>
                <w:b/>
                <w:i w:val="0"/>
                <w:color w:val="333333"/>
                <w:sz w:val="19"/>
              </w:rPr>
              <w:t>Mercado</w:t>
            </w:r>
          </w:p>
        </w:tc>
        <w:tc>
          <w:tcPr>
            <w:tcW w:type="dxa" w:w="6480"/>
            <w:shd w:fill="FFFFFF"/>
            <w:vAlign w:val="center"/>
            <w:tcMar>
              <w:top w:w="120" w:type="dxa"/>
              <w:bottom w:w="120" w:type="dxa"/>
              <w:left w:w="150" w:type="dxa"/>
              <w:right w:w="150" w:type="dxa"/>
            </w:tcMar>
          </w:tcPr>
          <w:p>
            <w:pPr>
              <w:jc w:val="left"/>
            </w:pPr>
            <w:r/>
            <w:r>
              <w:rPr>
                <w:rFonts w:ascii="Arial" w:hAnsi="Arial"/>
                <w:rFonts w:ascii="Arial" w:hAnsi="Arial"/>
                <w:b w:val="0"/>
                <w:i w:val="0"/>
                <w:color w:val="333333"/>
                <w:sz w:val="19"/>
              </w:rPr>
              <w:t>Competencia de medios de alto estímulo (streaming, redes sociales). Sin modelo de negocio atractivo para el usuario.</w:t>
            </w:r>
          </w:p>
        </w:tc>
      </w:tr>
      <w:tr>
        <w:trPr>
          <w:cantSplit/>
        </w:trPr>
        <w:tc>
          <w:tcPr>
            <w:tcW w:type="dxa" w:w="2880"/>
            <w:shd w:fill="F9FBFD"/>
            <w:vAlign w:val="center"/>
            <w:tcMar>
              <w:top w:w="120" w:type="dxa"/>
              <w:bottom w:w="120" w:type="dxa"/>
              <w:left w:w="150" w:type="dxa"/>
              <w:right w:w="150" w:type="dxa"/>
            </w:tcMar>
          </w:tcPr>
          <w:p>
            <w:pPr>
              <w:jc w:val="left"/>
            </w:pPr>
            <w:r/>
            <w:r>
              <w:rPr>
                <w:rFonts w:ascii="Arial" w:hAnsi="Arial"/>
                <w:rFonts w:ascii="Arial" w:hAnsi="Arial"/>
                <w:b/>
                <w:i w:val="0"/>
                <w:color w:val="333333"/>
                <w:sz w:val="19"/>
              </w:rPr>
              <w:t>Motivación</w:t>
            </w:r>
          </w:p>
        </w:tc>
        <w:tc>
          <w:tcPr>
            <w:tcW w:type="dxa" w:w="6480"/>
            <w:shd w:fill="F9FBFD"/>
            <w:vAlign w:val="center"/>
            <w:tcMar>
              <w:top w:w="120" w:type="dxa"/>
              <w:bottom w:w="120" w:type="dxa"/>
              <w:left w:w="150" w:type="dxa"/>
              <w:right w:w="150" w:type="dxa"/>
            </w:tcMar>
          </w:tcPr>
          <w:p>
            <w:pPr>
              <w:jc w:val="left"/>
            </w:pPr>
            <w:r/>
            <w:r>
              <w:rPr>
                <w:rFonts w:ascii="Arial" w:hAnsi="Arial"/>
                <w:rFonts w:ascii="Arial" w:hAnsi="Arial"/>
                <w:b w:val="0"/>
                <w:i w:val="0"/>
                <w:color w:val="333333"/>
                <w:sz w:val="19"/>
              </w:rPr>
              <w:t>Ausencia de incentivos o sistema de recompensas. Sin comunidad ni aspectos sociales.</w:t>
            </w:r>
          </w:p>
        </w:tc>
      </w:tr>
    </w:tbl>
    <w:p>
      <w:pPr>
        <w:spacing w:line="276" w:lineRule="auto" w:after="160"/>
      </w:pPr>
    </w:p>
    <w:p>
      <w:pPr>
        <w:spacing w:before="160" w:after="160"/>
        <w:pBdr>
          <w:bottom w:val="single" w:sz="4" w:space="1" w:color="D3D3D3"/>
        </w:pBdr>
      </w:pPr>
    </w:p>
    <w:p>
      <w:pPr>
        <w:keepNext/>
        <w:spacing w:before="360" w:after="120"/>
      </w:pPr>
      <w:r>
        <w:rPr>
          <w:rFonts w:ascii="Arial" w:hAnsi="Arial"/>
          <w:rFonts w:ascii="Arial" w:hAnsi="Arial"/>
          <w:b/>
          <w:color w:val="1F4E78"/>
          <w:sz w:val="28"/>
        </w:rPr>
        <w:t>4. Propuesta de Valor</w:t>
      </w:r>
    </w:p>
    <w:p>
      <w:pPr>
        <w:spacing w:line="276" w:lineRule="auto" w:after="120"/>
      </w:pPr>
      <w:r>
        <w:rPr>
          <w:rFonts w:ascii="Arial" w:hAnsi="Arial"/>
          <w:rFonts w:ascii="Arial" w:hAnsi="Arial"/>
          <w:b w:val="0"/>
          <w:i w:val="0"/>
          <w:color w:val="333333"/>
          <w:sz w:val="22"/>
        </w:rPr>
        <w:t>Literatus Novelist ataca directamente cada causa raíz identificada:</w:t>
      </w:r>
    </w:p>
    <w:tbl>
      <w:tblPr>
        <w:tblW w:type="auto" w:w="0"/>
        <w:tblLook w:firstColumn="1" w:firstRow="1" w:lastColumn="0" w:lastRow="0" w:noHBand="0" w:noVBand="1" w:val="04A0"/>
        <w:jc w:val="center"/>
        <w:tblBorders>
          <w:top w:val="single" w:sz="4" w:space="0" w:color="D3D3D3"/>
          <w:bottom w:val="single" w:sz="4" w:space="0" w:color="D3D3D3"/>
          <w:left w:val="none"/>
          <w:right w:val="none"/>
          <w:insideH w:val="single" w:sz="4" w:space="0" w:color="D3D3D3"/>
          <w:insideV w:val="none"/>
        </w:tblBorders>
      </w:tblPr>
      <w:tblGrid>
        <w:gridCol w:w="2880"/>
        <w:gridCol w:w="6480"/>
      </w:tblGrid>
      <w:tr>
        <w:trPr>
          <w:cantSplit/>
          <w:tblHeader/>
        </w:trPr>
        <w:tc>
          <w:tcPr>
            <w:tcW w:type="dxa" w:w="2880"/>
            <w:shd w:fill="1F4E78"/>
            <w:vAlign w:val="center"/>
            <w:tcMar>
              <w:top w:w="120" w:type="dxa"/>
              <w:bottom w:w="120" w:type="dxa"/>
              <w:left w:w="150" w:type="dxa"/>
              <w:right w:w="150" w:type="dxa"/>
            </w:tcMar>
          </w:tcPr>
          <w:p>
            <w:pPr>
              <w:jc w:val="left"/>
            </w:pPr>
            <w:r/>
            <w:r>
              <w:rPr>
                <w:rFonts w:ascii="Arial" w:hAnsi="Arial"/>
                <w:rFonts w:ascii="Arial" w:hAnsi="Arial"/>
                <w:b/>
                <w:i w:val="0"/>
                <w:color w:val="FFFFFF"/>
                <w:sz w:val="19"/>
              </w:rPr>
              <w:t>Causa Raíz</w:t>
            </w:r>
          </w:p>
        </w:tc>
        <w:tc>
          <w:tcPr>
            <w:tcW w:type="dxa" w:w="6480"/>
            <w:shd w:fill="1F4E78"/>
            <w:vAlign w:val="center"/>
            <w:tcMar>
              <w:top w:w="120" w:type="dxa"/>
              <w:bottom w:w="120" w:type="dxa"/>
              <w:left w:w="150" w:type="dxa"/>
              <w:right w:w="150" w:type="dxa"/>
            </w:tcMar>
          </w:tcPr>
          <w:p>
            <w:pPr>
              <w:jc w:val="left"/>
            </w:pPr>
            <w:r/>
            <w:r>
              <w:rPr>
                <w:rFonts w:ascii="Arial" w:hAnsi="Arial"/>
                <w:rFonts w:ascii="Arial" w:hAnsi="Arial"/>
                <w:b/>
                <w:i w:val="0"/>
                <w:color w:val="FFFFFF"/>
                <w:sz w:val="19"/>
              </w:rPr>
              <w:t>Solución Implementada</w:t>
            </w:r>
          </w:p>
        </w:tc>
      </w:tr>
      <w:tr>
        <w:trPr>
          <w:cantSplit/>
        </w:trPr>
        <w:tc>
          <w:tcPr>
            <w:tcW w:type="dxa" w:w="2880"/>
            <w:shd w:fill="F9FBFD"/>
            <w:vAlign w:val="center"/>
            <w:tcMar>
              <w:top w:w="120" w:type="dxa"/>
              <w:bottom w:w="120" w:type="dxa"/>
              <w:left w:w="150" w:type="dxa"/>
              <w:right w:w="150" w:type="dxa"/>
            </w:tcMar>
          </w:tcPr>
          <w:p>
            <w:pPr>
              <w:jc w:val="left"/>
            </w:pPr>
            <w:r/>
            <w:r>
              <w:rPr>
                <w:rFonts w:ascii="Arial" w:hAnsi="Arial"/>
                <w:rFonts w:ascii="Arial" w:hAnsi="Arial"/>
                <w:b/>
                <w:i w:val="0"/>
                <w:color w:val="333333"/>
                <w:sz w:val="19"/>
              </w:rPr>
              <w:t>C1. Experiencia pasiva</w:t>
            </w:r>
          </w:p>
        </w:tc>
        <w:tc>
          <w:tcPr>
            <w:tcW w:type="dxa" w:w="6480"/>
            <w:shd w:fill="F9FBFD"/>
            <w:vAlign w:val="center"/>
            <w:tcMar>
              <w:top w:w="120" w:type="dxa"/>
              <w:bottom w:w="120" w:type="dxa"/>
              <w:left w:w="150" w:type="dxa"/>
              <w:right w:w="150" w:type="dxa"/>
            </w:tcMar>
          </w:tcPr>
          <w:p>
            <w:pPr>
              <w:jc w:val="left"/>
            </w:pPr>
            <w:r/>
            <w:r>
              <w:rPr>
                <w:rFonts w:ascii="Arial" w:hAnsi="Arial"/>
                <w:rFonts w:ascii="Arial" w:hAnsi="Arial"/>
                <w:b w:val="0"/>
                <w:i w:val="0"/>
                <w:color w:val="333333"/>
                <w:sz w:val="19"/>
              </w:rPr>
              <w:t>Chat conversacional con personajes de IA (Gemini 2.0 Flash), narración TTS karaoke y avatares expresivos tipo manga.</w:t>
            </w:r>
          </w:p>
        </w:tc>
      </w:tr>
      <w:tr>
        <w:trPr>
          <w:cantSplit/>
        </w:trPr>
        <w:tc>
          <w:tcPr>
            <w:tcW w:type="dxa" w:w="2880"/>
            <w:shd w:fill="FFFFFF"/>
            <w:vAlign w:val="center"/>
            <w:tcMar>
              <w:top w:w="120" w:type="dxa"/>
              <w:bottom w:w="120" w:type="dxa"/>
              <w:left w:w="150" w:type="dxa"/>
              <w:right w:w="150" w:type="dxa"/>
            </w:tcMar>
          </w:tcPr>
          <w:p>
            <w:pPr>
              <w:jc w:val="left"/>
            </w:pPr>
            <w:r/>
            <w:r>
              <w:rPr>
                <w:rFonts w:ascii="Arial" w:hAnsi="Arial"/>
                <w:rFonts w:ascii="Arial" w:hAnsi="Arial"/>
                <w:b/>
                <w:i w:val="0"/>
                <w:color w:val="333333"/>
                <w:sz w:val="19"/>
              </w:rPr>
              <w:t>C2. Falta de contexto</w:t>
            </w:r>
          </w:p>
        </w:tc>
        <w:tc>
          <w:tcPr>
            <w:tcW w:type="dxa" w:w="6480"/>
            <w:shd w:fill="FFFFFF"/>
            <w:vAlign w:val="center"/>
            <w:tcMar>
              <w:top w:w="120" w:type="dxa"/>
              <w:bottom w:w="120" w:type="dxa"/>
              <w:left w:w="150" w:type="dxa"/>
              <w:right w:w="150" w:type="dxa"/>
            </w:tcMar>
          </w:tcPr>
          <w:p>
            <w:pPr>
              <w:jc w:val="left"/>
            </w:pPr>
            <w:r/>
            <w:r>
              <w:rPr>
                <w:rFonts w:ascii="Arial" w:hAnsi="Arial"/>
                <w:rFonts w:ascii="Arial" w:hAnsi="Arial"/>
                <w:b w:val="0"/>
                <w:i w:val="0"/>
                <w:color w:val="333333"/>
                <w:sz w:val="19"/>
              </w:rPr>
              <w:t>El avatar actúa como tutor literario en tiempo real, explicando el contexto, los personajes y los temas de la obra durante la conversación.</w:t>
            </w:r>
          </w:p>
        </w:tc>
      </w:tr>
      <w:tr>
        <w:trPr>
          <w:cantSplit/>
        </w:trPr>
        <w:tc>
          <w:tcPr>
            <w:tcW w:type="dxa" w:w="2880"/>
            <w:shd w:fill="F9FBFD"/>
            <w:vAlign w:val="center"/>
            <w:tcMar>
              <w:top w:w="120" w:type="dxa"/>
              <w:bottom w:w="120" w:type="dxa"/>
              <w:left w:w="150" w:type="dxa"/>
              <w:right w:w="150" w:type="dxa"/>
            </w:tcMar>
          </w:tcPr>
          <w:p>
            <w:pPr>
              <w:jc w:val="left"/>
            </w:pPr>
            <w:r/>
            <w:r>
              <w:rPr>
                <w:rFonts w:ascii="Arial" w:hAnsi="Arial"/>
                <w:rFonts w:ascii="Arial" w:hAnsi="Arial"/>
                <w:b/>
                <w:i w:val="0"/>
                <w:color w:val="333333"/>
                <w:sz w:val="19"/>
              </w:rPr>
              <w:t>C3. Competencia de medios</w:t>
            </w:r>
          </w:p>
        </w:tc>
        <w:tc>
          <w:tcPr>
            <w:tcW w:type="dxa" w:w="6480"/>
            <w:shd w:fill="F9FBFD"/>
            <w:vAlign w:val="center"/>
            <w:tcMar>
              <w:top w:w="120" w:type="dxa"/>
              <w:bottom w:w="120" w:type="dxa"/>
              <w:left w:w="150" w:type="dxa"/>
              <w:right w:w="150" w:type="dxa"/>
            </w:tcMar>
          </w:tcPr>
          <w:p>
            <w:pPr>
              <w:jc w:val="left"/>
            </w:pPr>
            <w:r/>
            <w:r>
              <w:rPr>
                <w:rFonts w:ascii="Arial" w:hAnsi="Arial"/>
                <w:rFonts w:ascii="Arial" w:hAnsi="Arial"/>
                <w:b w:val="0"/>
                <w:i w:val="0"/>
                <w:color w:val="333333"/>
                <w:sz w:val="19"/>
              </w:rPr>
              <w:t>Gamificación mediante el sistema de moneda "Tinta", recompensas por lectura y avatares animados que hacen la experiencia comparable a un videojuego de rol o novela visual.</w:t>
            </w:r>
          </w:p>
        </w:tc>
      </w:tr>
      <w:tr>
        <w:trPr>
          <w:cantSplit/>
        </w:trPr>
        <w:tc>
          <w:tcPr>
            <w:tcW w:type="dxa" w:w="2880"/>
            <w:shd w:fill="FFFFFF"/>
            <w:vAlign w:val="center"/>
            <w:tcMar>
              <w:top w:w="120" w:type="dxa"/>
              <w:bottom w:w="120" w:type="dxa"/>
              <w:left w:w="150" w:type="dxa"/>
              <w:right w:w="150" w:type="dxa"/>
            </w:tcMar>
          </w:tcPr>
          <w:p>
            <w:pPr>
              <w:jc w:val="left"/>
            </w:pPr>
            <w:r/>
            <w:r>
              <w:rPr>
                <w:rFonts w:ascii="Arial" w:hAnsi="Arial"/>
                <w:rFonts w:ascii="Arial" w:hAnsi="Arial"/>
                <w:b/>
                <w:i w:val="0"/>
                <w:color w:val="333333"/>
                <w:sz w:val="19"/>
              </w:rPr>
              <w:t>C4. Formatos anticuados</w:t>
            </w:r>
          </w:p>
        </w:tc>
        <w:tc>
          <w:tcPr>
            <w:tcW w:type="dxa" w:w="6480"/>
            <w:shd w:fill="FFFFFF"/>
            <w:vAlign w:val="center"/>
            <w:tcMar>
              <w:top w:w="120" w:type="dxa"/>
              <w:bottom w:w="120" w:type="dxa"/>
              <w:left w:w="150" w:type="dxa"/>
              <w:right w:w="150" w:type="dxa"/>
            </w:tcMar>
          </w:tcPr>
          <w:p>
            <w:pPr>
              <w:jc w:val="left"/>
            </w:pPr>
            <w:r/>
            <w:r>
              <w:rPr>
                <w:rFonts w:ascii="Arial" w:hAnsi="Arial"/>
                <w:rFonts w:ascii="Arial" w:hAnsi="Arial"/>
                <w:b w:val="0"/>
                <w:i w:val="0"/>
                <w:color w:val="333333"/>
                <w:sz w:val="19"/>
              </w:rPr>
              <w:t>Lector EPUB propio con tipografía premium, modo oscuro, diseño Glassmorphism y adaptación responsive para todos los dispositivos.</w:t>
            </w:r>
          </w:p>
        </w:tc>
      </w:tr>
      <w:tr>
        <w:trPr>
          <w:cantSplit/>
        </w:trPr>
        <w:tc>
          <w:tcPr>
            <w:tcW w:type="dxa" w:w="2880"/>
            <w:shd w:fill="F9FBFD"/>
            <w:vAlign w:val="center"/>
            <w:tcMar>
              <w:top w:w="120" w:type="dxa"/>
              <w:bottom w:w="120" w:type="dxa"/>
              <w:left w:w="150" w:type="dxa"/>
              <w:right w:w="150" w:type="dxa"/>
            </w:tcMar>
          </w:tcPr>
          <w:p>
            <w:pPr>
              <w:jc w:val="left"/>
            </w:pPr>
            <w:r/>
            <w:r>
              <w:rPr>
                <w:rFonts w:ascii="Arial" w:hAnsi="Arial"/>
                <w:rFonts w:ascii="Arial" w:hAnsi="Arial"/>
                <w:b/>
                <w:i w:val="0"/>
                <w:color w:val="333333"/>
                <w:sz w:val="19"/>
              </w:rPr>
              <w:t>C5. Ausencia de incentivos</w:t>
            </w:r>
          </w:p>
        </w:tc>
        <w:tc>
          <w:tcPr>
            <w:tcW w:type="dxa" w:w="6480"/>
            <w:shd w:fill="F9FBFD"/>
            <w:vAlign w:val="center"/>
            <w:tcMar>
              <w:top w:w="120" w:type="dxa"/>
              <w:bottom w:w="120" w:type="dxa"/>
              <w:left w:w="150" w:type="dxa"/>
              <w:right w:w="150" w:type="dxa"/>
            </w:tcMar>
          </w:tcPr>
          <w:p>
            <w:pPr>
              <w:jc w:val="left"/>
            </w:pPr>
            <w:r/>
            <w:r>
              <w:rPr>
                <w:rFonts w:ascii="Arial" w:hAnsi="Arial"/>
                <w:rFonts w:ascii="Arial" w:hAnsi="Arial"/>
                <w:b w:val="0"/>
                <w:i w:val="0"/>
                <w:color w:val="333333"/>
                <w:sz w:val="19"/>
              </w:rPr>
              <w:t>Sistema económico "La Taberna" con moneda virtual, contenido premium desbloqueado mediante uso, y pasarela de pagos real para monetización sostenible.</w:t>
            </w:r>
          </w:p>
        </w:tc>
      </w:tr>
    </w:tbl>
    <w:p>
      <w:pPr>
        <w:spacing w:line="276" w:lineRule="auto" w:after="160"/>
      </w:pPr>
    </w:p>
    <w:p>
      <w:pPr>
        <w:spacing w:before="160" w:after="160"/>
        <w:pBdr>
          <w:bottom w:val="single" w:sz="4" w:space="1" w:color="D3D3D3"/>
        </w:pBdr>
      </w:pPr>
    </w:p>
    <w:p>
      <w:pPr>
        <w:keepNext/>
        <w:spacing w:before="360" w:after="120"/>
      </w:pPr>
      <w:r>
        <w:rPr>
          <w:rFonts w:ascii="Arial" w:hAnsi="Arial"/>
          <w:rFonts w:ascii="Arial" w:hAnsi="Arial"/>
          <w:b/>
          <w:color w:val="1F4E78"/>
          <w:sz w:val="28"/>
        </w:rPr>
        <w:t>5. Validación del Mercado</w:t>
      </w:r>
    </w:p>
    <w:p>
      <w:pPr>
        <w:keepNext/>
        <w:spacing w:before="240" w:after="80"/>
      </w:pPr>
      <w:r>
        <w:rPr>
          <w:rFonts w:ascii="Arial" w:hAnsi="Arial"/>
          <w:rFonts w:ascii="Arial" w:hAnsi="Arial"/>
          <w:b/>
          <w:color w:val="1F4E78"/>
          <w:sz w:val="23"/>
        </w:rPr>
        <w:t>5.1 Segmento de Usuarios Objetivo</w:t>
      </w:r>
    </w:p>
    <w:p>
      <w:pPr>
        <w:spacing w:line="276" w:lineRule="auto" w:after="120"/>
      </w:pPr>
      <w:r>
        <w:rPr>
          <w:rFonts w:ascii="Arial" w:hAnsi="Arial"/>
          <w:rFonts w:ascii="Arial" w:hAnsi="Arial"/>
          <w:b/>
          <w:i w:val="0"/>
          <w:color w:val="333333"/>
          <w:sz w:val="22"/>
        </w:rPr>
        <w:t>Primario:</w:t>
      </w:r>
      <w:r>
        <w:rPr>
          <w:rFonts w:ascii="Arial" w:hAnsi="Arial"/>
          <w:rFonts w:ascii="Arial" w:hAnsi="Arial"/>
          <w:b w:val="0"/>
          <w:i w:val="0"/>
          <w:color w:val="333333"/>
          <w:sz w:val="22"/>
        </w:rPr>
        <w:t xml:space="preserve"> Lectores jóvenes de 18-35 años con experiencia en medios digitales y videojuegos, que tienen interés en la literatura pero buscan una experiencia más atractiva e interactiva que la ofrecida por plataformas tradicionales.</w:t>
      </w:r>
    </w:p>
    <w:p>
      <w:pPr>
        <w:spacing w:line="276" w:lineRule="auto" w:after="120"/>
      </w:pPr>
      <w:r>
        <w:rPr>
          <w:rFonts w:ascii="Arial" w:hAnsi="Arial"/>
          <w:rFonts w:ascii="Arial" w:hAnsi="Arial"/>
          <w:b/>
          <w:i w:val="0"/>
          <w:color w:val="333333"/>
          <w:sz w:val="22"/>
        </w:rPr>
        <w:t>Secundario:</w:t>
      </w:r>
      <w:r>
        <w:rPr>
          <w:rFonts w:ascii="Arial" w:hAnsi="Arial"/>
          <w:rFonts w:ascii="Arial" w:hAnsi="Arial"/>
          <w:b w:val="0"/>
          <w:i w:val="0"/>
          <w:color w:val="333333"/>
          <w:sz w:val="22"/>
        </w:rPr>
        <w:t xml:space="preserve"> Estudiantes universitarios y de educación media que necesitan acceder a obras literarias clásicas como parte de su currículum académico y valoran la disponibilidad gratuita del catálogo.</w:t>
      </w:r>
    </w:p>
    <w:p>
      <w:pPr>
        <w:spacing w:line="276" w:lineRule="auto" w:after="120"/>
      </w:pPr>
      <w:r>
        <w:rPr>
          <w:rFonts w:ascii="Arial" w:hAnsi="Arial"/>
          <w:rFonts w:ascii="Arial" w:hAnsi="Arial"/>
          <w:b/>
          <w:i w:val="0"/>
          <w:color w:val="333333"/>
          <w:sz w:val="22"/>
        </w:rPr>
        <w:t>Terciario:</w:t>
      </w:r>
      <w:r>
        <w:rPr>
          <w:rFonts w:ascii="Arial" w:hAnsi="Arial"/>
          <w:rFonts w:ascii="Arial" w:hAnsi="Arial"/>
          <w:b w:val="0"/>
          <w:i w:val="0"/>
          <w:color w:val="333333"/>
          <w:sz w:val="22"/>
        </w:rPr>
        <w:t xml:space="preserve"> Profesores, bibliotecas y instituciones educativas que buscan herramientas modernas para fomentar la lectura entre sus estudiantes.</w:t>
      </w:r>
    </w:p>
    <w:p>
      <w:pPr>
        <w:keepNext/>
        <w:spacing w:before="240" w:after="80"/>
      </w:pPr>
      <w:r>
        <w:rPr>
          <w:rFonts w:ascii="Arial" w:hAnsi="Arial"/>
          <w:rFonts w:ascii="Arial" w:hAnsi="Arial"/>
          <w:b/>
          <w:color w:val="1F4E78"/>
          <w:sz w:val="23"/>
        </w:rPr>
        <w:t>5.2 Tamaño del Mercado</w:t>
      </w:r>
    </w:p>
    <w:p>
      <w:pPr>
        <w:pStyle w:val="ListBullet"/>
        <w:spacing w:after="60" w:line="276" w:lineRule="auto"/>
      </w:pPr>
      <w:r>
        <w:rPr>
          <w:rFonts w:ascii="Arial" w:hAnsi="Arial"/>
          <w:rFonts w:ascii="Arial" w:hAnsi="Arial"/>
          <w:b w:val="0"/>
          <w:i w:val="0"/>
          <w:color w:val="333333"/>
          <w:sz w:val="22"/>
        </w:rPr>
        <w:t xml:space="preserve">El mercado global de lectura digital fue valorado en </w:t>
      </w:r>
      <w:r>
        <w:rPr>
          <w:rFonts w:ascii="Arial" w:hAnsi="Arial"/>
          <w:rFonts w:ascii="Arial" w:hAnsi="Arial"/>
          <w:b/>
          <w:i w:val="0"/>
          <w:color w:val="333333"/>
          <w:sz w:val="22"/>
        </w:rPr>
        <w:t>USD 18.7 mil millones en 2023</w:t>
      </w:r>
      <w:r>
        <w:rPr>
          <w:rFonts w:ascii="Arial" w:hAnsi="Arial"/>
          <w:rFonts w:ascii="Arial" w:hAnsi="Arial"/>
          <w:b w:val="0"/>
          <w:i w:val="0"/>
          <w:color w:val="333333"/>
          <w:sz w:val="22"/>
        </w:rPr>
        <w:t xml:space="preserve"> y se proyecta crecimiento sostenido hasta 2030.</w:t>
      </w:r>
    </w:p>
    <w:p>
      <w:pPr>
        <w:pStyle w:val="ListBullet"/>
        <w:spacing w:after="60" w:line="276" w:lineRule="auto"/>
      </w:pPr>
      <w:r>
        <w:rPr>
          <w:rFonts w:ascii="Arial" w:hAnsi="Arial"/>
          <w:rFonts w:ascii="Arial" w:hAnsi="Arial"/>
          <w:b w:val="0"/>
          <w:i w:val="0"/>
          <w:color w:val="333333"/>
          <w:sz w:val="22"/>
        </w:rPr>
        <w:t>En Latinoamérica, el 67% de los usuarios de internet accede a contenido cultural digital, pero menos del 30% usa plataformas de lectura regularmente.</w:t>
      </w:r>
    </w:p>
    <w:p>
      <w:pPr>
        <w:pStyle w:val="ListBullet"/>
        <w:spacing w:after="60" w:line="276" w:lineRule="auto"/>
      </w:pPr>
      <w:r>
        <w:rPr>
          <w:rFonts w:ascii="Arial" w:hAnsi="Arial"/>
          <w:rFonts w:ascii="Arial" w:hAnsi="Arial"/>
          <w:b w:val="0"/>
          <w:i w:val="0"/>
          <w:color w:val="333333"/>
          <w:sz w:val="22"/>
        </w:rPr>
        <w:t xml:space="preserve">El catálogo de obras de dominio público disponibles globalmente supera las </w:t>
      </w:r>
      <w:r>
        <w:rPr>
          <w:rFonts w:ascii="Arial" w:hAnsi="Arial"/>
          <w:rFonts w:ascii="Arial" w:hAnsi="Arial"/>
          <w:b/>
          <w:i w:val="0"/>
          <w:color w:val="333333"/>
          <w:sz w:val="22"/>
        </w:rPr>
        <w:t>70,000 obras</w:t>
      </w:r>
      <w:r>
        <w:rPr>
          <w:rFonts w:ascii="Arial" w:hAnsi="Arial"/>
          <w:rFonts w:ascii="Arial" w:hAnsi="Arial"/>
          <w:b w:val="0"/>
          <w:i w:val="0"/>
          <w:color w:val="333333"/>
          <w:sz w:val="22"/>
        </w:rPr>
        <w:t xml:space="preserve"> en español e inglés, representando una fuente de contenido gratuita y escalable sin costo de licenciamiento.</w:t>
      </w:r>
    </w:p>
    <w:p>
      <w:pPr>
        <w:keepNext/>
        <w:spacing w:before="240" w:after="80"/>
      </w:pPr>
      <w:r>
        <w:rPr>
          <w:rFonts w:ascii="Arial" w:hAnsi="Arial"/>
          <w:rFonts w:ascii="Arial" w:hAnsi="Arial"/>
          <w:b/>
          <w:color w:val="1F4E78"/>
          <w:sz w:val="23"/>
        </w:rPr>
        <w:t>5.3 Diferenciación Competitiva</w:t>
      </w:r>
    </w:p>
    <w:p>
      <w:pPr>
        <w:spacing w:line="276" w:lineRule="auto" w:after="120"/>
      </w:pPr>
      <w:r>
        <w:rPr>
          <w:rFonts w:ascii="Arial" w:hAnsi="Arial"/>
          <w:rFonts w:ascii="Arial" w:hAnsi="Arial"/>
          <w:b w:val="0"/>
          <w:i w:val="0"/>
          <w:color w:val="333333"/>
          <w:sz w:val="22"/>
        </w:rPr>
        <w:t>La propuesta de valor de Literatus Novelist no tiene un competidor directo que combine simultáneamente:</w:t>
      </w:r>
    </w:p>
    <w:p>
      <w:pPr>
        <w:pStyle w:val="ListBullet"/>
        <w:spacing w:after="60" w:line="276" w:lineRule="auto"/>
      </w:pPr>
      <w:r>
        <w:rPr>
          <w:rFonts w:ascii="Arial" w:hAnsi="Arial"/>
          <w:rFonts w:ascii="Arial" w:hAnsi="Arial"/>
          <w:b w:val="0"/>
          <w:i w:val="0"/>
          <w:color w:val="333333"/>
          <w:sz w:val="22"/>
        </w:rPr>
        <w:t>✅ Lector EPUB propio y completo</w:t>
      </w:r>
    </w:p>
    <w:p>
      <w:pPr>
        <w:pStyle w:val="ListBullet"/>
        <w:spacing w:after="60" w:line="276" w:lineRule="auto"/>
      </w:pPr>
      <w:r>
        <w:rPr>
          <w:rFonts w:ascii="Arial" w:hAnsi="Arial"/>
          <w:rFonts w:ascii="Arial" w:hAnsi="Arial"/>
          <w:b w:val="0"/>
          <w:i w:val="0"/>
          <w:color w:val="333333"/>
          <w:sz w:val="22"/>
        </w:rPr>
        <w:t>✅ Chat con IA contextual de personaje</w:t>
      </w:r>
    </w:p>
    <w:p>
      <w:pPr>
        <w:pStyle w:val="ListBullet"/>
        <w:spacing w:after="60" w:line="276" w:lineRule="auto"/>
      </w:pPr>
      <w:r>
        <w:rPr>
          <w:rFonts w:ascii="Arial" w:hAnsi="Arial"/>
          <w:rFonts w:ascii="Arial" w:hAnsi="Arial"/>
          <w:b w:val="0"/>
          <w:i w:val="0"/>
          <w:color w:val="333333"/>
          <w:sz w:val="22"/>
        </w:rPr>
        <w:t>✅ Narración TTS sincronizada al estilo karaoke</w:t>
      </w:r>
    </w:p>
    <w:p>
      <w:pPr>
        <w:pStyle w:val="ListBullet"/>
        <w:spacing w:after="60" w:line="276" w:lineRule="auto"/>
      </w:pPr>
      <w:r>
        <w:rPr>
          <w:rFonts w:ascii="Arial" w:hAnsi="Arial"/>
          <w:rFonts w:ascii="Arial" w:hAnsi="Arial"/>
          <w:b w:val="0"/>
          <w:i w:val="0"/>
          <w:color w:val="333333"/>
          <w:sz w:val="22"/>
        </w:rPr>
        <w:t>✅ Sistema de pagos real + economía virtual</w:t>
      </w:r>
    </w:p>
    <w:p>
      <w:pPr>
        <w:pStyle w:val="ListBullet"/>
        <w:spacing w:after="60" w:line="276" w:lineRule="auto"/>
      </w:pPr>
      <w:r>
        <w:rPr>
          <w:rFonts w:ascii="Arial" w:hAnsi="Arial"/>
          <w:rFonts w:ascii="Arial" w:hAnsi="Arial"/>
          <w:b w:val="0"/>
          <w:i w:val="0"/>
          <w:color w:val="333333"/>
          <w:sz w:val="22"/>
        </w:rPr>
        <w:t>✅ Avatares visuales estilo novela manga</w:t>
      </w:r>
    </w:p>
    <w:p>
      <w:pPr>
        <w:spacing w:line="276" w:lineRule="auto" w:after="120"/>
      </w:pPr>
      <w:r>
        <w:rPr>
          <w:rFonts w:ascii="Arial" w:hAnsi="Arial"/>
          <w:rFonts w:ascii="Arial" w:hAnsi="Arial"/>
          <w:b w:val="0"/>
          <w:i w:val="0"/>
          <w:color w:val="333333"/>
          <w:sz w:val="22"/>
        </w:rPr>
        <w:t>Esta combinación única de características posiciona a Literatus Novelist en un espacio de mercado sin competencia directa en el segmento hispanohablante.</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rial" w:hAnsi="Arial"/>
        <w:rFonts w:ascii="Arial" w:hAnsi="Arial"/>
        <w:color w:val="7F7F7F"/>
        <w:sz w:val="18"/>
      </w:rPr>
      <w:t xml:space="preserve">Página </w:t>
    </w:r>
    <w:r>
      <w:fldChar w:fldCharType="begin"/>
      <w:instrText xml:space="preserve"> PAGE </w:instrText>
      <w:fldChar w:fldCharType="separate"/>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rFonts w:ascii="Arial" w:hAnsi="Arial"/>
        <w:color w:val="7F7F7F"/>
        <w:sz w:val="17"/>
      </w:rPr>
      <w:t>Literatus Novelist  |  Contexto y Diagnóstico</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