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80"/>
        <w:pBdr>
          <w:bottom w:val="single" w:sz="6" w:space="4" w:color="1F4E78"/>
        </w:pBdr>
      </w:pPr>
      <w:r>
        <w:rPr>
          <w:rFonts w:ascii="Arial" w:hAnsi="Arial"/>
          <w:rFonts w:ascii="Arial" w:hAnsi="Arial"/>
          <w:b/>
          <w:color w:val="1F4E78"/>
          <w:sz w:val="44"/>
        </w:rPr>
        <w:t>Definición del Proyecto — Literatus Novelist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6F9"/>
            <w:tcBorders>
              <w:top w:val="none"/>
              <w:left w:val="single" w:sz="24" w:space="0" w:color="1F4E78"/>
              <w:bottom w:val="none"/>
              <w:right w:val="none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color w:val="1F4E78"/>
                <w:sz w:val="20"/>
              </w:rPr>
              <w:t>METADATOS DEL DOCUMENTO</w:t>
              <w:br/>
            </w: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Proyecto: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Literatus Novelist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Módulo: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Alcance y Objetivos (03)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Documento: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Definición del Proyecto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Autores: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Benjamin Norambuena / Josué Ticona</w:t>
            </w:r>
          </w:p>
          <w:p>
            <w:pPr>
              <w:spacing w:after="40" w:line="276" w:lineRule="auto"/>
            </w:pPr>
            <w:r>
              <w:rPr>
                <w:rFonts w:ascii="Arial" w:hAnsi="Arial"/>
                <w:rFonts w:ascii="Arial" w:hAnsi="Arial"/>
                <w:b/>
                <w:i w:val="0"/>
                <w:color w:val="444444"/>
                <w:sz w:val="19"/>
              </w:rPr>
              <w:t>Carrera:</w:t>
            </w:r>
            <w:r>
              <w:rPr>
                <w:rFonts w:ascii="Arial" w:hAnsi="Arial"/>
                <w:rFonts w:ascii="Arial" w:hAnsi="Arial"/>
                <w:b w:val="0"/>
                <w:i w:val="0"/>
                <w:color w:val="444444"/>
                <w:sz w:val="19"/>
              </w:rPr>
              <w:t xml:space="preserve"> Analista Programador</w:t>
            </w:r>
          </w:p>
        </w:tc>
      </w:tr>
    </w:tbl>
    <w:p>
      <w:pPr>
        <w:spacing w:after="24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Situación Inicial del Cliente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El mercado de la lectura digital en Latinoamérica enfrenta una paradoja: mientras el acceso a internet y los dispositivos móviles crece exponencialmente, los índices de lectura de obras literarias siguen en declive. Las plataformas existentes (Amazon Kindle, Google Books, Project Gutenberg) ofrecen acceso a contenido, pero no resuelven el problema de fondo: la lectura clásica es percibida como una actividad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pasiva, árida y desconectada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de la experiencia digital moderna.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El cliente identifica una oportunidad de negocio concreta en la intersección entre la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Inteligencia Artificial generativa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y la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distribución de literatura de dominio público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, creando una plataforma donde la tecnología actúe como puente entre el lector y la obra, haciendo la experiencia tan atractiva e inmersiva como cualquier otro medio digital de consumo actual.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Objetivo General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Desarrollar una plataforma web inteligente que facilite el acceso, la comprensión e interacción con obras literarias de dominio público mediante tecnologías de Inteligencia Artificial generativa, síntesis de voz y un sistema de economía digital, transformando la lectura pasiva en una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experiencia inmersiva, interactiva y sostenible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Objetivos Específicos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Catálogo Digital Inteligente: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Implementar un sistema de gestión de más de 1,800 obras de dominio público con metadatos enriquecidos, sinopsis generadas automáticamente por IA (DeepSeek) y un motor de búsqueda y filtrado avanzado por género, autor, idioma y año.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Motor de IA Conversacional (Art-Engine):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Integrar Google Gemini 2.0 Flash para habilitar conversaciones inmersivas entre el lector y avatares de personajes literarios, con personalidades únicas definidas por IA, estilos de habla y contexto narrativo de cada obra.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Sistema de Narración Sincronizada: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Desarrollar un pipeline de síntesis de voz con Piper TTS y alineación temporal a nivel de palabra mediante OpenAI Whisper, logrando un efecto de narración tipo karaoke en el lector donde el texto se subraya en sincronía con el audio.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Ecosistema Económico y de Pagos: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Integrar Transbank Webpay Plus para transacciones reales y diseñar el sistema de moneda virtual "Tinta" para incentivos de uso, acceso a contenido premium y sostenibilidad del modelo de negocio.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Sistema de Avatares Visuales: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Generar un conjunto de imágenes estilo manga/novela visual para los personajes de las obras seleccionadas, con 5 expresiones faciales cada uno (calma, pensando, hablando ×3), para enriquecer la experiencia del chat conversacional.</w:t>
      </w:r>
    </w:p>
    <w:p>
      <w:pPr>
        <w:pStyle w:val="ListNumber"/>
        <w:spacing w:after="60" w:line="276" w:lineRule="auto"/>
      </w:pPr>
      <w:r>
        <w:rPr>
          <w:rFonts w:ascii="Arial" w:hAnsi="Arial"/>
          <w:rFonts w:ascii="Arial" w:hAnsi="Arial"/>
          <w:b/>
          <w:i w:val="0"/>
          <w:color w:val="333333"/>
          <w:sz w:val="22"/>
        </w:rPr>
        <w:t>Panel Administrativo (Literatus Nexus):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Crear un panel de control exclusivo para la gestión de libros, autores, ediciones, usuarios, personajes y carga masiva de archivos EPUB y multimedia.</w:t>
      </w: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Alcance y Límites del Proyecto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Definición de Alcance</w:t>
      </w:r>
    </w:p>
    <w:p>
      <w:pPr>
        <w:spacing w:line="276" w:lineRule="auto" w:after="120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El proyecto contempla el diseño, planificación y desarrollo de un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producto mínimo viable (MVP)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 xml:space="preserve"> denominado </w:t>
      </w:r>
      <w:r>
        <w:rPr>
          <w:rFonts w:ascii="Arial" w:hAnsi="Arial"/>
          <w:rFonts w:ascii="Arial" w:hAnsi="Arial"/>
          <w:b/>
          <w:i w:val="0"/>
          <w:color w:val="333333"/>
          <w:sz w:val="22"/>
        </w:rPr>
        <w:t>Literatus Novelist</w:t>
      </w: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, integrado por los siguientes módulos: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160"/>
        <w:gridCol w:w="2880"/>
        <w:gridCol w:w="4320"/>
      </w:tblGrid>
      <w:tr>
        <w:trPr>
          <w:cantSplit/>
          <w:tblHeader/>
        </w:trPr>
        <w:tc>
          <w:tcPr>
            <w:tcW w:type="dxa" w:w="216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#</w:t>
            </w:r>
          </w:p>
        </w:tc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Módulo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1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Catálogo Digital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Más de 1,800 obras de dominio público procesadas y enriquecidas con IA.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2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Lector EPUB Web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Lector propio por capítulos con navegación avanzada y modo oscuro.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3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Autenticación y Usuarios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Login/Registro con JWT, perfiles de usuario y biblioteca personal.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4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Narración TTS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Síntesis de voz por personaje con Piper TTS y narración karaoke.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5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Chat con Personajes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Conversación contextual con avatares de IA basados en Gemini 2.0 Flash.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6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Llamada de Voz con IA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Interacción por voz con personajes usando Web Speech API + TTS.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7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Sistema de Pagos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Transbank Webpay Plus con transacciones atómicas seguras.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8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La Taberna (Economía)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Sistema de moneda virtual "Tinta" y tienda de contenido premium.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9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Panel Admin (Nexus)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Gestión completa de contenido, usuarios y operaciones de la plataforma.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10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Avatares Manga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Imágenes tipo novela visual con expresiones múltiples generadas con SDXL.</w:t>
            </w:r>
          </w:p>
        </w:tc>
      </w:tr>
    </w:tbl>
    <w:p>
      <w:pPr>
        <w:spacing w:line="276" w:lineRule="auto" w:after="160"/>
      </w:pP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Entregables del Proyecto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Código fuente completo del backend (Django) y frontend (Angular) en repositorio Git.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Base de datos PostgreSQL con catálogo de más de 1,800 obras enriquecidas.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Archivos multimedia de narración (audio + metadatos de alineación Whisper).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JSON de configuración de avatares manga y scripts de generación para Colab.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Documentación técnica completa (arquitectura, API, QA, diagramas).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Manual de instalación y despliegue local.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Supuestos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Las obras literarias utilizadas son de dominio público y su uso no infringe derechos de autor.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Se cuenta con acceso estable a internet para el consumo de APIs externas (Gemini, DeepSeek, Transbank).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La base de datos PostgreSQL permanece operativa en el entorno local durante el desarrollo.</w:t>
      </w:r>
    </w:p>
    <w:p>
      <w:pPr>
        <w:pStyle w:val="ListBullet"/>
        <w:spacing w:after="60" w:line="276" w:lineRule="auto"/>
      </w:pPr>
      <w:r>
        <w:rPr>
          <w:rFonts w:ascii="Arial" w:hAnsi="Arial"/>
          <w:rFonts w:ascii="Arial" w:hAnsi="Arial"/>
          <w:b w:val="0"/>
          <w:i w:val="0"/>
          <w:color w:val="333333"/>
          <w:sz w:val="22"/>
        </w:rPr>
        <w:t>El hardware disponible en Google Colab es suficiente para la generación de imágenes con Stable Diffusion XL.</w:t>
      </w:r>
    </w:p>
    <w:p>
      <w:pPr>
        <w:keepNext/>
        <w:spacing w:before="240" w:after="80"/>
      </w:pPr>
      <w:r>
        <w:rPr>
          <w:rFonts w:ascii="Arial" w:hAnsi="Arial"/>
          <w:rFonts w:ascii="Arial" w:hAnsi="Arial"/>
          <w:b/>
          <w:color w:val="1F4E78"/>
          <w:sz w:val="23"/>
        </w:rPr>
        <w:t>Restricciones y Límites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880"/>
        <w:gridCol w:w="6480"/>
      </w:tblGrid>
      <w:tr>
        <w:trPr>
          <w:cantSplit/>
          <w:tblHeader/>
        </w:trPr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Restricción</w:t>
            </w:r>
          </w:p>
        </w:tc>
        <w:tc>
          <w:tcPr>
            <w:tcW w:type="dxa" w:w="64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Descripción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Plataforma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Solo web responsive; no se desarrolla aplicación móvil nativa.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Despliegue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No se contempla despliegue en producción cloud en esta iteración académica.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Generación de Imágenes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La generación con Stable Diffusion XL se realiza en Google Colab, no localmente.</w:t>
            </w:r>
          </w:p>
        </w:tc>
      </w:tr>
      <w:tr>
        <w:trPr>
          <w:cantSplit/>
        </w:trPr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APIs Externas</w:t>
            </w:r>
          </w:p>
        </w:tc>
        <w:tc>
          <w:tcPr>
            <w:tcW w:type="dxa" w:w="64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Las cuotas de Gemini y DeepSeek están sujetas a límites de planes gratuitos.</w:t>
            </w:r>
          </w:p>
        </w:tc>
      </w:tr>
      <w:tr>
        <w:trPr>
          <w:cantSplit/>
        </w:trPr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Alcance del Catálogo</w:t>
            </w:r>
          </w:p>
        </w:tc>
        <w:tc>
          <w:tcPr>
            <w:tcW w:type="dxa" w:w="64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Solo obras de dominio público; no se negocian derechos editoriales en esta fase.</w:t>
            </w:r>
          </w:p>
        </w:tc>
      </w:tr>
    </w:tbl>
    <w:p>
      <w:pPr>
        <w:spacing w:line="276" w:lineRule="auto" w:after="16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Stack Tecnológico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160"/>
        <w:gridCol w:w="2880"/>
        <w:gridCol w:w="4320"/>
      </w:tblGrid>
      <w:tr>
        <w:trPr>
          <w:cantSplit/>
          <w:tblHeader/>
        </w:trPr>
        <w:tc>
          <w:tcPr>
            <w:tcW w:type="dxa" w:w="216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Capa</w:t>
            </w:r>
          </w:p>
        </w:tc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Tecnología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Versión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Backend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Python + Django + Django REST Framework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3.13 / 6.x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Base de Datos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PostgreSQL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16+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Frontend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Angular + TypeScript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18+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IA Conversacional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Google Gemini 2.0 Flash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API v1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IA Generativa Batch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DeepSeek API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deepseek-chat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Síntesis de Voz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Piper TTS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Local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Alineación de Audio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OpenAI Whisper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Large-v3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Generación de Imágenes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Stable Diffusion XL (Animagine XL 3.1)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Colab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Pagos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Transbank SDK Webpay Plus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Python SDK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Autenticación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JSON Web Tokens (JWT)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djangorestframework-simplejwt</w:t>
            </w:r>
          </w:p>
        </w:tc>
      </w:tr>
    </w:tbl>
    <w:p>
      <w:pPr>
        <w:spacing w:line="276" w:lineRule="auto" w:after="16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Equipo de Desarrollo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160"/>
        <w:gridCol w:w="2880"/>
        <w:gridCol w:w="4320"/>
      </w:tblGrid>
      <w:tr>
        <w:trPr>
          <w:cantSplit/>
          <w:tblHeader/>
        </w:trPr>
        <w:tc>
          <w:tcPr>
            <w:tcW w:type="dxa" w:w="216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Nombre</w:t>
            </w:r>
          </w:p>
        </w:tc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Rol Principal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Responsabilidades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Josué Ticona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Arquitecto de Software / Backend e IA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API REST, modelos BD, motor IA, pipelines de audio, Transbank, automatización, Git.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333333"/>
                <w:sz w:val="19"/>
              </w:rPr>
              <w:t>Benjamin Norambuena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Desarrollador Frontend / QA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UI Angular, lector EPUB, chat UI, La Taberna, pruebas funcionales, documentación.</w:t>
            </w:r>
          </w:p>
        </w:tc>
      </w:tr>
    </w:tbl>
    <w:p>
      <w:pPr>
        <w:spacing w:line="276" w:lineRule="auto" w:after="160"/>
      </w:pPr>
    </w:p>
    <w:p>
      <w:pPr>
        <w:spacing w:before="160" w:after="160"/>
        <w:pBdr>
          <w:bottom w:val="single" w:sz="4" w:space="1" w:color="D3D3D3"/>
        </w:pBdr>
      </w:pPr>
    </w:p>
    <w:p>
      <w:pPr>
        <w:keepNext/>
        <w:spacing w:before="360" w:after="120"/>
      </w:pPr>
      <w:r>
        <w:rPr>
          <w:rFonts w:ascii="Arial" w:hAnsi="Arial"/>
          <w:rFonts w:ascii="Arial" w:hAnsi="Arial"/>
          <w:b/>
          <w:color w:val="1F4E78"/>
          <w:sz w:val="28"/>
        </w:rPr>
        <w:t>Indicadores de Éxito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160"/>
        <w:gridCol w:w="2880"/>
        <w:gridCol w:w="4320"/>
      </w:tblGrid>
      <w:tr>
        <w:trPr>
          <w:cantSplit/>
          <w:tblHeader/>
        </w:trPr>
        <w:tc>
          <w:tcPr>
            <w:tcW w:type="dxa" w:w="216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Indicador</w:t>
            </w:r>
          </w:p>
        </w:tc>
        <w:tc>
          <w:tcPr>
            <w:tcW w:type="dxa" w:w="288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Meta</w:t>
            </w:r>
          </w:p>
        </w:tc>
        <w:tc>
          <w:tcPr>
            <w:tcW w:type="dxa" w:w="4320"/>
            <w:shd w:fill="1F4E78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/>
                <w:i w:val="0"/>
                <w:color w:val="FFFFFF"/>
                <w:sz w:val="19"/>
              </w:rPr>
              <w:t>Estado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Catálogo de obras disponibles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≥ 1,000 obras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✅ 1,800+ obras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Chat de personajes funcional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≥ 3 obras piloto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✅ Funcional en todo el catálogo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Narración karaoke operativa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≥ 3 libros con audio-sync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✅ Pipeline implementado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Integración de pagos activa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Transbank Webpay funcional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✅ Completado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Sistema económico "Tinta"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La Taberna operativa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✅ Completado</w:t>
            </w:r>
          </w:p>
        </w:tc>
      </w:tr>
      <w:tr>
        <w:trPr>
          <w:cantSplit/>
        </w:trPr>
        <w:tc>
          <w:tcPr>
            <w:tcW w:type="dxa" w:w="216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Avatares manga generados</w:t>
            </w:r>
          </w:p>
        </w:tc>
        <w:tc>
          <w:tcPr>
            <w:tcW w:type="dxa" w:w="288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19 personajes (3 obras)</w:t>
            </w:r>
          </w:p>
        </w:tc>
        <w:tc>
          <w:tcPr>
            <w:tcW w:type="dxa" w:w="4320"/>
            <w:shd w:fill="FFFFFF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🔄 En progreso</w:t>
            </w:r>
          </w:p>
        </w:tc>
      </w:tr>
      <w:tr>
        <w:trPr>
          <w:cantSplit/>
        </w:trPr>
        <w:tc>
          <w:tcPr>
            <w:tcW w:type="dxa" w:w="216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QA superado</w:t>
            </w:r>
          </w:p>
        </w:tc>
        <w:tc>
          <w:tcPr>
            <w:tcW w:type="dxa" w:w="288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≥ 80% casos de prueba OK</w:t>
            </w:r>
          </w:p>
        </w:tc>
        <w:tc>
          <w:tcPr>
            <w:tcW w:type="dxa" w:w="4320"/>
            <w:shd w:fill="F9FBFD"/>
            <w:vAlign w:val="center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/>
            <w:r>
              <w:rPr>
                <w:rFonts w:ascii="Arial" w:hAnsi="Arial"/>
                <w:rFonts w:ascii="Arial" w:hAnsi="Arial"/>
                <w:b w:val="0"/>
                <w:i w:val="0"/>
                <w:color w:val="333333"/>
                <w:sz w:val="19"/>
              </w:rPr>
              <w:t>🔄 En progreso</w:t>
            </w:r>
          </w:p>
        </w:tc>
      </w:tr>
    </w:tbl>
    <w:p>
      <w:pPr>
        <w:spacing w:line="276" w:lineRule="auto" w:after="16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rFonts w:ascii="Arial" w:hAnsi="Arial"/>
        <w:color w:val="7F7F7F"/>
        <w:sz w:val="18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rFonts w:ascii="Arial" w:hAnsi="Arial"/>
        <w:color w:val="7F7F7F"/>
        <w:sz w:val="17"/>
      </w:rPr>
      <w:t>Literatus Novelist  |  Definición del Proyecto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