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41F25949" w:rsidR="00275C35" w:rsidRDefault="007C34A8">
      <w:pPr>
        <w:pStyle w:val="abstract"/>
        <w:spacing w:after="0"/>
        <w:ind w:firstLine="0"/>
      </w:pPr>
      <w:r>
        <w:rPr>
          <w:b/>
          <w:bCs/>
        </w:rPr>
        <w:t xml:space="preserve">Abstract. </w:t>
      </w:r>
      <w:r w:rsidR="008B5075">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methodology that organically links a hybrid approach combining computer vision and deep neural networks with independence testing and validated its effectiveness using the Labeled Faces in the Wild (LFW) dataset.</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0A111F1E" w14:textId="77777777" w:rsidR="008B5075" w:rsidRDefault="008B5075" w:rsidP="008B5075">
      <w:pPr>
        <w:pStyle w:val="p1a"/>
      </w:pPr>
      <w:r>
        <w:t>Based on the advancement of artificial intelligence (AI) and deep learning, the latest facial recognition technology is maximizing accuracy and convenience through 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8B5075">
      <w:pPr>
        <w:pStyle w:val="p1a"/>
      </w:pPr>
      <w:r>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8B5075">
      <w:pPr>
        <w:pStyle w:val="p1a"/>
      </w:pPr>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8B5075">
      <w:pPr>
        <w:pStyle w:val="p1a"/>
      </w:pPr>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8B5075">
      <w:pPr>
        <w:pStyle w:val="p1a"/>
      </w:pPr>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8B5075">
      <w:pPr>
        <w:pStyle w:val="p1a"/>
      </w:pPr>
      <w:r>
        <w:t>Furthermore, examples of the second factor include changes in lighting and light sources, changes in camera angles and poses, and changes in background and context.</w:t>
      </w:r>
    </w:p>
    <w:p w14:paraId="3844245A" w14:textId="77777777" w:rsidR="008B5075" w:rsidRDefault="008B5075" w:rsidP="008B5075">
      <w:pPr>
        <w:pStyle w:val="p1a"/>
      </w:pPr>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8B5075">
      <w:pPr>
        <w:pStyle w:val="p1a"/>
      </w:pPr>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5FD996BB" w14:textId="77777777" w:rsidR="003922B4" w:rsidRDefault="003922B4" w:rsidP="00EE14E2">
      <w:pPr>
        <w:pStyle w:val="Heading3"/>
        <w:spacing w:before="0"/>
      </w:pPr>
      <w:r w:rsidRPr="00EE14E2">
        <w:rPr>
          <w:rStyle w:val="heading30"/>
        </w:rPr>
        <w:t>Classical recognition.</w:t>
      </w:r>
      <w:r>
        <w:t xml:space="preserve">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EE14E2">
      <w:pPr>
        <w:ind w:firstLine="0"/>
      </w:pPr>
      <w:r w:rsidRPr="00EE14E2">
        <w:rPr>
          <w:rStyle w:val="heading30"/>
        </w:rPr>
        <w:t>Deep recognition.</w:t>
      </w:r>
      <w:r>
        <w:t xml:space="preserve">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EE14E2">
      <w:pPr>
        <w:ind w:firstLine="0"/>
      </w:pPr>
      <w:r w:rsidRPr="00EE14E2">
        <w:rPr>
          <w:rStyle w:val="heading30"/>
        </w:rPr>
        <w:t>Detection.</w:t>
      </w:r>
      <w:r>
        <w:t xml:space="preserve"> Viola-Jones Haar cascades [5] remain the classical baseline; YuNet [7] is a millisecond-scale CNN detector that also returns the five landmarks DL recognizers use for alignment.</w:t>
      </w:r>
    </w:p>
    <w:p w14:paraId="7FAD0FAA" w14:textId="77777777" w:rsidR="003922B4" w:rsidRDefault="003922B4" w:rsidP="00EE14E2">
      <w:pPr>
        <w:ind w:firstLine="0"/>
      </w:pPr>
      <w:r w:rsidRPr="00EE14E2">
        <w:rPr>
          <w:rStyle w:val="heading30"/>
        </w:rPr>
        <w:t>Evaluation.</w:t>
      </w:r>
      <w:r>
        <w:t xml:space="preserve">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6518B199" w14:textId="77777777" w:rsidR="00286053" w:rsidRDefault="00286053" w:rsidP="00696589">
      <w:pPr>
        <w:pStyle w:val="p1a"/>
      </w:pPr>
      <w:r>
        <w:t>Component selection is an offline development stage, distinct from the frame-level escalation gate. Classical candidates are selected on La Salle DB1 only: a deterministic subset of its training images fits each model, a disjoint La Salle calibration subset sets that model's native-score operating point, and the held-out La Salle test split and its 41-modification probes remain untouched until evaluation. We considered the classical recognizers LBPH, Eigenfaces, and Fisherfaces, and the learned embedding models SFace, FaceNet, and ArcFace.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 This offline selection protocol is separate from later LFW-based calibration that freezes deployed LBPH--SFace cascade thresholds.</w:t>
      </w:r>
    </w:p>
    <w:p w14:paraId="0108FFB7" w14:textId="12B5D77E" w:rsidR="00696589" w:rsidRDefault="00696589" w:rsidP="00696589">
      <w:pPr>
        <w:pStyle w:val="p1a"/>
      </w:pPr>
      <w:r>
        <w:t>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Fisherfaces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696589">
      <w:pPr>
        <w:pStyle w:val="p1a"/>
      </w:pPr>
      <w:r>
        <w:t>The learned-model screening used a common YuNet alignment and brightness-normalization front end. The available artifacts establish a 128-dimensional, 512-byte SFace embedding, compared with 512-dimensional, 2,048-byte FaceNet and ArcFace representations. SFace was retained as the deployment-compatible escalation model. This is a resource-constrained engineering choice, not a demonstrated accuracy win over FaceNet and ArcFace: archived learned-model results use model-specific thresholds, and their reported true-positive values allow self-matching. After component selection, subsequent cascade experiments evaluate the frozen LBPH--SFace configuration rather than retuning it on reported test outcomes.</w:t>
      </w:r>
    </w:p>
    <w:p w14:paraId="1C0B4DC8" w14:textId="65A65623" w:rsidR="003922B4" w:rsidRDefault="003922B4" w:rsidP="003922B4">
      <w:pPr>
        <w:pStyle w:val="heading2"/>
      </w:pPr>
      <w:r>
        <w:t>Independence testing and threshold rule</w:t>
      </w:r>
    </w:p>
    <w:p w14:paraId="78B3B83C" w14:textId="1B99FB9C" w:rsidR="003922B4" w:rsidRDefault="00BB4D8E" w:rsidP="003922B4">
      <w:pPr>
        <w:pStyle w:val="p1a"/>
      </w:pPr>
      <w:r>
        <w:t>Take N identities with one image each. Comparing every unique pair gives</w:t>
      </w:r>
    </w:p>
    <w:p w14:paraId="21AFDA0C" w14:textId="73369512" w:rsidR="003922B4" w:rsidRPr="002E0A6C" w:rsidRDefault="00BB4D8E" w:rsidP="00D61141">
      <w:pPr>
        <w:pStyle w:val="equation"/>
      </w:pPr>
      <w:r>
        <w:t>C = N(N − 1) / 2  unique comparisons (1)</w:t>
      </w:r>
    </w:p>
    <w:p w14:paraId="724CC8C3" w14:textId="2F7B84E9" w:rsidR="003922B4" w:rsidRDefault="00BB4D8E" w:rsidP="003922B4">
      <w:pPr>
        <w:pStyle w:val="p1a"/>
      </w:pPr>
      <w:r>
        <w:t>all impostor pairs by construction. Sort the C distances ascending. To operate at a target rate FAR*, choose the rank</w:t>
      </w:r>
    </w:p>
    <w:p w14:paraId="06BEC8D8" w14:textId="5CD7F3F7"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EE14E2">
          <w:rPr>
            <w:noProof/>
          </w:rPr>
          <w:t>1</w:t>
        </w:r>
      </w:fldSimple>
      <w:r w:rsidR="002E0A6C">
        <w:t>)</w:t>
      </w:r>
    </w:p>
    <w:p w14:paraId="602BBE70" w14:textId="5B32AD1E" w:rsidR="003922B4" w:rsidRDefault="00BB4D8E" w:rsidP="003922B4">
      <w:pPr>
        <w:pStyle w:val="p1a"/>
      </w:pPr>
      <w:r>
        <w:t>and set θ to the k-th smallest impostor distance. The rank sets the target false-accept count; after thresholding, we recompute the realized FAR from all pairs that satisfy the deployed comparison rule, including ties. The deployed LBPH acceptance threshold is derived on LFW DB1: N=5,749 gives C=16,522,626 unique impostor pairs; rank 165 produces 9.986 ppm FAR. A La Salle DB1 sweep (N=28) is too small to resolve a 10-ppm operating point.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1D72F588" w:rsidR="003922B4" w:rsidRDefault="00BB4D8E" w:rsidP="003922B4">
      <w:pPr>
        <w:pStyle w:val="p1a"/>
      </w:pPr>
      <w:r>
        <w:t>Let d₁ and d₂ be the best and second-best LBPH distances. Let τ_a be the frozen LBPH acceptance threshold and τ_r &gt; τ_a the frozen escalation/reject threshold.</w:t>
      </w:r>
    </w:p>
    <w:p w14:paraId="34FBED73" w14:textId="77777777" w:rsidR="002E0A6C" w:rsidRDefault="003922B4" w:rsidP="003922B4">
      <w:r>
        <w:t xml:space="preserve">(i) a quality flag fires (blur, low light, sensor noise, off-pose, or too-small face, measured on the crop LBPH already holds); (ii) the score is ambiguous: τ_a &lt; d₁ &lt; τ_r; (iii) the top-two margin is thin: </w:t>
      </w:r>
    </w:p>
    <w:p w14:paraId="40A5B97E" w14:textId="08B170C9" w:rsidR="003922B4" w:rsidRPr="002E0A6C" w:rsidRDefault="002E0A6C" w:rsidP="002E0A6C">
      <w:pPr>
        <w:pStyle w:val="equation"/>
      </w:pPr>
      <w:r>
        <w:tab/>
      </w:r>
      <w:r w:rsidR="003922B4">
        <w:t>(d₂ − d₁)/d₁ &lt; m_min</w:t>
      </w:r>
      <w:r>
        <w:t xml:space="preserve"> </w:t>
      </w:r>
      <w:r>
        <w:tab/>
        <w:t>(</w:t>
      </w:r>
      <w:fldSimple w:instr=" SEQ &quot;equation&quot; \n \* MERGEFORMAT ">
        <w:r w:rsidR="00EE14E2">
          <w:rPr>
            <w:noProof/>
          </w:rPr>
          <w:t>2</w:t>
        </w:r>
      </w:fldSimple>
      <w:r>
        <w:t>)</w:t>
      </w:r>
    </w:p>
    <w:p w14:paraId="30C9F569" w14:textId="77777777" w:rsidR="003922B4" w:rsidRDefault="003922B4" w:rsidP="003922B4">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38F7A702" w:rsidR="003922B4" w:rsidRPr="002E0A6C" w:rsidRDefault="00D61141" w:rsidP="00D61141">
      <w:pPr>
        <w:pStyle w:val="equation"/>
      </w:pPr>
      <w:r>
        <w:tab/>
      </w:r>
      <w:r w:rsidR="003922B4">
        <w:t>AR = K / M</w:t>
      </w:r>
      <w:r w:rsidR="002E0A6C">
        <w:tab/>
        <w:t>(</w:t>
      </w:r>
      <w:fldSimple w:instr=" SEQ &quot;equation&quot; \n \* MERGEFORMAT ">
        <w:r w:rsidR="00EE14E2">
          <w:rPr>
            <w:noProof/>
          </w:rPr>
          <w:t>3</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71EE6DCD" w:rsidR="003922B4" w:rsidRDefault="005A25C5" w:rsidP="003922B4">
      <w:r>
        <w:t>Robustness and complementarity are separate quantities. Robustness measures whether a recognizer retains genuine-probe acceptance performance under deterministic artificial modifications; in pairwise verification this is TAR, whereas this 1-to-N suite reports the analogous fixed-operating-point accuracy ratio (AR). Per modification, compare this result with the clean condition; its decline is the robustness loss. The paired per-probe outcomes separately assess complementarity: the recovery rate, P(SFace correct | LBPH wrong); the both-wrong rate, the accuracy ceiling no 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27B037E3" w:rsidR="003922B4" w:rsidRDefault="00BB4D8E" w:rsidP="003922B4">
      <w:r>
        <w:t>Error independence on impostors. On the same sweep, flag each pair a CV false accept (d ≤ τ_a) and/or a DL false accept (cosine ≥ 0.363 and L2 ≤ 1.0313). At the deployed L2 boundary, the cosine condition is non-binding. Independent errors would give</w:t>
      </w:r>
    </w:p>
    <w:p w14:paraId="012BF15E" w14:textId="08930428" w:rsidR="003922B4" w:rsidRPr="007A5BD5" w:rsidRDefault="00D61141" w:rsidP="00D61141">
      <w:pPr>
        <w:pStyle w:val="equation"/>
      </w:pPr>
      <w:r>
        <w:tab/>
      </w:r>
      <w:r w:rsidR="003922B4">
        <w:t>E[both] = C · P(FP_CV) · P(FP_DL)</w:t>
      </w:r>
      <w:r w:rsidR="007A5BD5">
        <w:tab/>
        <w:t>(</w:t>
      </w:r>
      <w:fldSimple w:instr=" SEQ &quot;equation&quot; \n \* MERGEFORMAT ">
        <w:r w:rsidR="00EE14E2">
          <w:rPr>
            <w:noProof/>
          </w:rPr>
          <w:t>4</w:t>
        </w:r>
      </w:fldSimple>
      <w:r w:rsidR="007A5BD5">
        <w:t>)</w:t>
      </w:r>
    </w:p>
    <w:p w14:paraId="0DD74B2A" w14:textId="77777777" w:rsidR="003922B4" w:rsidRDefault="003922B4" w:rsidP="003922B4">
      <w:r>
        <w:t>We report observed against expected, Fisher's exact test in both directions, and the literature-standard [11]</w:t>
      </w:r>
    </w:p>
    <w:p w14:paraId="176B3D96" w14:textId="7BC7E850" w:rsidR="003922B4" w:rsidRPr="007A5BD5" w:rsidRDefault="00D61141" w:rsidP="00D61141">
      <w:pPr>
        <w:pStyle w:val="equation"/>
      </w:pPr>
      <w:r>
        <w:tab/>
      </w:r>
      <w:r w:rsidR="003922B4">
        <w:t>Q = (ad − bc) / (ad + bc),  DF = a / C</w:t>
      </w:r>
      <w:r w:rsidR="007A5BD5">
        <w:tab/>
        <w:t>(</w:t>
      </w:r>
      <w:fldSimple w:instr=" SEQ &quot;equation&quot; \n \* MERGEFORMAT ">
        <w:r w:rsidR="00EE14E2">
          <w:rPr>
            <w:noProof/>
          </w:rPr>
          <w:t>5</w:t>
        </w:r>
      </w:fldSimple>
      <w:r w:rsidR="007A5BD5">
        <w:t>)</w:t>
      </w:r>
    </w:p>
    <w:p w14:paraId="082672BC" w14:textId="2E5CD556" w:rsidR="003922B4" w:rsidRDefault="003922B4" w:rsidP="003922B4">
      <w:pPr>
        <w:pStyle w:val="p1a"/>
      </w:pPr>
      <w:r>
        <w:t>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 DF stays useful either way as the impostor-side floor of any fusion. Every rate carries a 95% Wilson interval; 756 comparisons cannot support bare point estimates.</w:t>
      </w:r>
    </w:p>
    <w:p w14:paraId="7109A127" w14:textId="77777777" w:rsidR="00286053" w:rsidRDefault="00286053" w:rsidP="003922B4">
      <w:pPr>
        <w:pStyle w:val="p1a"/>
        <w:rPr>
          <w:b/>
        </w:rPr>
      </w:pPr>
      <w:r>
        <w:rPr>
          <w:b/>
        </w:rPr>
        <w:t>Frozen cascade configuration across databases</w:t>
      </w:r>
    </w:p>
    <w:p w14:paraId="5E142E15" w14:textId="7F621697" w:rsidR="003922B4" w:rsidRDefault="00BB4D8E" w:rsidP="003922B4">
      <w:pPr>
        <w:pStyle w:val="p1a"/>
      </w:pPr>
      <w:r>
        <w:t>Separately tuned values across four databases would show tunability, not transfer. We freeze one configuration before cross-database evaluation: τ_a = 67.03325520645528 from LFW DB1's unique-pair LBPH sweep (rank 165; 9.986 ppm); τ_r = 140.13 from the LFW escalation trade-off; m_min = 0.05 is policy-set; and SFace uses its deployed L2 rule, 1.0313. The harness records the threshold-file SHA-256, and the same configuration is applied unchanged across database legs. Enrollment is always clean originals; only probes are modified. Each database answers one question (Table 1):</w:t>
      </w:r>
    </w:p>
    <w:p w14:paraId="4738C188" w14:textId="070FF237" w:rsidR="003922B4" w:rsidRDefault="00D61141" w:rsidP="00D61141">
      <w:pPr>
        <w:pStyle w:val="tablecaption"/>
      </w:pPr>
      <w:r>
        <w:rPr>
          <w:b/>
        </w:rPr>
        <w:t xml:space="preserve">Table </w:t>
      </w:r>
      <w:r>
        <w:rPr>
          <w:b/>
        </w:rPr>
        <w:fldChar w:fldCharType="begin"/>
      </w:r>
      <w:r>
        <w:rPr>
          <w:b/>
        </w:rPr>
        <w:instrText xml:space="preserve"> SEQ "Table" \* MERGEFORMAT </w:instrText>
      </w:r>
      <w:r>
        <w:rPr>
          <w:b/>
        </w:rPr>
        <w:fldChar w:fldCharType="separate"/>
      </w:r>
      <w:r w:rsidR="00EE14E2">
        <w:rPr>
          <w:b/>
          <w:noProof/>
        </w:rPr>
        <w:t>1</w:t>
      </w:r>
      <w:r>
        <w:rPr>
          <w:b/>
        </w:rPr>
        <w:fldChar w:fldCharType="end"/>
      </w:r>
      <w:r>
        <w:rPr>
          <w:b/>
        </w:rPr>
        <w:t>.</w:t>
      </w:r>
      <w:r>
        <w:t xml:space="preserve"> </w:t>
      </w:r>
      <w:r w:rsidR="003922B4" w:rsidRPr="00D61141">
        <w:t>Evidence</w:t>
      </w:r>
      <w:r w:rsidR="003922B4">
        <w:t xml:space="preserv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60ABAB31" w:rsidR="003922B4" w:rsidRDefault="00BB4D8E" w:rsidP="003922B4">
            <w:pPr>
              <w:ind w:firstLine="0"/>
            </w:pPr>
            <w:r>
              <w:t>in-domain FAR at the frozen thresholds</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1FF24CA0" w:rsidR="003922B4" w:rsidRDefault="0084733B" w:rsidP="003922B4">
            <w:pPr>
              <w:ind w:firstLine="0"/>
            </w:pPr>
            <w:r>
              <w:t>accuracy ratio, CV / DL / cascade</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14C90B2E" w14:textId="77777777" w:rsidR="003922B4" w:rsidRDefault="003922B4" w:rsidP="003922B4">
      <w:pPr>
        <w:pStyle w:val="heading1"/>
      </w:pPr>
      <w:r>
        <w:t>References</w:t>
      </w:r>
    </w:p>
    <w:p w14:paraId="7FBEA186" w14:textId="77777777" w:rsidR="003922B4" w:rsidRDefault="003922B4" w:rsidP="003922B4">
      <w:pPr>
        <w:pStyle w:val="referenceitem"/>
      </w:pPr>
      <w:r>
        <w:t>M. Turk and A. Pentland, "Eigenfaces for recognition," J. Cogn. Neurosci., vol. 3, no. 1, pp. 71-86, 1991.</w:t>
      </w:r>
    </w:p>
    <w:p w14:paraId="4F478C43"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"SFace: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"FaceNet: a unified embedding for face recognition and clustering," in Proc. IEEE CVPR, 2015, pp. 815-823.</w:t>
      </w:r>
    </w:p>
    <w:p w14:paraId="25666140" w14:textId="77777777" w:rsidR="003922B4" w:rsidRDefault="003922B4" w:rsidP="003922B4">
      <w:pPr>
        <w:pStyle w:val="referenceitem"/>
      </w:pPr>
      <w:r>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G. Bradski, "The OpenCV library," Dr. Dobb's J. Softw. Tools, vol. 25, no. 11, pp. 120-125, Nov. 2000.</w:t>
      </w:r>
    </w:p>
    <w:p w14:paraId="617FD85F"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957D9CB" w14:textId="77777777" w:rsidR="000A0C9B" w:rsidRDefault="000A0C9B">
      <w:r>
        <w:separator/>
      </w:r>
    </w:p>
  </w:endnote>
  <w:endnote w:type="continuationSeparator" w:id="0">
    <w:p w14:paraId="3CD4EED9" w14:textId="77777777" w:rsidR="000A0C9B" w:rsidRDefault="000A0C9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7C2E620" w14:textId="77777777" w:rsidR="000A0C9B" w:rsidRDefault="000A0C9B" w:rsidP="009F7FCE">
      <w:pPr>
        <w:ind w:firstLine="0"/>
      </w:pPr>
      <w:r>
        <w:separator/>
      </w:r>
    </w:p>
  </w:footnote>
  <w:footnote w:type="continuationSeparator" w:id="0">
    <w:p w14:paraId="77C86C25" w14:textId="77777777" w:rsidR="000A0C9B" w:rsidRDefault="000A0C9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041"/>
    <w:rsid w:val="000808E6"/>
    <w:rsid w:val="000A0C9B"/>
    <w:rsid w:val="001579A0"/>
    <w:rsid w:val="001A12DD"/>
    <w:rsid w:val="00205E9E"/>
    <w:rsid w:val="002200D1"/>
    <w:rsid w:val="00275C35"/>
    <w:rsid w:val="00286053"/>
    <w:rsid w:val="002A75FA"/>
    <w:rsid w:val="002E0A6C"/>
    <w:rsid w:val="003922B4"/>
    <w:rsid w:val="003B7107"/>
    <w:rsid w:val="003E4753"/>
    <w:rsid w:val="004208A8"/>
    <w:rsid w:val="00450766"/>
    <w:rsid w:val="004F1800"/>
    <w:rsid w:val="0050216C"/>
    <w:rsid w:val="0056788C"/>
    <w:rsid w:val="00591F8C"/>
    <w:rsid w:val="005A25C5"/>
    <w:rsid w:val="00633CCA"/>
    <w:rsid w:val="00657088"/>
    <w:rsid w:val="00696589"/>
    <w:rsid w:val="006E0338"/>
    <w:rsid w:val="00711EA3"/>
    <w:rsid w:val="00725D98"/>
    <w:rsid w:val="007666EB"/>
    <w:rsid w:val="007A2303"/>
    <w:rsid w:val="007A5BD5"/>
    <w:rsid w:val="007C34A8"/>
    <w:rsid w:val="0084733B"/>
    <w:rsid w:val="00890ACE"/>
    <w:rsid w:val="008A1B2D"/>
    <w:rsid w:val="008B1C52"/>
    <w:rsid w:val="008B5075"/>
    <w:rsid w:val="0095682A"/>
    <w:rsid w:val="009930E4"/>
    <w:rsid w:val="009B2539"/>
    <w:rsid w:val="009B4245"/>
    <w:rsid w:val="009F7FCE"/>
    <w:rsid w:val="00A13D60"/>
    <w:rsid w:val="00A430F2"/>
    <w:rsid w:val="00B23481"/>
    <w:rsid w:val="00BA43A3"/>
    <w:rsid w:val="00BB162B"/>
    <w:rsid w:val="00BB4D8E"/>
    <w:rsid w:val="00BD03C9"/>
    <w:rsid w:val="00C360B5"/>
    <w:rsid w:val="00C662A1"/>
    <w:rsid w:val="00CD31D2"/>
    <w:rsid w:val="00D61141"/>
    <w:rsid w:val="00DA2986"/>
    <w:rsid w:val="00DF2FD5"/>
    <w:rsid w:val="00EE1172"/>
    <w:rsid w:val="00EE14E2"/>
    <w:rsid w:val="00F321B4"/>
    <w:rsid w:val="00F72AC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TotalTime>
  <Pages>1</Pages>
  <Words>2583</Words>
  <Characters>14729</Characters>
  <Application>Microsoft Office Word</Application>
  <DocSecurity>0</DocSecurity>
  <Lines>122</Lines>
  <Paragraphs>34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17278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12</cp:revision>
  <dcterms:created xsi:type="dcterms:W3CDTF">2023-10-25T07:01:00Z</dcterms:created>
  <dcterms:modified xsi:type="dcterms:W3CDTF">2026-08-09T17:41:00Z</dcterms:modified>
</cp:coreProperties>
</file>