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41F25949" w:rsidR="00275C35" w:rsidRDefault="007C34A8">
      <w:pPr>
        <w:pStyle w:val="abstract"/>
        <w:spacing w:after="0"/>
        <w:ind w:firstLine="0"/>
      </w:pPr>
      <w:r>
        <w:rPr>
          <w:b/>
          <w:bCs/>
        </w:rPr>
        <w:t xml:space="preserve">Abstract. </w:t>
      </w:r>
      <w:r w:rsidR="008B5075">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validated its effectiveness using the Labeled Faces in the Wild (LFW) dataset.</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0A111F1E" w14:textId="77777777" w:rsidR="008B5075" w:rsidRDefault="008B5075" w:rsidP="008B5075">
      <w:pPr>
        <w:pStyle w:val="p1a"/>
      </w:pPr>
      <w:r>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8B5075">
      <w:pPr>
        <w:pStyle w:val="p1a"/>
      </w:pPr>
      <w:r>
        <w:lastRenderedPageBreak/>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8B5075">
      <w:pPr>
        <w:pStyle w:val="p1a"/>
      </w:pPr>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8B5075">
      <w:pPr>
        <w:pStyle w:val="p1a"/>
      </w:pPr>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8B5075">
      <w:pPr>
        <w:pStyle w:val="p1a"/>
      </w:pPr>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8B5075">
      <w:pPr>
        <w:pStyle w:val="p1a"/>
      </w:pPr>
      <w:r>
        <w:t>Furthermore, examples of the second factor include changes in lighting and light sources, changes in camera angles and poses, and changes in background and context.</w:t>
      </w:r>
    </w:p>
    <w:p w14:paraId="3844245A" w14:textId="77777777" w:rsidR="008B5075" w:rsidRDefault="008B5075" w:rsidP="008B5075">
      <w:pPr>
        <w:pStyle w:val="p1a"/>
      </w:pPr>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8B5075">
      <w:pPr>
        <w:pStyle w:val="p1a"/>
      </w:pPr>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5FD996BB" w14:textId="77777777" w:rsidR="003922B4" w:rsidRDefault="003922B4" w:rsidP="00EE14E2">
      <w:pPr>
        <w:pStyle w:val="Heading3"/>
        <w:spacing w:before="0"/>
      </w:pPr>
      <w:r w:rsidRPr="00EE14E2">
        <w:rPr>
          <w:rStyle w:val="heading30"/>
        </w:rPr>
        <w:t>Classical recognition.</w:t>
      </w:r>
      <w:r>
        <w:t xml:space="preserve">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EE14E2">
      <w:pPr>
        <w:ind w:firstLine="0"/>
      </w:pPr>
      <w:r w:rsidRPr="00EE14E2">
        <w:rPr>
          <w:rStyle w:val="heading30"/>
        </w:rPr>
        <w:t>Deep recognition.</w:t>
      </w:r>
      <w:r>
        <w:t xml:space="preserve">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EE14E2">
      <w:pPr>
        <w:ind w:firstLine="0"/>
      </w:pPr>
      <w:r w:rsidRPr="00EE14E2">
        <w:rPr>
          <w:rStyle w:val="heading30"/>
        </w:rPr>
        <w:t>Detection.</w:t>
      </w:r>
      <w:r>
        <w:t xml:space="preserve"> Viola-Jones Haar cascades [5] remain the classical baseline; YuNet [7] is a millisecond-scale CNN detector that also returns the five landmarks DL recognizers use for alignment.</w:t>
      </w:r>
    </w:p>
    <w:p w14:paraId="7FAD0FAA" w14:textId="77777777" w:rsidR="003922B4" w:rsidRDefault="003922B4" w:rsidP="00EE14E2">
      <w:pPr>
        <w:ind w:firstLine="0"/>
      </w:pPr>
      <w:r w:rsidRPr="00EE14E2">
        <w:rPr>
          <w:rStyle w:val="heading30"/>
        </w:rPr>
        <w:lastRenderedPageBreak/>
        <w:t>Evaluation.</w:t>
      </w:r>
      <w:r>
        <w:t xml:space="preserve">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6518B199" w14:textId="77777777" w:rsidR="00286053" w:rsidRDefault="00286053" w:rsidP="00696589">
      <w:pPr>
        <w:pStyle w:val="p1a"/>
      </w:pPr>
      <w:r>
        <w:t>Component selection is an offline development stage, distinct from the frame-level escalation gate. Classical candidates are selected on La Salle DB1 only: a deterministic subset of its training images fits each model, a disjoint La Salle calibration subset sets that model's native-score operating point, and the held-out La Salle test split and its 41-modification probes remain untouched until evaluation. We considered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 This offline selection protocol is separate from later LFW-based calibration that freezes deployed LBPH--SFace cascade thresholds.</w:t>
      </w:r>
    </w:p>
    <w:p w14:paraId="0108FFB7" w14:textId="12B5D77E" w:rsidR="00696589" w:rsidRDefault="00696589" w:rsidP="00696589">
      <w:pPr>
        <w:pStyle w:val="p1a"/>
      </w:pPr>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lastRenderedPageBreak/>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8B3B83C" w14:textId="1B99FB9C" w:rsidR="003922B4" w:rsidRDefault="00BB4D8E" w:rsidP="003922B4">
      <w:pPr>
        <w:pStyle w:val="p1a"/>
      </w:pPr>
      <w:r>
        <w:t>Take N identities with one image each. Comparing every unique pair gives</w:t>
      </w:r>
    </w:p>
    <w:p w14:paraId="21AFDA0C" w14:textId="73369512" w:rsidR="003922B4" w:rsidRPr="002E0A6C" w:rsidRDefault="00BB4D8E" w:rsidP="00D61141">
      <w:pPr>
        <w:pStyle w:val="equation"/>
      </w:pPr>
      <w:r>
        <w:t>C = N(N − 1) / 2  unique comparisons (1)</w:t>
      </w:r>
    </w:p>
    <w:p w14:paraId="724CC8C3" w14:textId="2F7B84E9" w:rsidR="003922B4" w:rsidRDefault="00BB4D8E" w:rsidP="003922B4">
      <w:pPr>
        <w:pStyle w:val="p1a"/>
      </w:pPr>
      <w:r>
        <w:t>all impostor pairs by construction. Sort the C distances ascending. To operate at a target rate FAR*, choose the rank</w:t>
      </w:r>
    </w:p>
    <w:p w14:paraId="06BEC8D8" w14:textId="3B373B52"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962487">
          <w:rPr>
            <w:noProof/>
          </w:rPr>
          <w:t>1</w:t>
        </w:r>
      </w:fldSimple>
      <w:r w:rsidR="002E0A6C">
        <w:t>)</w:t>
      </w:r>
    </w:p>
    <w:p w14:paraId="602BBE70" w14:textId="5B32AD1E" w:rsidR="003922B4" w:rsidRDefault="00BB4D8E" w:rsidP="003922B4">
      <w:pPr>
        <w:pStyle w:val="p1a"/>
      </w:pPr>
      <w:r>
        <w:t>and set θ to the k-th smallest impostor distance. The rank sets the target false-accept count; after thresholding, we recompute the realized FAR from all pairs that satisfy the deployed comparison rule, including ties. The deployed LBPH acceptance threshold is derived on LFW DB1: N=5,749 gives C=16,522,626 unique impostor pairs; rank 165 produces 9.986 ppm FAR. A La Salle DB1 sweep (N=28) is too small to resolve a 10-ppm operating point.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1D72F588" w:rsidR="003922B4" w:rsidRDefault="00BB4D8E" w:rsidP="003922B4">
      <w:pPr>
        <w:pStyle w:val="p1a"/>
      </w:pPr>
      <w:r>
        <w:t>Let d₁ and d₂ be the best and second-best LBPH distances. Let τ_a be the frozen LBPH acceptance threshold and τ_r &gt; τ_a the frozen escalation/reject threshold.</w:t>
      </w:r>
    </w:p>
    <w:p w14:paraId="34FBED73" w14:textId="77777777" w:rsidR="002E0A6C" w:rsidRDefault="003922B4" w:rsidP="003922B4">
      <w:r>
        <w:t xml:space="preserve">(i) a quality flag fires (blur, low light, sensor noise, off-pose, or too-small face, measured on the crop LBPH already holds); (ii) the score is ambiguous: τ_a &lt; d₁ &lt; τ_r; (iii) the top-two margin is thin: </w:t>
      </w:r>
    </w:p>
    <w:p w14:paraId="40A5B97E" w14:textId="751AC20D" w:rsidR="003922B4" w:rsidRPr="002E0A6C" w:rsidRDefault="002E0A6C" w:rsidP="002E0A6C">
      <w:pPr>
        <w:pStyle w:val="equation"/>
      </w:pPr>
      <w:r>
        <w:tab/>
      </w:r>
      <w:r w:rsidR="003922B4">
        <w:t>(d₂ − d₁)/d₁ &lt; m_min</w:t>
      </w:r>
      <w:r>
        <w:t xml:space="preserve"> </w:t>
      </w:r>
      <w:r>
        <w:tab/>
        <w:t>(</w:t>
      </w:r>
      <w:fldSimple w:instr=" SEQ &quot;equation&quot; \n \* MERGEFORMAT ">
        <w:r w:rsidR="00962487">
          <w:rPr>
            <w:noProof/>
          </w:rPr>
          <w:t>2</w:t>
        </w:r>
      </w:fldSimple>
      <w:r>
        <w:t>)</w:t>
      </w:r>
    </w:p>
    <w:p w14:paraId="30C9F569"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lastRenderedPageBreak/>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15B01556" w:rsidR="003922B4" w:rsidRPr="002E0A6C" w:rsidRDefault="00D61141" w:rsidP="00D61141">
      <w:pPr>
        <w:pStyle w:val="equation"/>
      </w:pPr>
      <w:r>
        <w:tab/>
      </w:r>
      <w:r w:rsidR="003922B4">
        <w:t>AR = K / M</w:t>
      </w:r>
      <w:r w:rsidR="002E0A6C">
        <w:tab/>
        <w:t>(</w:t>
      </w:r>
      <w:fldSimple w:instr=" SEQ &quot;equation&quot; \n \* MERGEFORMAT ">
        <w:r w:rsidR="00962487">
          <w:rPr>
            <w:noProof/>
          </w:rPr>
          <w:t>3</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1EE6DCD" w:rsidR="003922B4" w:rsidRDefault="005A25C5" w:rsidP="003922B4">
      <w:r>
        <w:t>Robustness and complementarity are separate quantities. Robustness measures whether a recognizer retains genuine-probe acceptance performance under deterministic artificial modifications; in pairwise verification this is TAR, whereas this 1-to-N suite reports the analogous fixed-operating-point accuracy ratio (AR). Per modification, compare this result with the clean condition; its decline is the robustness loss. The paired per-probe outcomes separately assess complementarity: the recovery rate, P(SFace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27B037E3" w:rsidR="003922B4" w:rsidRDefault="00BB4D8E" w:rsidP="003922B4">
      <w:r>
        <w:t>Error independence on impostors. On the same sweep, flag each pair a CV false accept (d ≤ τ_a) and/or a DL false accept (cosine ≥ 0.363 and L2 ≤ 1.0313). At the deployed L2 boundary, the cosine condition is non-binding. Independent errors would give</w:t>
      </w:r>
    </w:p>
    <w:p w14:paraId="012BF15E" w14:textId="74845C77" w:rsidR="003922B4" w:rsidRPr="007A5BD5" w:rsidRDefault="00D61141" w:rsidP="00D61141">
      <w:pPr>
        <w:pStyle w:val="equation"/>
      </w:pPr>
      <w:r>
        <w:tab/>
      </w:r>
      <w:r w:rsidR="003922B4">
        <w:t>E[both] = C · P(FP_CV) · P(FP_DL)</w:t>
      </w:r>
      <w:r w:rsidR="007A5BD5">
        <w:tab/>
        <w:t>(</w:t>
      </w:r>
      <w:fldSimple w:instr=" SEQ &quot;equation&quot; \n \* MERGEFORMAT ">
        <w:r w:rsidR="00962487">
          <w:rPr>
            <w:noProof/>
          </w:rPr>
          <w:t>4</w:t>
        </w:r>
      </w:fldSimple>
      <w:r w:rsidR="007A5BD5">
        <w:t>)</w:t>
      </w:r>
    </w:p>
    <w:p w14:paraId="0DD74B2A" w14:textId="77777777" w:rsidR="003922B4" w:rsidRDefault="003922B4" w:rsidP="003922B4">
      <w:r>
        <w:t>We report observed against expected, Fisher's exact test in both directions, and the literature-standard [11]</w:t>
      </w:r>
    </w:p>
    <w:p w14:paraId="176B3D96" w14:textId="6011F924" w:rsidR="003922B4" w:rsidRPr="007A5BD5" w:rsidRDefault="00D61141" w:rsidP="00D61141">
      <w:pPr>
        <w:pStyle w:val="equation"/>
      </w:pPr>
      <w:r>
        <w:tab/>
      </w:r>
      <w:r w:rsidR="003922B4">
        <w:t>Q = (ad − bc) / (ad + bc),  DF = a / C</w:t>
      </w:r>
      <w:r w:rsidR="007A5BD5">
        <w:tab/>
        <w:t>(</w:t>
      </w:r>
      <w:fldSimple w:instr=" SEQ &quot;equation&quot; \n \* MERGEFORMAT ">
        <w:r w:rsidR="00962487">
          <w:rPr>
            <w:noProof/>
          </w:rPr>
          <w:t>5</w:t>
        </w:r>
      </w:fldSimple>
      <w:r w:rsidR="007A5BD5">
        <w:t>)</w:t>
      </w:r>
    </w:p>
    <w:p w14:paraId="082672BC" w14:textId="2E5CD556" w:rsidR="003922B4" w:rsidRDefault="003922B4" w:rsidP="003922B4">
      <w:pPr>
        <w:pStyle w:val="p1a"/>
      </w:pPr>
      <w:r>
        <w:t xml:space="preserve">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 DF stays useful either way as the impostor-side floor of </w:t>
      </w:r>
      <w:r>
        <w:lastRenderedPageBreak/>
        <w:t>any fusion. Every rate carries a 95% Wilson interval; 756 comparisons cannot support bare point estimates.</w:t>
      </w:r>
    </w:p>
    <w:p w14:paraId="7109A127" w14:textId="77777777" w:rsidR="00286053" w:rsidRDefault="00286053" w:rsidP="003922B4">
      <w:pPr>
        <w:pStyle w:val="p1a"/>
        <w:rPr>
          <w:b/>
        </w:rPr>
      </w:pPr>
      <w:r>
        <w:rPr>
          <w:b/>
        </w:rPr>
        <w:t>Frozen cascade configuration across databases</w:t>
      </w:r>
    </w:p>
    <w:p w14:paraId="5E142E15" w14:textId="7F621697" w:rsidR="003922B4" w:rsidRDefault="00BB4D8E" w:rsidP="003922B4">
      <w:pPr>
        <w:pStyle w:val="p1a"/>
      </w:pPr>
      <w:r>
        <w:t>Separately tuned values across four databases would show tunability, not transfer. We freeze one configuration before cross-database evaluation: τ_a = 67.03325520645528 from LFW DB1's unique-pair LBPH sweep (rank 165; 9.986 ppm); τ_r = 140.13 from the LFW escalation trade-off; m_min = 0.05 is policy-set; and SFace uses its deployed L2 rule, 1.0313. The harness records the threshold-file SHA-256, and the same configuration is applied unchanged across database legs. Enrollment is always clean originals; only probes are modified. Each database answers one question (Table 1):</w:t>
      </w:r>
    </w:p>
    <w:p w14:paraId="4738C188" w14:textId="244E7DFF" w:rsidR="003922B4" w:rsidRPr="00C33013" w:rsidRDefault="00D61141" w:rsidP="00C33013">
      <w:pPr>
        <w:pStyle w:val="tablecaption"/>
      </w:pPr>
      <w:r w:rsidRPr="00C33013">
        <w:t xml:space="preserve">Table </w:t>
      </w:r>
      <w:fldSimple w:instr=" SEQ &quot;Table&quot; \* MERGEFORMAT ">
        <w:r w:rsidR="00962487" w:rsidRPr="00C33013">
          <w:t>1</w:t>
        </w:r>
      </w:fldSimple>
      <w:r w:rsidRPr="00C33013">
        <w:t xml:space="preserve">. </w:t>
      </w:r>
      <w:r w:rsidR="003922B4" w:rsidRPr="00C33013">
        <w:t>Evidence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60ABAB31" w:rsidR="003922B4" w:rsidRDefault="00BB4D8E" w:rsidP="003922B4">
            <w:pPr>
              <w:ind w:firstLine="0"/>
            </w:pPr>
            <w:r>
              <w:t>in-domain FAR at the frozen thresholds</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1FF24CA0" w:rsidR="003922B4" w:rsidRDefault="0084733B" w:rsidP="003922B4">
            <w:pPr>
              <w:ind w:firstLine="0"/>
            </w:pPr>
            <w:r>
              <w:t>accuracy ratio, CV / DL / cascade</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52E2CBEA" w14:textId="77777777" w:rsidR="008F67C0" w:rsidRDefault="008F67C0" w:rsidP="008F67C0">
      <w:pPr>
        <w:pStyle w:val="heading1"/>
      </w:pPr>
      <w:r>
        <w:t>Experiments and Results</w:t>
      </w:r>
    </w:p>
    <w:p w14:paraId="127DED48" w14:textId="77777777" w:rsidR="008F67C0" w:rsidRDefault="008F67C0" w:rsidP="008F67C0">
      <w:pPr>
        <w:pStyle w:val="heading2"/>
      </w:pPr>
      <w:r>
        <w:t>Algorithm Selection on La Salle DB1</w:t>
      </w:r>
    </w:p>
    <w:p w14:paraId="55B6D272" w14:textId="77777777" w:rsidR="008F67C0" w:rsidRDefault="008F67C0" w:rsidP="008F67C0">
      <w:r>
        <w:t>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selected as the classical fast path. Its 64 KB representation remains an explicit engineering exception.</w:t>
      </w:r>
    </w:p>
    <w:p w14:paraId="5D387F6D" w14:textId="449995A9" w:rsidR="008F67C0" w:rsidRPr="00C33013" w:rsidRDefault="00183A15" w:rsidP="00C33013">
      <w:pPr>
        <w:pStyle w:val="tablecaption"/>
      </w:pPr>
      <w:r w:rsidRPr="00C33013">
        <w:lastRenderedPageBreak/>
        <w:t xml:space="preserve">Table </w:t>
      </w:r>
      <w:fldSimple w:instr=" SEQ &quot;Table&quot; \* MERGEFORMAT ">
        <w:r w:rsidR="00962487" w:rsidRPr="00C33013">
          <w:t>2</w:t>
        </w:r>
      </w:fldSimple>
      <w:r w:rsidRPr="00C33013">
        <w:t xml:space="preserve">. </w:t>
      </w:r>
      <w:r w:rsidR="008F67C0" w:rsidRPr="00C33013">
        <w:t>LSDB classical candidate selection. TAR is thresholded at each model's calibration-only LSDB operating point.</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1BA99040" w14:textId="77777777" w:rsidTr="004848F8">
        <w:trPr>
          <w:cantSplit/>
          <w:tblHeader/>
        </w:trPr>
        <w:tc>
          <w:tcPr>
            <w:tcW w:w="2100" w:type="dxa"/>
            <w:tcBorders>
              <w:top w:val="single" w:sz="12" w:space="0" w:color="auto"/>
              <w:bottom w:val="single" w:sz="6" w:space="0" w:color="auto"/>
            </w:tcBorders>
          </w:tcPr>
          <w:p w14:paraId="35D05B9D" w14:textId="34699F16"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155771D3" w14:textId="15078584"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56B672AF" w14:textId="12FC8CDE"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05A84E8" w14:textId="211A54AE" w:rsidR="008F67C0" w:rsidRPr="004848F8" w:rsidRDefault="004848F8" w:rsidP="004848F8">
            <w:pPr>
              <w:spacing w:line="240" w:lineRule="auto"/>
              <w:ind w:firstLine="0"/>
              <w:jc w:val="center"/>
              <w:rPr>
                <w:b/>
                <w:sz w:val="18"/>
              </w:rPr>
            </w:pPr>
            <w:r w:rsidRPr="004848F8">
              <w:rPr>
                <w:b/>
                <w:sz w:val="18"/>
              </w:rPr>
              <w:t>Feature size</w:t>
            </w:r>
          </w:p>
        </w:tc>
      </w:tr>
      <w:tr w:rsidR="008F67C0" w:rsidRPr="00171C34" w14:paraId="1EBC7732" w14:textId="77777777" w:rsidTr="004848F8">
        <w:trPr>
          <w:cantSplit/>
        </w:trPr>
        <w:tc>
          <w:tcPr>
            <w:tcW w:w="2100" w:type="dxa"/>
            <w:tcBorders>
              <w:top w:val="single" w:sz="6" w:space="0" w:color="auto"/>
            </w:tcBorders>
          </w:tcPr>
          <w:p w14:paraId="530FA42A" w14:textId="58A9560D"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A19D2F3" w14:textId="6C68518D"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6BBE7922" w14:textId="17C1C17C"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53A0AC9" w14:textId="4F4C6F00" w:rsidR="008F67C0" w:rsidRPr="004848F8" w:rsidRDefault="004848F8" w:rsidP="004848F8">
            <w:pPr>
              <w:spacing w:line="240" w:lineRule="auto"/>
              <w:ind w:firstLine="0"/>
              <w:jc w:val="center"/>
              <w:rPr>
                <w:sz w:val="18"/>
              </w:rPr>
            </w:pPr>
            <w:r w:rsidRPr="004848F8">
              <w:rPr>
                <w:sz w:val="18"/>
              </w:rPr>
              <w:t>64 KB</w:t>
            </w:r>
          </w:p>
        </w:tc>
      </w:tr>
      <w:tr w:rsidR="008F67C0" w14:paraId="531486B6" w14:textId="77777777" w:rsidTr="004848F8">
        <w:trPr>
          <w:cantSplit/>
        </w:trPr>
        <w:tc>
          <w:tcPr>
            <w:tcW w:w="2100" w:type="dxa"/>
          </w:tcPr>
          <w:p w14:paraId="3F357927" w14:textId="5BC16638" w:rsidR="008F67C0" w:rsidRPr="004848F8" w:rsidRDefault="004848F8" w:rsidP="004848F8">
            <w:pPr>
              <w:spacing w:line="240" w:lineRule="auto"/>
              <w:ind w:firstLine="0"/>
              <w:jc w:val="left"/>
              <w:rPr>
                <w:sz w:val="18"/>
              </w:rPr>
            </w:pPr>
            <w:r w:rsidRPr="004848F8">
              <w:rPr>
                <w:sz w:val="18"/>
              </w:rPr>
              <w:t>Eigenfaces</w:t>
            </w:r>
          </w:p>
        </w:tc>
        <w:tc>
          <w:tcPr>
            <w:tcW w:w="1560" w:type="dxa"/>
          </w:tcPr>
          <w:p w14:paraId="0175ABA8" w14:textId="0A9E8547" w:rsidR="008F67C0" w:rsidRPr="004848F8" w:rsidRDefault="004848F8" w:rsidP="004848F8">
            <w:pPr>
              <w:spacing w:line="240" w:lineRule="auto"/>
              <w:ind w:firstLine="0"/>
              <w:jc w:val="center"/>
              <w:rPr>
                <w:sz w:val="18"/>
              </w:rPr>
            </w:pPr>
            <w:r w:rsidRPr="004848F8">
              <w:rPr>
                <w:sz w:val="18"/>
              </w:rPr>
              <w:t>41.07%</w:t>
            </w:r>
          </w:p>
        </w:tc>
        <w:tc>
          <w:tcPr>
            <w:tcW w:w="1640" w:type="dxa"/>
          </w:tcPr>
          <w:p w14:paraId="1A470162" w14:textId="047C2139" w:rsidR="008F67C0" w:rsidRPr="004848F8" w:rsidRDefault="004848F8" w:rsidP="004848F8">
            <w:pPr>
              <w:spacing w:line="240" w:lineRule="auto"/>
              <w:ind w:firstLine="0"/>
              <w:jc w:val="center"/>
              <w:rPr>
                <w:sz w:val="18"/>
              </w:rPr>
            </w:pPr>
            <w:r w:rsidRPr="004848F8">
              <w:rPr>
                <w:sz w:val="18"/>
              </w:rPr>
              <w:t>75.00%</w:t>
            </w:r>
          </w:p>
        </w:tc>
        <w:tc>
          <w:tcPr>
            <w:tcW w:w="1600" w:type="dxa"/>
          </w:tcPr>
          <w:p w14:paraId="310CCCAB" w14:textId="6267C505" w:rsidR="008F67C0" w:rsidRPr="004848F8" w:rsidRDefault="004848F8" w:rsidP="004848F8">
            <w:pPr>
              <w:spacing w:line="240" w:lineRule="auto"/>
              <w:ind w:firstLine="0"/>
              <w:jc w:val="center"/>
              <w:rPr>
                <w:sz w:val="18"/>
              </w:rPr>
            </w:pPr>
            <w:r w:rsidRPr="004848F8">
              <w:rPr>
                <w:sz w:val="18"/>
              </w:rPr>
              <w:t>896 B</w:t>
            </w:r>
          </w:p>
        </w:tc>
      </w:tr>
      <w:tr w:rsidR="008F67C0" w14:paraId="7D1B6A62" w14:textId="77777777" w:rsidTr="004848F8">
        <w:trPr>
          <w:cantSplit/>
        </w:trPr>
        <w:tc>
          <w:tcPr>
            <w:tcW w:w="2100" w:type="dxa"/>
          </w:tcPr>
          <w:p w14:paraId="5580DA5B" w14:textId="51076610" w:rsidR="008F67C0" w:rsidRPr="004848F8" w:rsidRDefault="004848F8" w:rsidP="004848F8">
            <w:pPr>
              <w:spacing w:line="240" w:lineRule="auto"/>
              <w:ind w:firstLine="0"/>
              <w:jc w:val="left"/>
              <w:rPr>
                <w:sz w:val="18"/>
              </w:rPr>
            </w:pPr>
            <w:r w:rsidRPr="004848F8">
              <w:rPr>
                <w:sz w:val="18"/>
              </w:rPr>
              <w:t>Fisherfaces</w:t>
            </w:r>
          </w:p>
        </w:tc>
        <w:tc>
          <w:tcPr>
            <w:tcW w:w="1560" w:type="dxa"/>
          </w:tcPr>
          <w:p w14:paraId="4B45BC4F" w14:textId="6157DAA6" w:rsidR="008F67C0" w:rsidRPr="004848F8" w:rsidRDefault="004848F8" w:rsidP="004848F8">
            <w:pPr>
              <w:spacing w:line="240" w:lineRule="auto"/>
              <w:ind w:firstLine="0"/>
              <w:jc w:val="center"/>
              <w:rPr>
                <w:sz w:val="18"/>
              </w:rPr>
            </w:pPr>
            <w:r w:rsidRPr="004848F8">
              <w:rPr>
                <w:sz w:val="18"/>
              </w:rPr>
              <w:t>51.79%</w:t>
            </w:r>
          </w:p>
        </w:tc>
        <w:tc>
          <w:tcPr>
            <w:tcW w:w="1640" w:type="dxa"/>
          </w:tcPr>
          <w:p w14:paraId="4D560814" w14:textId="0576A944" w:rsidR="008F67C0" w:rsidRPr="004848F8" w:rsidRDefault="004848F8" w:rsidP="004848F8">
            <w:pPr>
              <w:spacing w:line="240" w:lineRule="auto"/>
              <w:ind w:firstLine="0"/>
              <w:jc w:val="center"/>
              <w:rPr>
                <w:sz w:val="18"/>
              </w:rPr>
            </w:pPr>
            <w:r w:rsidRPr="004848F8">
              <w:rPr>
                <w:sz w:val="18"/>
              </w:rPr>
              <w:t>58.93%</w:t>
            </w:r>
          </w:p>
        </w:tc>
        <w:tc>
          <w:tcPr>
            <w:tcW w:w="1600" w:type="dxa"/>
          </w:tcPr>
          <w:p w14:paraId="7880B7E3" w14:textId="5590C257" w:rsidR="008F67C0" w:rsidRPr="004848F8" w:rsidRDefault="004848F8" w:rsidP="004848F8">
            <w:pPr>
              <w:spacing w:line="240" w:lineRule="auto"/>
              <w:ind w:firstLine="0"/>
              <w:jc w:val="center"/>
              <w:rPr>
                <w:sz w:val="18"/>
              </w:rPr>
            </w:pPr>
            <w:r w:rsidRPr="004848F8">
              <w:rPr>
                <w:sz w:val="18"/>
              </w:rPr>
              <w:t>108 B</w:t>
            </w:r>
          </w:p>
        </w:tc>
      </w:tr>
    </w:tbl>
    <w:p w14:paraId="640406DB" w14:textId="77777777" w:rsidR="008F67C0" w:rsidRDefault="008F67C0" w:rsidP="008F67C0"/>
    <w:p w14:paraId="59C9E266" w14:textId="77777777" w:rsidR="004848F8" w:rsidRPr="004848F8" w:rsidRDefault="004848F8" w:rsidP="004848F8">
      <w:r w:rsidRPr="004848F8">
        <w:t>A fresh DL-only campaign replaced the legacy self-match test. SFace, ArcFace, and FaceNet used the deterministic 224/56/56 LSDB cohort; each model's rank-15 acceptance edge came only from 1,512 calibration cross-identity scores (realized FAR 0.992%). Native score scales remained model-specific and were not mixed with the classical ranking.</w:t>
      </w:r>
    </w:p>
    <w:p w14:paraId="4E004A22" w14:textId="77777777" w:rsidR="004848F8" w:rsidRPr="00C33013" w:rsidRDefault="004848F8" w:rsidP="00C33013">
      <w:pPr>
        <w:pStyle w:val="tablecaption"/>
      </w:pPr>
      <w:r w:rsidRPr="00C33013">
        <w:t>Table 3. DL-only candidate selection on LSDB. TAR uses each model's rank-15 calibration edge (0.992% realized FAR).</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1636ECB2" w14:textId="77777777" w:rsidTr="004848F8">
        <w:trPr>
          <w:cantSplit/>
          <w:tblHeader/>
        </w:trPr>
        <w:tc>
          <w:tcPr>
            <w:tcW w:w="2100" w:type="dxa"/>
            <w:tcBorders>
              <w:top w:val="single" w:sz="12" w:space="0" w:color="auto"/>
              <w:bottom w:val="single" w:sz="6" w:space="0" w:color="auto"/>
            </w:tcBorders>
          </w:tcPr>
          <w:p w14:paraId="0038367B" w14:textId="0A0C4CFF"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078EAD5B" w14:textId="14F27B1A"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079D3708" w14:textId="35694B38"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554EDE3" w14:textId="237774B8" w:rsidR="004848F8" w:rsidRPr="004848F8" w:rsidRDefault="004848F8" w:rsidP="004848F8">
            <w:pPr>
              <w:spacing w:line="240" w:lineRule="auto"/>
              <w:ind w:firstLine="0"/>
              <w:jc w:val="center"/>
              <w:rPr>
                <w:b/>
                <w:sz w:val="18"/>
              </w:rPr>
            </w:pPr>
            <w:r w:rsidRPr="004848F8">
              <w:rPr>
                <w:b/>
                <w:sz w:val="18"/>
              </w:rPr>
              <w:t>Feature</w:t>
            </w:r>
          </w:p>
        </w:tc>
      </w:tr>
      <w:tr w:rsidR="004848F8" w14:paraId="64218783" w14:textId="77777777" w:rsidTr="004848F8">
        <w:trPr>
          <w:cantSplit/>
        </w:trPr>
        <w:tc>
          <w:tcPr>
            <w:tcW w:w="2100" w:type="dxa"/>
            <w:tcBorders>
              <w:top w:val="single" w:sz="6" w:space="0" w:color="auto"/>
            </w:tcBorders>
          </w:tcPr>
          <w:p w14:paraId="54232355" w14:textId="38C5745C" w:rsidR="004848F8" w:rsidRPr="004848F8" w:rsidRDefault="004848F8" w:rsidP="004848F8">
            <w:pPr>
              <w:spacing w:line="240" w:lineRule="auto"/>
              <w:ind w:firstLine="0"/>
              <w:jc w:val="left"/>
              <w:rPr>
                <w:sz w:val="18"/>
              </w:rPr>
            </w:pPr>
            <w:r w:rsidRPr="004848F8">
              <w:rPr>
                <w:sz w:val="18"/>
              </w:rPr>
              <w:t>SFace</w:t>
            </w:r>
          </w:p>
        </w:tc>
        <w:tc>
          <w:tcPr>
            <w:tcW w:w="1560" w:type="dxa"/>
            <w:tcBorders>
              <w:top w:val="single" w:sz="6" w:space="0" w:color="auto"/>
            </w:tcBorders>
          </w:tcPr>
          <w:p w14:paraId="630F5655" w14:textId="0A0DCC23"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5E6FEEA4" w14:textId="4E5CFE9B"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722FBC6" w14:textId="60A05A5F" w:rsidR="004848F8" w:rsidRPr="004848F8" w:rsidRDefault="004848F8" w:rsidP="004848F8">
            <w:pPr>
              <w:spacing w:line="240" w:lineRule="auto"/>
              <w:ind w:firstLine="0"/>
              <w:jc w:val="center"/>
              <w:rPr>
                <w:sz w:val="18"/>
              </w:rPr>
            </w:pPr>
            <w:r w:rsidRPr="004848F8">
              <w:rPr>
                <w:sz w:val="18"/>
              </w:rPr>
              <w:t>512 B</w:t>
            </w:r>
          </w:p>
        </w:tc>
      </w:tr>
      <w:tr w:rsidR="004848F8" w14:paraId="513789C9" w14:textId="77777777" w:rsidTr="004848F8">
        <w:trPr>
          <w:cantSplit/>
        </w:trPr>
        <w:tc>
          <w:tcPr>
            <w:tcW w:w="2100" w:type="dxa"/>
          </w:tcPr>
          <w:p w14:paraId="75588959" w14:textId="02B7D518" w:rsidR="004848F8" w:rsidRPr="004848F8" w:rsidRDefault="004848F8" w:rsidP="004848F8">
            <w:pPr>
              <w:spacing w:line="240" w:lineRule="auto"/>
              <w:ind w:firstLine="0"/>
              <w:jc w:val="left"/>
              <w:rPr>
                <w:sz w:val="18"/>
              </w:rPr>
            </w:pPr>
            <w:r w:rsidRPr="004848F8">
              <w:rPr>
                <w:sz w:val="18"/>
              </w:rPr>
              <w:t>ArcFace</w:t>
            </w:r>
          </w:p>
        </w:tc>
        <w:tc>
          <w:tcPr>
            <w:tcW w:w="1560" w:type="dxa"/>
          </w:tcPr>
          <w:p w14:paraId="609A1696" w14:textId="6176A061" w:rsidR="004848F8" w:rsidRPr="004848F8" w:rsidRDefault="004848F8" w:rsidP="004848F8">
            <w:pPr>
              <w:spacing w:line="240" w:lineRule="auto"/>
              <w:ind w:firstLine="0"/>
              <w:jc w:val="center"/>
              <w:rPr>
                <w:sz w:val="18"/>
              </w:rPr>
            </w:pPr>
            <w:r w:rsidRPr="004848F8">
              <w:rPr>
                <w:sz w:val="18"/>
              </w:rPr>
              <w:t>96.43%</w:t>
            </w:r>
          </w:p>
        </w:tc>
        <w:tc>
          <w:tcPr>
            <w:tcW w:w="1640" w:type="dxa"/>
          </w:tcPr>
          <w:p w14:paraId="1261710E" w14:textId="1EF39EF5" w:rsidR="004848F8" w:rsidRPr="004848F8" w:rsidRDefault="004848F8" w:rsidP="004848F8">
            <w:pPr>
              <w:spacing w:line="240" w:lineRule="auto"/>
              <w:ind w:firstLine="0"/>
              <w:jc w:val="center"/>
              <w:rPr>
                <w:sz w:val="18"/>
              </w:rPr>
            </w:pPr>
            <w:r w:rsidRPr="004848F8">
              <w:rPr>
                <w:sz w:val="18"/>
              </w:rPr>
              <w:t>100.00%</w:t>
            </w:r>
          </w:p>
        </w:tc>
        <w:tc>
          <w:tcPr>
            <w:tcW w:w="1600" w:type="dxa"/>
          </w:tcPr>
          <w:p w14:paraId="3F3AE387" w14:textId="0325CED6" w:rsidR="004848F8" w:rsidRPr="004848F8" w:rsidRDefault="004848F8" w:rsidP="004848F8">
            <w:pPr>
              <w:spacing w:line="240" w:lineRule="auto"/>
              <w:ind w:firstLine="0"/>
              <w:jc w:val="center"/>
              <w:rPr>
                <w:sz w:val="18"/>
              </w:rPr>
            </w:pPr>
            <w:r w:rsidRPr="004848F8">
              <w:rPr>
                <w:sz w:val="18"/>
              </w:rPr>
              <w:t>2,048 B</w:t>
            </w:r>
          </w:p>
        </w:tc>
      </w:tr>
      <w:tr w:rsidR="004848F8" w14:paraId="62EF1BD9" w14:textId="77777777" w:rsidTr="004848F8">
        <w:trPr>
          <w:cantSplit/>
        </w:trPr>
        <w:tc>
          <w:tcPr>
            <w:tcW w:w="2100" w:type="dxa"/>
          </w:tcPr>
          <w:p w14:paraId="5AADB265" w14:textId="5C7C9333" w:rsidR="004848F8" w:rsidRPr="004848F8" w:rsidRDefault="004848F8" w:rsidP="004848F8">
            <w:pPr>
              <w:spacing w:line="240" w:lineRule="auto"/>
              <w:ind w:firstLine="0"/>
              <w:jc w:val="left"/>
              <w:rPr>
                <w:sz w:val="18"/>
              </w:rPr>
            </w:pPr>
            <w:r w:rsidRPr="004848F8">
              <w:rPr>
                <w:sz w:val="18"/>
              </w:rPr>
              <w:t>FaceNet</w:t>
            </w:r>
          </w:p>
        </w:tc>
        <w:tc>
          <w:tcPr>
            <w:tcW w:w="1560" w:type="dxa"/>
          </w:tcPr>
          <w:p w14:paraId="54A1A661" w14:textId="3227F2DB" w:rsidR="004848F8" w:rsidRPr="004848F8" w:rsidRDefault="004848F8" w:rsidP="004848F8">
            <w:pPr>
              <w:spacing w:line="240" w:lineRule="auto"/>
              <w:ind w:firstLine="0"/>
              <w:jc w:val="center"/>
              <w:rPr>
                <w:sz w:val="18"/>
              </w:rPr>
            </w:pPr>
            <w:r w:rsidRPr="004848F8">
              <w:rPr>
                <w:sz w:val="18"/>
              </w:rPr>
              <w:t>100.00%</w:t>
            </w:r>
          </w:p>
        </w:tc>
        <w:tc>
          <w:tcPr>
            <w:tcW w:w="1640" w:type="dxa"/>
          </w:tcPr>
          <w:p w14:paraId="5878C156" w14:textId="419C988B" w:rsidR="004848F8" w:rsidRPr="004848F8" w:rsidRDefault="004848F8" w:rsidP="004848F8">
            <w:pPr>
              <w:spacing w:line="240" w:lineRule="auto"/>
              <w:ind w:firstLine="0"/>
              <w:jc w:val="center"/>
              <w:rPr>
                <w:sz w:val="18"/>
              </w:rPr>
            </w:pPr>
            <w:r w:rsidRPr="004848F8">
              <w:rPr>
                <w:sz w:val="18"/>
              </w:rPr>
              <w:t>100.00%</w:t>
            </w:r>
          </w:p>
        </w:tc>
        <w:tc>
          <w:tcPr>
            <w:tcW w:w="1600" w:type="dxa"/>
          </w:tcPr>
          <w:p w14:paraId="2B9DE1E0" w14:textId="2F94F64C" w:rsidR="004848F8" w:rsidRPr="004848F8" w:rsidRDefault="004848F8" w:rsidP="004848F8">
            <w:pPr>
              <w:spacing w:line="240" w:lineRule="auto"/>
              <w:ind w:firstLine="0"/>
              <w:jc w:val="center"/>
              <w:rPr>
                <w:sz w:val="18"/>
              </w:rPr>
            </w:pPr>
            <w:r w:rsidRPr="004848F8">
              <w:rPr>
                <w:sz w:val="18"/>
              </w:rPr>
              <w:t>2,048 B</w:t>
            </w:r>
          </w:p>
        </w:tc>
      </w:tr>
    </w:tbl>
    <w:p w14:paraId="3769A679" w14:textId="77777777" w:rsidR="004848F8" w:rsidRPr="004848F8" w:rsidRDefault="004848F8" w:rsidP="004848F8">
      <w:r w:rsidRPr="004848F8">
        <w:t>SFace and FaceNet tied at 100.00% held-out TAR and Rank-1; SFace won the recorded feature-size tie-break (512 B versus 2,048 B). ArcFace retained 100.00% Rank-1 but reached 96.43% TAR. Thus, SFace is the learned tier, while LBPH remains the separately selected classical fast path.</w:t>
      </w:r>
    </w:p>
    <w:p w14:paraId="28A52F10" w14:textId="77777777" w:rsidR="00C33013" w:rsidRDefault="00112F74" w:rsidP="00FA012B">
      <w:pPr>
        <w:pStyle w:val="heading2"/>
      </w:pPr>
      <w:r>
        <w:t>Independence Test: Frozen Operating Points</w:t>
      </w:r>
    </w:p>
    <w:p w14:paraId="1C9A99F4" w14:textId="77777777" w:rsidR="00C33013" w:rsidRPr="00C33013" w:rsidRDefault="00C33013" w:rsidP="00C33013">
      <w:r w:rsidRPr="00C33013">
        <w:t>LFW DB1 fixes the deployed native-score operating points before LSDB evaluation: LBPH tau_accept = 67.0333 (rank 165 of 16,522,626 unique impostor pairs; 9.986 ppm), SFace L2 = 1.0313 with cosine &gt;= 0.363, and tau_reject = 140.13.</w:t>
      </w:r>
    </w:p>
    <w:p w14:paraId="38E031DC" w14:textId="0C6E99AD" w:rsidR="00112F74" w:rsidRPr="00C33013" w:rsidRDefault="00C33013" w:rsidP="00C33013">
      <w:pPr>
        <w:pStyle w:val="tablecaption"/>
      </w:pPr>
      <w:r w:rsidRPr="00C33013">
        <w:t>Table 4. Final frozen operating points.</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800"/>
        <w:gridCol w:w="2900"/>
        <w:gridCol w:w="2200"/>
      </w:tblGrid>
      <w:tr w:rsidR="00BC7EE1" w:rsidRPr="002D46B9" w14:paraId="4E6CCFA4" w14:textId="77777777" w:rsidTr="009514F7">
        <w:trPr>
          <w:cantSplit/>
          <w:trHeight w:val="352"/>
          <w:tblHeader/>
        </w:trPr>
        <w:tc>
          <w:tcPr>
            <w:tcW w:w="1800" w:type="dxa"/>
            <w:tcBorders>
              <w:top w:val="single" w:sz="12" w:space="0" w:color="auto"/>
              <w:bottom w:val="single" w:sz="6" w:space="0" w:color="auto"/>
            </w:tcBorders>
          </w:tcPr>
          <w:p w14:paraId="3C26AE5E" w14:textId="631D94FD" w:rsidR="00BC7EE1" w:rsidRPr="009514F7" w:rsidRDefault="009514F7" w:rsidP="009514F7">
            <w:pPr>
              <w:spacing w:line="240" w:lineRule="auto"/>
              <w:ind w:firstLine="0"/>
              <w:jc w:val="left"/>
              <w:rPr>
                <w:b/>
                <w:sz w:val="18"/>
              </w:rPr>
            </w:pPr>
            <w:r w:rsidRPr="009514F7">
              <w:rPr>
                <w:b/>
                <w:sz w:val="18"/>
              </w:rPr>
              <w:t>Boundary</w:t>
            </w:r>
          </w:p>
        </w:tc>
        <w:tc>
          <w:tcPr>
            <w:tcW w:w="2900" w:type="dxa"/>
            <w:tcBorders>
              <w:top w:val="single" w:sz="12" w:space="0" w:color="auto"/>
              <w:bottom w:val="single" w:sz="6" w:space="0" w:color="auto"/>
            </w:tcBorders>
          </w:tcPr>
          <w:p w14:paraId="32FC0DA3" w14:textId="1D4B3CEB" w:rsidR="00BC7EE1" w:rsidRPr="009514F7" w:rsidRDefault="009514F7" w:rsidP="009514F7">
            <w:pPr>
              <w:spacing w:line="240" w:lineRule="auto"/>
              <w:ind w:firstLine="0"/>
              <w:jc w:val="center"/>
              <w:rPr>
                <w:b/>
                <w:sz w:val="18"/>
              </w:rPr>
            </w:pPr>
            <w:r w:rsidRPr="009514F7">
              <w:rPr>
                <w:b/>
                <w:sz w:val="18"/>
              </w:rPr>
              <w:t>Source / native scale</w:t>
            </w:r>
          </w:p>
        </w:tc>
        <w:tc>
          <w:tcPr>
            <w:tcW w:w="2200" w:type="dxa"/>
            <w:tcBorders>
              <w:top w:val="single" w:sz="12" w:space="0" w:color="auto"/>
              <w:bottom w:val="single" w:sz="6" w:space="0" w:color="auto"/>
            </w:tcBorders>
          </w:tcPr>
          <w:p w14:paraId="0AA3F69E" w14:textId="6C7DC8A7" w:rsidR="00BC7EE1" w:rsidRPr="009514F7" w:rsidRDefault="009514F7" w:rsidP="009514F7">
            <w:pPr>
              <w:spacing w:line="240" w:lineRule="auto"/>
              <w:ind w:firstLine="0"/>
              <w:jc w:val="center"/>
              <w:rPr>
                <w:b/>
                <w:sz w:val="18"/>
              </w:rPr>
            </w:pPr>
            <w:r w:rsidRPr="009514F7">
              <w:rPr>
                <w:b/>
                <w:sz w:val="18"/>
              </w:rPr>
              <w:t>Role</w:t>
            </w:r>
          </w:p>
        </w:tc>
      </w:tr>
      <w:tr w:rsidR="00BC7EE1" w:rsidRPr="002D46B9" w14:paraId="28B1643F" w14:textId="77777777" w:rsidTr="009514F7">
        <w:trPr>
          <w:cantSplit/>
        </w:trPr>
        <w:tc>
          <w:tcPr>
            <w:tcW w:w="1800" w:type="dxa"/>
            <w:tcBorders>
              <w:top w:val="single" w:sz="6" w:space="0" w:color="auto"/>
            </w:tcBorders>
          </w:tcPr>
          <w:p w14:paraId="3F66B253" w14:textId="5CCE7AE7" w:rsidR="00BC7EE1" w:rsidRPr="009514F7" w:rsidRDefault="009514F7" w:rsidP="009514F7">
            <w:pPr>
              <w:spacing w:line="240" w:lineRule="auto"/>
              <w:ind w:firstLine="0"/>
              <w:jc w:val="left"/>
              <w:rPr>
                <w:sz w:val="18"/>
              </w:rPr>
            </w:pPr>
            <w:r w:rsidRPr="009514F7">
              <w:rPr>
                <w:sz w:val="18"/>
              </w:rPr>
              <w:t>LBPH tau_accept</w:t>
            </w:r>
          </w:p>
        </w:tc>
        <w:tc>
          <w:tcPr>
            <w:tcW w:w="2900" w:type="dxa"/>
            <w:tcBorders>
              <w:top w:val="single" w:sz="6" w:space="0" w:color="auto"/>
            </w:tcBorders>
          </w:tcPr>
          <w:p w14:paraId="61D3FBA2" w14:textId="5D896EE5" w:rsidR="00BC7EE1" w:rsidRPr="009514F7" w:rsidRDefault="009514F7" w:rsidP="009514F7">
            <w:pPr>
              <w:spacing w:line="240" w:lineRule="auto"/>
              <w:ind w:firstLine="0"/>
              <w:jc w:val="center"/>
              <w:rPr>
                <w:sz w:val="18"/>
              </w:rPr>
            </w:pPr>
            <w:r w:rsidRPr="009514F7">
              <w:rPr>
                <w:sz w:val="18"/>
              </w:rPr>
              <w:t>LFW; predict_collect</w:t>
            </w:r>
          </w:p>
        </w:tc>
        <w:tc>
          <w:tcPr>
            <w:tcW w:w="2200" w:type="dxa"/>
            <w:tcBorders>
              <w:top w:val="single" w:sz="6" w:space="0" w:color="auto"/>
            </w:tcBorders>
          </w:tcPr>
          <w:p w14:paraId="1C695BC2" w14:textId="75BE356B" w:rsidR="00BC7EE1" w:rsidRPr="009514F7" w:rsidRDefault="009514F7" w:rsidP="009514F7">
            <w:pPr>
              <w:spacing w:line="240" w:lineRule="auto"/>
              <w:ind w:firstLine="0"/>
              <w:jc w:val="center"/>
              <w:rPr>
                <w:sz w:val="18"/>
              </w:rPr>
            </w:pPr>
            <w:r w:rsidRPr="009514F7">
              <w:rPr>
                <w:sz w:val="18"/>
              </w:rPr>
              <w:t>accept</w:t>
            </w:r>
          </w:p>
        </w:tc>
      </w:tr>
      <w:tr w:rsidR="00BC7EE1" w:rsidRPr="002D46B9" w14:paraId="1487168C" w14:textId="77777777" w:rsidTr="009514F7">
        <w:trPr>
          <w:cantSplit/>
        </w:trPr>
        <w:tc>
          <w:tcPr>
            <w:tcW w:w="1800" w:type="dxa"/>
          </w:tcPr>
          <w:p w14:paraId="385F82B4" w14:textId="2DC993E5" w:rsidR="00BC7EE1" w:rsidRPr="009514F7" w:rsidRDefault="009514F7" w:rsidP="009514F7">
            <w:pPr>
              <w:spacing w:line="240" w:lineRule="auto"/>
              <w:ind w:firstLine="0"/>
              <w:jc w:val="left"/>
              <w:rPr>
                <w:sz w:val="18"/>
              </w:rPr>
            </w:pPr>
            <w:r w:rsidRPr="009514F7">
              <w:rPr>
                <w:sz w:val="18"/>
              </w:rPr>
              <w:t>SFace L2</w:t>
            </w:r>
          </w:p>
        </w:tc>
        <w:tc>
          <w:tcPr>
            <w:tcW w:w="2900" w:type="dxa"/>
          </w:tcPr>
          <w:p w14:paraId="4326079C" w14:textId="68AF6481" w:rsidR="00BC7EE1" w:rsidRPr="009514F7" w:rsidRDefault="009514F7" w:rsidP="009514F7">
            <w:pPr>
              <w:spacing w:line="240" w:lineRule="auto"/>
              <w:ind w:firstLine="0"/>
              <w:jc w:val="center"/>
              <w:rPr>
                <w:sz w:val="18"/>
              </w:rPr>
            </w:pPr>
            <w:r w:rsidRPr="009514F7">
              <w:rPr>
                <w:sz w:val="18"/>
              </w:rPr>
              <w:t>LFW; SFace L2</w:t>
            </w:r>
          </w:p>
        </w:tc>
        <w:tc>
          <w:tcPr>
            <w:tcW w:w="2200" w:type="dxa"/>
          </w:tcPr>
          <w:p w14:paraId="24FECBCF" w14:textId="0BB6B135" w:rsidR="00BC7EE1" w:rsidRPr="009514F7" w:rsidRDefault="009514F7" w:rsidP="009514F7">
            <w:pPr>
              <w:spacing w:line="240" w:lineRule="auto"/>
              <w:ind w:firstLine="0"/>
              <w:jc w:val="center"/>
              <w:rPr>
                <w:sz w:val="18"/>
              </w:rPr>
            </w:pPr>
            <w:r w:rsidRPr="009514F7">
              <w:rPr>
                <w:sz w:val="18"/>
              </w:rPr>
              <w:t>escalated accept</w:t>
            </w:r>
          </w:p>
        </w:tc>
      </w:tr>
      <w:tr w:rsidR="00BC7EE1" w:rsidRPr="002D46B9" w14:paraId="5F6E8BC4" w14:textId="77777777" w:rsidTr="009514F7">
        <w:trPr>
          <w:cantSplit/>
        </w:trPr>
        <w:tc>
          <w:tcPr>
            <w:tcW w:w="1800" w:type="dxa"/>
          </w:tcPr>
          <w:p w14:paraId="1D78C032" w14:textId="239D0A6D" w:rsidR="00BC7EE1" w:rsidRPr="009514F7" w:rsidRDefault="009514F7" w:rsidP="009514F7">
            <w:pPr>
              <w:spacing w:line="240" w:lineRule="auto"/>
              <w:ind w:firstLine="0"/>
              <w:jc w:val="left"/>
              <w:rPr>
                <w:sz w:val="18"/>
              </w:rPr>
            </w:pPr>
            <w:r w:rsidRPr="009514F7">
              <w:rPr>
                <w:sz w:val="18"/>
              </w:rPr>
              <w:t>LBPH tau_reject</w:t>
            </w:r>
          </w:p>
        </w:tc>
        <w:tc>
          <w:tcPr>
            <w:tcW w:w="2900" w:type="dxa"/>
          </w:tcPr>
          <w:p w14:paraId="3C71EEA5" w14:textId="255DD300" w:rsidR="00BC7EE1" w:rsidRPr="009514F7" w:rsidRDefault="009514F7" w:rsidP="009514F7">
            <w:pPr>
              <w:spacing w:line="240" w:lineRule="auto"/>
              <w:ind w:firstLine="0"/>
              <w:jc w:val="center"/>
              <w:rPr>
                <w:sz w:val="18"/>
              </w:rPr>
            </w:pPr>
            <w:r w:rsidRPr="009514F7">
              <w:rPr>
                <w:sz w:val="18"/>
              </w:rPr>
              <w:t>LFW trade-off; predict_collect</w:t>
            </w:r>
          </w:p>
        </w:tc>
        <w:tc>
          <w:tcPr>
            <w:tcW w:w="2200" w:type="dxa"/>
          </w:tcPr>
          <w:p w14:paraId="79DCF76B" w14:textId="5D85A08A" w:rsidR="00BC7EE1" w:rsidRPr="009514F7" w:rsidRDefault="009514F7" w:rsidP="009514F7">
            <w:pPr>
              <w:spacing w:line="240" w:lineRule="auto"/>
              <w:ind w:firstLine="0"/>
              <w:jc w:val="center"/>
              <w:rPr>
                <w:sz w:val="18"/>
              </w:rPr>
            </w:pPr>
            <w:r w:rsidRPr="009514F7">
              <w:rPr>
                <w:sz w:val="18"/>
              </w:rPr>
              <w:t>permissive reject edge</w:t>
            </w:r>
          </w:p>
        </w:tc>
      </w:tr>
    </w:tbl>
    <w:p w14:paraId="64D9941C" w14:textId="77777777" w:rsidR="009514F7" w:rsidRPr="009514F7" w:rsidRDefault="009514F7" w:rsidP="00D74371">
      <w:pPr>
        <w:keepNext/>
        <w:keepLines/>
        <w:pageBreakBefore/>
      </w:pPr>
      <w:r w:rsidRPr="009514F7">
        <w:lastRenderedPageBreak/>
        <w:t>Figure 1 shows the frozen boundaries against the fresh LSDB clean-impostor distribution; it is not a re-calibration.</w:t>
      </w:r>
    </w:p>
    <w:p w14:paraId="6648D37F" w14:textId="6A6CA3EC" w:rsidR="00112F74" w:rsidRDefault="00112F74" w:rsidP="00112F74">
      <w:pPr>
        <w:pStyle w:val="tablecaption"/>
      </w:pPr>
    </w:p>
    <w:p w14:paraId="72F1F697" w14:textId="562516EF" w:rsidR="00112F74" w:rsidRDefault="00403B5D" w:rsidP="00403B5D">
      <w:pPr>
        <w:pStyle w:val="tablecaption"/>
      </w:pPr>
      <w:r>
        <w:rPr>
          <w:noProof/>
        </w:rPr>
        <w:drawing>
          <wp:inline distT="0" distB="0" distL="0" distR="0" wp14:anchorId="67EDA5BD" wp14:editId="433B5AE6">
            <wp:extent cx="5080000" cy="1722755"/>
            <wp:effectExtent l="0" t="0" r="6350" b="0"/>
            <wp:docPr id="606797683" name="Graphic 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80000" cy="1722755"/>
                    </a:xfrm>
                    <a:prstGeom prst="rect">
                      <a:avLst/>
                    </a:prstGeom>
                  </pic:spPr>
                </pic:pic>
              </a:graphicData>
            </a:graphic>
          </wp:inline>
        </w:drawing>
      </w:r>
    </w:p>
    <w:p w14:paraId="2B376198" w14:textId="77777777" w:rsidR="004848F8" w:rsidRPr="00C33013" w:rsidRDefault="004848F8" w:rsidP="00C33013">
      <w:pPr>
        <w:pStyle w:val="figurecaption"/>
      </w:pPr>
      <w:r w:rsidRPr="00C33013">
        <w:t>Fig. 1. Histograms and KDE curves for fresh LSDB clean impostor pairs. Long-dotted lines mark frozen LFW operating points.</w:t>
      </w:r>
    </w:p>
    <w:p w14:paraId="454D7B95" w14:textId="77777777" w:rsidR="00C33013" w:rsidRDefault="00FA012B" w:rsidP="00FA012B">
      <w:pPr>
        <w:pStyle w:val="heading2"/>
        <w:pageBreakBefore/>
      </w:pPr>
      <w:r>
        <w:lastRenderedPageBreak/>
        <w:t>LFW2 Robustness Evaluation</w:t>
      </w:r>
    </w:p>
    <w:p w14:paraId="7D2D591F" w14:textId="77777777" w:rsidR="00C33013" w:rsidRPr="00C33013" w:rsidRDefault="00C33013" w:rsidP="00C33013">
      <w:r w:rsidRPr="00C33013">
        <w:t>Table 5 summarizes gallery/probe-disjoint LFW2 1-to-N identification robustness at the frozen deployment thresholds. Across all 41 modifications, SFace and the cascade retain 80.65% AR, whereas LBPH alone retains 1.41%. The cascade escalates 97.51% of probes to SFace; isolated latency is reported from a 575-identity subset.</w:t>
      </w:r>
    </w:p>
    <w:p w14:paraId="6C0D70BC" w14:textId="4FC0E99B" w:rsidR="00FA012B" w:rsidRPr="00C33013" w:rsidRDefault="00C33013" w:rsidP="00C33013">
      <w:pPr>
        <w:pStyle w:val="tablecaption"/>
      </w:pPr>
      <w:r w:rsidRPr="00C33013">
        <w:t>Table 5. LFW2 1-to-N identification robustness at frozen deployment thresholds.</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700"/>
        <w:gridCol w:w="900"/>
        <w:gridCol w:w="1300"/>
        <w:gridCol w:w="1200"/>
        <w:gridCol w:w="1800"/>
      </w:tblGrid>
      <w:tr w:rsidR="00FA012B" w14:paraId="55CBA32F" w14:textId="77777777" w:rsidTr="009514F7">
        <w:trPr>
          <w:cantSplit/>
          <w:tblHeader/>
        </w:trPr>
        <w:tc>
          <w:tcPr>
            <w:tcW w:w="1700" w:type="dxa"/>
            <w:tcBorders>
              <w:top w:val="single" w:sz="12" w:space="0" w:color="auto"/>
              <w:bottom w:val="single" w:sz="6" w:space="0" w:color="auto"/>
            </w:tcBorders>
          </w:tcPr>
          <w:p w14:paraId="073C1069" w14:textId="731306F0" w:rsidR="00FA012B" w:rsidRPr="009514F7" w:rsidRDefault="009514F7" w:rsidP="009514F7">
            <w:pPr>
              <w:spacing w:line="240" w:lineRule="auto"/>
              <w:ind w:firstLine="0"/>
              <w:jc w:val="left"/>
              <w:rPr>
                <w:b/>
                <w:sz w:val="18"/>
              </w:rPr>
            </w:pPr>
            <w:r w:rsidRPr="009514F7">
              <w:rPr>
                <w:b/>
                <w:sz w:val="18"/>
              </w:rPr>
              <w:t>Mode</w:t>
            </w:r>
          </w:p>
        </w:tc>
        <w:tc>
          <w:tcPr>
            <w:tcW w:w="900" w:type="dxa"/>
            <w:tcBorders>
              <w:top w:val="single" w:sz="12" w:space="0" w:color="auto"/>
              <w:bottom w:val="single" w:sz="6" w:space="0" w:color="auto"/>
            </w:tcBorders>
          </w:tcPr>
          <w:p w14:paraId="264E5341" w14:textId="1CA8C4A3" w:rsidR="00FA012B" w:rsidRPr="009514F7" w:rsidRDefault="009514F7" w:rsidP="009514F7">
            <w:pPr>
              <w:spacing w:line="240" w:lineRule="auto"/>
              <w:ind w:firstLine="0"/>
              <w:jc w:val="center"/>
              <w:rPr>
                <w:b/>
                <w:sz w:val="18"/>
              </w:rPr>
            </w:pPr>
            <w:r w:rsidRPr="009514F7">
              <w:rPr>
                <w:b/>
                <w:sz w:val="18"/>
              </w:rPr>
              <w:t>AR (%)</w:t>
            </w:r>
          </w:p>
        </w:tc>
        <w:tc>
          <w:tcPr>
            <w:tcW w:w="1300" w:type="dxa"/>
            <w:tcBorders>
              <w:top w:val="single" w:sz="12" w:space="0" w:color="auto"/>
              <w:bottom w:val="single" w:sz="6" w:space="0" w:color="auto"/>
            </w:tcBorders>
          </w:tcPr>
          <w:p w14:paraId="25DCA68D" w14:textId="5106EB8C" w:rsidR="00FA012B" w:rsidRPr="009514F7" w:rsidRDefault="009514F7" w:rsidP="009514F7">
            <w:pPr>
              <w:spacing w:line="240" w:lineRule="auto"/>
              <w:ind w:firstLine="0"/>
              <w:jc w:val="center"/>
              <w:rPr>
                <w:b/>
                <w:sz w:val="18"/>
              </w:rPr>
            </w:pPr>
            <w:r w:rsidRPr="009514F7">
              <w:rPr>
                <w:b/>
                <w:sz w:val="18"/>
              </w:rPr>
              <w:t>Latency (ms)</w:t>
            </w:r>
          </w:p>
        </w:tc>
        <w:tc>
          <w:tcPr>
            <w:tcW w:w="1200" w:type="dxa"/>
            <w:tcBorders>
              <w:top w:val="single" w:sz="12" w:space="0" w:color="auto"/>
              <w:bottom w:val="single" w:sz="6" w:space="0" w:color="auto"/>
            </w:tcBorders>
          </w:tcPr>
          <w:p w14:paraId="1CEE4312" w14:textId="0CD3F4D0" w:rsidR="00FA012B" w:rsidRPr="009514F7" w:rsidRDefault="009514F7" w:rsidP="009514F7">
            <w:pPr>
              <w:spacing w:line="240" w:lineRule="auto"/>
              <w:ind w:firstLine="0"/>
              <w:jc w:val="center"/>
              <w:rPr>
                <w:b/>
                <w:sz w:val="18"/>
              </w:rPr>
            </w:pPr>
            <w:r w:rsidRPr="009514F7">
              <w:rPr>
                <w:b/>
                <w:sz w:val="18"/>
              </w:rPr>
              <w:t>FAR (%)</w:t>
            </w:r>
          </w:p>
        </w:tc>
        <w:tc>
          <w:tcPr>
            <w:tcW w:w="1800" w:type="dxa"/>
            <w:tcBorders>
              <w:top w:val="single" w:sz="12" w:space="0" w:color="auto"/>
              <w:bottom w:val="single" w:sz="6" w:space="0" w:color="auto"/>
            </w:tcBorders>
          </w:tcPr>
          <w:p w14:paraId="7B8FC6D4" w14:textId="168189FD" w:rsidR="00FA012B" w:rsidRPr="009514F7" w:rsidRDefault="009514F7" w:rsidP="009514F7">
            <w:pPr>
              <w:spacing w:line="240" w:lineRule="auto"/>
              <w:ind w:firstLine="0"/>
              <w:jc w:val="center"/>
              <w:rPr>
                <w:b/>
                <w:sz w:val="18"/>
              </w:rPr>
            </w:pPr>
            <w:r w:rsidRPr="009514F7">
              <w:rPr>
                <w:b/>
                <w:sz w:val="18"/>
              </w:rPr>
              <w:t>Escalation (%)</w:t>
            </w:r>
          </w:p>
        </w:tc>
      </w:tr>
      <w:tr w:rsidR="00FA012B" w14:paraId="644A1593" w14:textId="77777777" w:rsidTr="009514F7">
        <w:trPr>
          <w:cantSplit/>
        </w:trPr>
        <w:tc>
          <w:tcPr>
            <w:tcW w:w="1700" w:type="dxa"/>
            <w:tcBorders>
              <w:top w:val="single" w:sz="6" w:space="0" w:color="auto"/>
            </w:tcBorders>
          </w:tcPr>
          <w:p w14:paraId="004018C5" w14:textId="06DC882A" w:rsidR="00FA012B" w:rsidRPr="009514F7" w:rsidRDefault="009514F7" w:rsidP="009514F7">
            <w:pPr>
              <w:spacing w:line="240" w:lineRule="auto"/>
              <w:ind w:firstLine="0"/>
              <w:jc w:val="left"/>
              <w:rPr>
                <w:sz w:val="18"/>
              </w:rPr>
            </w:pPr>
            <w:r w:rsidRPr="009514F7">
              <w:rPr>
                <w:sz w:val="18"/>
              </w:rPr>
              <w:t>Classical CV (LBPH)</w:t>
            </w:r>
          </w:p>
        </w:tc>
        <w:tc>
          <w:tcPr>
            <w:tcW w:w="900" w:type="dxa"/>
            <w:tcBorders>
              <w:top w:val="single" w:sz="6" w:space="0" w:color="auto"/>
            </w:tcBorders>
          </w:tcPr>
          <w:p w14:paraId="3602F71D" w14:textId="6D524E78" w:rsidR="00FA012B" w:rsidRPr="009514F7" w:rsidRDefault="009514F7" w:rsidP="009514F7">
            <w:pPr>
              <w:spacing w:line="240" w:lineRule="auto"/>
              <w:ind w:firstLine="0"/>
              <w:jc w:val="center"/>
              <w:rPr>
                <w:sz w:val="18"/>
              </w:rPr>
            </w:pPr>
            <w:r w:rsidRPr="009514F7">
              <w:rPr>
                <w:sz w:val="18"/>
              </w:rPr>
              <w:t>1.41</w:t>
            </w:r>
          </w:p>
        </w:tc>
        <w:tc>
          <w:tcPr>
            <w:tcW w:w="1300" w:type="dxa"/>
            <w:tcBorders>
              <w:top w:val="single" w:sz="6" w:space="0" w:color="auto"/>
            </w:tcBorders>
          </w:tcPr>
          <w:p w14:paraId="2ACEDA32" w14:textId="5965568C" w:rsidR="00FA012B" w:rsidRPr="009514F7" w:rsidRDefault="009514F7" w:rsidP="009514F7">
            <w:pPr>
              <w:spacing w:line="240" w:lineRule="auto"/>
              <w:ind w:firstLine="0"/>
              <w:jc w:val="center"/>
              <w:rPr>
                <w:sz w:val="18"/>
              </w:rPr>
            </w:pPr>
            <w:r w:rsidRPr="009514F7">
              <w:rPr>
                <w:sz w:val="18"/>
              </w:rPr>
              <w:t>72.49</w:t>
            </w:r>
          </w:p>
        </w:tc>
        <w:tc>
          <w:tcPr>
            <w:tcW w:w="1200" w:type="dxa"/>
            <w:tcBorders>
              <w:top w:val="single" w:sz="6" w:space="0" w:color="auto"/>
            </w:tcBorders>
          </w:tcPr>
          <w:p w14:paraId="5C957D0A" w14:textId="265FD58E" w:rsidR="00FA012B" w:rsidRPr="009514F7" w:rsidRDefault="009514F7" w:rsidP="009514F7">
            <w:pPr>
              <w:spacing w:line="240" w:lineRule="auto"/>
              <w:ind w:firstLine="0"/>
              <w:jc w:val="center"/>
              <w:rPr>
                <w:sz w:val="18"/>
              </w:rPr>
            </w:pPr>
            <w:r w:rsidRPr="009514F7">
              <w:rPr>
                <w:sz w:val="18"/>
              </w:rPr>
              <w:t>0.0010</w:t>
            </w:r>
          </w:p>
        </w:tc>
        <w:tc>
          <w:tcPr>
            <w:tcW w:w="1800" w:type="dxa"/>
            <w:tcBorders>
              <w:top w:val="single" w:sz="6" w:space="0" w:color="auto"/>
            </w:tcBorders>
          </w:tcPr>
          <w:p w14:paraId="6DEAD068" w14:textId="5213D659" w:rsidR="00FA012B" w:rsidRPr="009514F7" w:rsidRDefault="009514F7" w:rsidP="009514F7">
            <w:pPr>
              <w:spacing w:line="240" w:lineRule="auto"/>
              <w:ind w:firstLine="0"/>
              <w:jc w:val="center"/>
              <w:rPr>
                <w:sz w:val="18"/>
              </w:rPr>
            </w:pPr>
            <w:r w:rsidRPr="009514F7">
              <w:rPr>
                <w:sz w:val="18"/>
              </w:rPr>
              <w:t>N/A</w:t>
            </w:r>
          </w:p>
        </w:tc>
      </w:tr>
      <w:tr w:rsidR="00FA012B" w14:paraId="77191C07" w14:textId="77777777" w:rsidTr="009514F7">
        <w:trPr>
          <w:cantSplit/>
        </w:trPr>
        <w:tc>
          <w:tcPr>
            <w:tcW w:w="1700" w:type="dxa"/>
          </w:tcPr>
          <w:p w14:paraId="092A828B" w14:textId="1A24DEAE" w:rsidR="00FA012B" w:rsidRPr="009514F7" w:rsidRDefault="009514F7" w:rsidP="009514F7">
            <w:pPr>
              <w:spacing w:line="240" w:lineRule="auto"/>
              <w:ind w:firstLine="0"/>
              <w:jc w:val="left"/>
              <w:rPr>
                <w:sz w:val="18"/>
              </w:rPr>
            </w:pPr>
            <w:r w:rsidRPr="009514F7">
              <w:rPr>
                <w:sz w:val="18"/>
              </w:rPr>
              <w:t>Deep Learning (SFace)</w:t>
            </w:r>
          </w:p>
        </w:tc>
        <w:tc>
          <w:tcPr>
            <w:tcW w:w="900" w:type="dxa"/>
          </w:tcPr>
          <w:p w14:paraId="3EDED5AE" w14:textId="1DE6262B" w:rsidR="00FA012B" w:rsidRPr="009514F7" w:rsidRDefault="009514F7" w:rsidP="009514F7">
            <w:pPr>
              <w:spacing w:line="240" w:lineRule="auto"/>
              <w:ind w:firstLine="0"/>
              <w:jc w:val="center"/>
              <w:rPr>
                <w:sz w:val="18"/>
              </w:rPr>
            </w:pPr>
            <w:r w:rsidRPr="009514F7">
              <w:rPr>
                <w:sz w:val="18"/>
              </w:rPr>
              <w:t>80.65</w:t>
            </w:r>
          </w:p>
        </w:tc>
        <w:tc>
          <w:tcPr>
            <w:tcW w:w="1300" w:type="dxa"/>
          </w:tcPr>
          <w:p w14:paraId="05B83D1F" w14:textId="078F68E3" w:rsidR="00FA012B" w:rsidRPr="009514F7" w:rsidRDefault="009514F7" w:rsidP="009514F7">
            <w:pPr>
              <w:spacing w:line="240" w:lineRule="auto"/>
              <w:ind w:firstLine="0"/>
              <w:jc w:val="center"/>
              <w:rPr>
                <w:sz w:val="18"/>
              </w:rPr>
            </w:pPr>
            <w:r w:rsidRPr="009514F7">
              <w:rPr>
                <w:sz w:val="18"/>
              </w:rPr>
              <w:t>84.36</w:t>
            </w:r>
          </w:p>
        </w:tc>
        <w:tc>
          <w:tcPr>
            <w:tcW w:w="1200" w:type="dxa"/>
          </w:tcPr>
          <w:p w14:paraId="080D77A0" w14:textId="4F9A8A68" w:rsidR="00FA012B" w:rsidRPr="009514F7" w:rsidRDefault="009514F7" w:rsidP="009514F7">
            <w:pPr>
              <w:spacing w:line="240" w:lineRule="auto"/>
              <w:ind w:firstLine="0"/>
              <w:jc w:val="center"/>
              <w:rPr>
                <w:sz w:val="18"/>
              </w:rPr>
            </w:pPr>
            <w:r w:rsidRPr="009514F7">
              <w:rPr>
                <w:sz w:val="18"/>
              </w:rPr>
              <w:t>~0.0010</w:t>
            </w:r>
          </w:p>
        </w:tc>
        <w:tc>
          <w:tcPr>
            <w:tcW w:w="1800" w:type="dxa"/>
          </w:tcPr>
          <w:p w14:paraId="07B2F2CB" w14:textId="3B9B6D64" w:rsidR="00FA012B" w:rsidRPr="009514F7" w:rsidRDefault="009514F7" w:rsidP="009514F7">
            <w:pPr>
              <w:spacing w:line="240" w:lineRule="auto"/>
              <w:ind w:firstLine="0"/>
              <w:jc w:val="center"/>
              <w:rPr>
                <w:sz w:val="18"/>
              </w:rPr>
            </w:pPr>
            <w:r w:rsidRPr="009514F7">
              <w:rPr>
                <w:sz w:val="18"/>
              </w:rPr>
              <w:t>N/A</w:t>
            </w:r>
          </w:p>
        </w:tc>
      </w:tr>
      <w:tr w:rsidR="00FA012B" w14:paraId="0F597D1A" w14:textId="77777777" w:rsidTr="009514F7">
        <w:trPr>
          <w:cantSplit/>
        </w:trPr>
        <w:tc>
          <w:tcPr>
            <w:tcW w:w="1700" w:type="dxa"/>
          </w:tcPr>
          <w:p w14:paraId="195520EC" w14:textId="7450637B" w:rsidR="00FA012B" w:rsidRPr="009514F7" w:rsidRDefault="009514F7" w:rsidP="009514F7">
            <w:pPr>
              <w:spacing w:line="240" w:lineRule="auto"/>
              <w:ind w:firstLine="0"/>
              <w:jc w:val="left"/>
              <w:rPr>
                <w:sz w:val="18"/>
              </w:rPr>
            </w:pPr>
            <w:r w:rsidRPr="009514F7">
              <w:rPr>
                <w:sz w:val="18"/>
              </w:rPr>
              <w:t>Hybrid Cascade</w:t>
            </w:r>
          </w:p>
        </w:tc>
        <w:tc>
          <w:tcPr>
            <w:tcW w:w="900" w:type="dxa"/>
          </w:tcPr>
          <w:p w14:paraId="71DCB242" w14:textId="28D20AD6" w:rsidR="00FA012B" w:rsidRPr="009514F7" w:rsidRDefault="009514F7" w:rsidP="009514F7">
            <w:pPr>
              <w:spacing w:line="240" w:lineRule="auto"/>
              <w:ind w:firstLine="0"/>
              <w:jc w:val="center"/>
              <w:rPr>
                <w:sz w:val="18"/>
              </w:rPr>
            </w:pPr>
            <w:r w:rsidRPr="009514F7">
              <w:rPr>
                <w:sz w:val="18"/>
              </w:rPr>
              <w:t>80.65</w:t>
            </w:r>
          </w:p>
        </w:tc>
        <w:tc>
          <w:tcPr>
            <w:tcW w:w="1300" w:type="dxa"/>
          </w:tcPr>
          <w:p w14:paraId="3AAF747B" w14:textId="34E8353F" w:rsidR="00FA012B" w:rsidRPr="009514F7" w:rsidRDefault="009514F7" w:rsidP="009514F7">
            <w:pPr>
              <w:spacing w:line="240" w:lineRule="auto"/>
              <w:ind w:firstLine="0"/>
              <w:jc w:val="center"/>
              <w:rPr>
                <w:sz w:val="18"/>
              </w:rPr>
            </w:pPr>
            <w:r w:rsidRPr="009514F7">
              <w:rPr>
                <w:sz w:val="18"/>
              </w:rPr>
              <w:t>82.54</w:t>
            </w:r>
          </w:p>
        </w:tc>
        <w:tc>
          <w:tcPr>
            <w:tcW w:w="1200" w:type="dxa"/>
          </w:tcPr>
          <w:p w14:paraId="781458BD" w14:textId="442A4043" w:rsidR="00FA012B" w:rsidRPr="009514F7" w:rsidRDefault="00D74371" w:rsidP="00D74371">
            <w:pPr>
              <w:spacing w:line="240" w:lineRule="auto"/>
              <w:ind w:firstLine="0"/>
              <w:jc w:val="center"/>
              <w:rPr>
                <w:sz w:val="18"/>
              </w:rPr>
            </w:pPr>
            <w:r w:rsidRPr="00D74371">
              <w:rPr>
                <w:sz w:val="18"/>
              </w:rPr>
              <w:t>≤0.0020</w:t>
            </w:r>
          </w:p>
        </w:tc>
        <w:tc>
          <w:tcPr>
            <w:tcW w:w="1800" w:type="dxa"/>
          </w:tcPr>
          <w:p w14:paraId="3F9D447E" w14:textId="3DB06C56" w:rsidR="00FA012B" w:rsidRPr="009514F7" w:rsidRDefault="009514F7" w:rsidP="009514F7">
            <w:pPr>
              <w:spacing w:line="240" w:lineRule="auto"/>
              <w:ind w:firstLine="0"/>
              <w:jc w:val="center"/>
              <w:rPr>
                <w:sz w:val="18"/>
              </w:rPr>
            </w:pPr>
            <w:r w:rsidRPr="009514F7">
              <w:rPr>
                <w:sz w:val="18"/>
              </w:rPr>
              <w:t>97.51</w:t>
            </w:r>
          </w:p>
        </w:tc>
      </w:tr>
    </w:tbl>
    <w:p w14:paraId="30AFFF2E" w14:textId="77777777" w:rsidR="00FA012B" w:rsidRPr="00FA012B" w:rsidRDefault="00FA012B" w:rsidP="00FA012B">
      <w:pPr>
        <w:pStyle w:val="p1a"/>
        <w:spacing w:after="120"/>
        <w:rPr>
          <w:sz w:val="16"/>
        </w:rPr>
      </w:pPr>
      <w:r w:rsidRPr="00FA012B">
        <w:rPr>
          <w:sz w:val="16"/>
        </w:rPr>
        <w:t>Overall AR and escalation are means across 41 modifications (5,749 enrolled identities; 1,680 probes; strict no-face policy). Latencies are isolated means from a 575-identity/172-probe subset. Standalone FAR values are LFW1 9.986-ppm calibrations; SFace is approximate at the deployed boundary. Cascade ≤0.0020% is a conservative union bound, not a measured joint FAR.</w:t>
      </w:r>
    </w:p>
    <w:p w14:paraId="36D6FA79" w14:textId="77777777" w:rsidR="001D2FF0" w:rsidRDefault="001D2FF0" w:rsidP="001D2FF0">
      <w:pPr>
        <w:pStyle w:val="heading2"/>
      </w:pPr>
      <w:r>
        <w:t>Complementarity on Held-Out LSDB-DL41 Probes</w:t>
      </w:r>
    </w:p>
    <w:p w14:paraId="332EBDA7" w14:textId="77777777" w:rsidR="00C33013" w:rsidRDefault="001D2FF0" w:rsidP="001D2FF0">
      <w:pPr>
        <w:pStyle w:val="p1a"/>
        <w:keepNext/>
      </w:pPr>
      <w:r>
        <w:t>The complementarity battery used 2,296 DL41-transformed probes from the 56-image held-out LSDB split, with the frozen LFW-derived gate and strict detector-failure handling. This is a paired transform-sensitivity analysis, not a new operating-point calibration or an LFW result. At the thresholded correct-identity decision, LBPH was correct on 707 probes, SFace alone recovered 1,296 LBPH failures, and both engines failed on 293 probes.</w:t>
      </w:r>
    </w:p>
    <w:p w14:paraId="139B42C2" w14:textId="232E6E16" w:rsidR="001D2FF0" w:rsidRPr="00C33013" w:rsidRDefault="00C33013" w:rsidP="00C33013">
      <w:pPr>
        <w:pStyle w:val="tablecaption"/>
      </w:pPr>
      <w:r w:rsidRPr="00C33013">
        <w:t>Table 6. Paired thresholded correct-identity outcomes on held-out LSDB-DL41 probes (n = 2,296).</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300"/>
        <w:gridCol w:w="2300"/>
        <w:gridCol w:w="2300"/>
      </w:tblGrid>
      <w:tr w:rsidR="001D2FF0" w14:paraId="1B3EAC23" w14:textId="77777777" w:rsidTr="009514F7">
        <w:trPr>
          <w:cantSplit/>
          <w:tblHeader/>
        </w:trPr>
        <w:tc>
          <w:tcPr>
            <w:tcW w:w="2300" w:type="dxa"/>
            <w:tcBorders>
              <w:top w:val="single" w:sz="12" w:space="0" w:color="auto"/>
              <w:bottom w:val="single" w:sz="6" w:space="0" w:color="auto"/>
            </w:tcBorders>
          </w:tcPr>
          <w:p w14:paraId="064C736A" w14:textId="3041AA48" w:rsidR="001D2FF0" w:rsidRPr="009514F7" w:rsidRDefault="009514F7" w:rsidP="009514F7">
            <w:pPr>
              <w:spacing w:line="240" w:lineRule="auto"/>
              <w:ind w:firstLine="0"/>
              <w:jc w:val="left"/>
              <w:rPr>
                <w:b/>
                <w:sz w:val="18"/>
              </w:rPr>
            </w:pPr>
            <w:r w:rsidRPr="009514F7">
              <w:rPr>
                <w:b/>
                <w:sz w:val="18"/>
              </w:rPr>
              <w:t>LBPH outcome</w:t>
            </w:r>
          </w:p>
        </w:tc>
        <w:tc>
          <w:tcPr>
            <w:tcW w:w="2300" w:type="dxa"/>
            <w:tcBorders>
              <w:top w:val="single" w:sz="12" w:space="0" w:color="auto"/>
              <w:bottom w:val="single" w:sz="6" w:space="0" w:color="auto"/>
            </w:tcBorders>
          </w:tcPr>
          <w:p w14:paraId="3DF46DD8" w14:textId="2A000E51" w:rsidR="001D2FF0" w:rsidRPr="009514F7" w:rsidRDefault="009514F7" w:rsidP="009514F7">
            <w:pPr>
              <w:spacing w:line="240" w:lineRule="auto"/>
              <w:ind w:firstLine="0"/>
              <w:jc w:val="center"/>
              <w:rPr>
                <w:b/>
                <w:sz w:val="18"/>
              </w:rPr>
            </w:pPr>
            <w:r w:rsidRPr="009514F7">
              <w:rPr>
                <w:b/>
                <w:sz w:val="18"/>
              </w:rPr>
              <w:t>SFace correct</w:t>
            </w:r>
          </w:p>
        </w:tc>
        <w:tc>
          <w:tcPr>
            <w:tcW w:w="2300" w:type="dxa"/>
            <w:tcBorders>
              <w:top w:val="single" w:sz="12" w:space="0" w:color="auto"/>
              <w:bottom w:val="single" w:sz="6" w:space="0" w:color="auto"/>
            </w:tcBorders>
          </w:tcPr>
          <w:p w14:paraId="6526C41E" w14:textId="1E4812D1" w:rsidR="001D2FF0" w:rsidRPr="009514F7" w:rsidRDefault="009514F7" w:rsidP="009514F7">
            <w:pPr>
              <w:spacing w:line="240" w:lineRule="auto"/>
              <w:ind w:firstLine="0"/>
              <w:jc w:val="center"/>
              <w:rPr>
                <w:b/>
                <w:sz w:val="18"/>
              </w:rPr>
            </w:pPr>
            <w:r w:rsidRPr="009514F7">
              <w:rPr>
                <w:b/>
                <w:sz w:val="18"/>
              </w:rPr>
              <w:t>SFace wrong</w:t>
            </w:r>
          </w:p>
        </w:tc>
      </w:tr>
      <w:tr w:rsidR="001D2FF0" w14:paraId="1065BF9C" w14:textId="77777777" w:rsidTr="009514F7">
        <w:trPr>
          <w:cantSplit/>
        </w:trPr>
        <w:tc>
          <w:tcPr>
            <w:tcW w:w="2300" w:type="dxa"/>
            <w:tcBorders>
              <w:top w:val="single" w:sz="6" w:space="0" w:color="auto"/>
            </w:tcBorders>
          </w:tcPr>
          <w:p w14:paraId="4E5E6A25" w14:textId="717DDD20" w:rsidR="001D2FF0" w:rsidRPr="009514F7" w:rsidRDefault="009514F7" w:rsidP="009514F7">
            <w:pPr>
              <w:spacing w:line="240" w:lineRule="auto"/>
              <w:ind w:firstLine="0"/>
              <w:jc w:val="left"/>
              <w:rPr>
                <w:sz w:val="18"/>
              </w:rPr>
            </w:pPr>
            <w:r w:rsidRPr="009514F7">
              <w:rPr>
                <w:sz w:val="18"/>
              </w:rPr>
              <w:t>LBPH correct</w:t>
            </w:r>
          </w:p>
        </w:tc>
        <w:tc>
          <w:tcPr>
            <w:tcW w:w="2300" w:type="dxa"/>
            <w:tcBorders>
              <w:top w:val="single" w:sz="6" w:space="0" w:color="auto"/>
            </w:tcBorders>
          </w:tcPr>
          <w:p w14:paraId="171AE676" w14:textId="7BECA6EF" w:rsidR="001D2FF0" w:rsidRPr="009514F7" w:rsidRDefault="009514F7" w:rsidP="009514F7">
            <w:pPr>
              <w:spacing w:line="240" w:lineRule="auto"/>
              <w:ind w:firstLine="0"/>
              <w:jc w:val="center"/>
              <w:rPr>
                <w:sz w:val="18"/>
              </w:rPr>
            </w:pPr>
            <w:r w:rsidRPr="009514F7">
              <w:rPr>
                <w:sz w:val="18"/>
              </w:rPr>
              <w:t>707</w:t>
            </w:r>
          </w:p>
        </w:tc>
        <w:tc>
          <w:tcPr>
            <w:tcW w:w="2300" w:type="dxa"/>
            <w:tcBorders>
              <w:top w:val="single" w:sz="6" w:space="0" w:color="auto"/>
            </w:tcBorders>
          </w:tcPr>
          <w:p w14:paraId="7E07E83F" w14:textId="18124288" w:rsidR="001D2FF0" w:rsidRPr="009514F7" w:rsidRDefault="009514F7" w:rsidP="009514F7">
            <w:pPr>
              <w:spacing w:line="240" w:lineRule="auto"/>
              <w:ind w:firstLine="0"/>
              <w:jc w:val="center"/>
              <w:rPr>
                <w:sz w:val="18"/>
              </w:rPr>
            </w:pPr>
            <w:r w:rsidRPr="009514F7">
              <w:rPr>
                <w:sz w:val="18"/>
              </w:rPr>
              <w:t>0</w:t>
            </w:r>
          </w:p>
        </w:tc>
      </w:tr>
      <w:tr w:rsidR="001D2FF0" w14:paraId="0E7A7CFD" w14:textId="77777777" w:rsidTr="009514F7">
        <w:trPr>
          <w:cantSplit/>
        </w:trPr>
        <w:tc>
          <w:tcPr>
            <w:tcW w:w="2300" w:type="dxa"/>
          </w:tcPr>
          <w:p w14:paraId="2A748DED" w14:textId="000F50B3" w:rsidR="001D2FF0" w:rsidRPr="009514F7" w:rsidRDefault="009514F7" w:rsidP="009514F7">
            <w:pPr>
              <w:spacing w:line="240" w:lineRule="auto"/>
              <w:ind w:firstLine="0"/>
              <w:jc w:val="left"/>
              <w:rPr>
                <w:sz w:val="18"/>
              </w:rPr>
            </w:pPr>
            <w:r w:rsidRPr="009514F7">
              <w:rPr>
                <w:sz w:val="18"/>
              </w:rPr>
              <w:t>LBPH wrong</w:t>
            </w:r>
          </w:p>
        </w:tc>
        <w:tc>
          <w:tcPr>
            <w:tcW w:w="2300" w:type="dxa"/>
          </w:tcPr>
          <w:p w14:paraId="54759729" w14:textId="5D762711" w:rsidR="001D2FF0" w:rsidRPr="009514F7" w:rsidRDefault="009514F7" w:rsidP="009514F7">
            <w:pPr>
              <w:spacing w:line="240" w:lineRule="auto"/>
              <w:ind w:firstLine="0"/>
              <w:jc w:val="center"/>
              <w:rPr>
                <w:sz w:val="18"/>
              </w:rPr>
            </w:pPr>
            <w:r w:rsidRPr="009514F7">
              <w:rPr>
                <w:sz w:val="18"/>
              </w:rPr>
              <w:t>1,296</w:t>
            </w:r>
          </w:p>
        </w:tc>
        <w:tc>
          <w:tcPr>
            <w:tcW w:w="2300" w:type="dxa"/>
          </w:tcPr>
          <w:p w14:paraId="3E34E679" w14:textId="6E7E7671" w:rsidR="001D2FF0" w:rsidRPr="009514F7" w:rsidRDefault="009514F7" w:rsidP="009514F7">
            <w:pPr>
              <w:spacing w:line="240" w:lineRule="auto"/>
              <w:ind w:firstLine="0"/>
              <w:jc w:val="center"/>
              <w:rPr>
                <w:sz w:val="18"/>
              </w:rPr>
            </w:pPr>
            <w:r w:rsidRPr="009514F7">
              <w:rPr>
                <w:sz w:val="18"/>
              </w:rPr>
              <w:t>293</w:t>
            </w:r>
          </w:p>
        </w:tc>
      </w:tr>
    </w:tbl>
    <w:p w14:paraId="7BD6FF3D" w14:textId="77777777" w:rsidR="001D2FF0" w:rsidRPr="001D2FF0" w:rsidRDefault="001D2FF0" w:rsidP="001D2FF0">
      <w:pPr>
        <w:pStyle w:val="p1a"/>
        <w:rPr>
          <w:sz w:val="18"/>
        </w:rPr>
      </w:pPr>
      <w:r w:rsidRPr="001D2FF0">
        <w:rPr>
          <w:sz w:val="18"/>
        </w:rPr>
        <w:t>SFace recovered 1,296 of 1,589 LBPH errors: 81.56% (Wilson 95% CI, 79.58â€“83.39%). Exact two-sided McNemar testing of the discordant cells (LBPH-only right = 0; SFace-only right = 1,296) gave p &lt; 10^-300. These counts establish asymmetric error recovery in this LSDB stress setting; they do not establish error independence on a population-level impostor distribution.</w:t>
      </w:r>
    </w:p>
    <w:p w14:paraId="71D714CE" w14:textId="14FD3C69" w:rsidR="001D2FF0" w:rsidRDefault="001D2FF0" w:rsidP="001D2FF0">
      <w:pPr>
        <w:pStyle w:val="figurecaption"/>
        <w:spacing w:after="40"/>
      </w:pPr>
      <w:r>
        <w:rPr>
          <w:noProof/>
        </w:rPr>
        <w:lastRenderedPageBreak/>
        <w:drawing>
          <wp:inline distT="0" distB="0" distL="0" distR="0" wp14:anchorId="52034D61" wp14:editId="303C56F6">
            <wp:extent cx="4392930" cy="3445510"/>
            <wp:effectExtent l="0" t="0" r="7620" b="2540"/>
            <wp:docPr id="1449583475"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9583475"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4392930" cy="3445510"/>
                    </a:xfrm>
                    <a:prstGeom prst="rect">
                      <a:avLst/>
                    </a:prstGeom>
                  </pic:spPr>
                </pic:pic>
              </a:graphicData>
            </a:graphic>
          </wp:inline>
        </w:drawing>
      </w:r>
    </w:p>
    <w:p w14:paraId="70637E1A" w14:textId="77777777" w:rsidR="004848F8" w:rsidRPr="00C33013" w:rsidRDefault="004848F8" w:rsidP="00C33013">
      <w:pPr>
        <w:pStyle w:val="figurecaption"/>
      </w:pPr>
      <w:r w:rsidRPr="00C33013">
        <w:t>Fig. 2. SFace recovery of LBPH thresholded errors by DL41 transformation on the LSDB held-out split. Whiskers show 95% Wilson intervals; all claims are restricted to this transform-sensitivity stress test.</w:t>
      </w:r>
    </w:p>
    <w:p w14:paraId="59C67C65" w14:textId="06A7DA04" w:rsidR="001D2FF0" w:rsidRDefault="001D2FF0" w:rsidP="001D2FF0">
      <w:pPr>
        <w:pStyle w:val="p1a"/>
      </w:pPr>
      <w:r>
        <w:t>The gate signal separated threshold-free LBPH Rank-1 failures strongly among the 2,060 probes for which a gate signal was available: the LBPH distance yielded ROC AUC 0.95019 and negative relative margin yielded AUC 0.95319, against 444 Rank-1 errors. At the deployed routing rule, the gate recalled all thresholded LBPH system failures, while its false-positive routing rate among thresholded LBPH-correct scored probes was 40.88% and routing precision was 82.40%. The gate therefore captures the relevant failure regime, but deliberately routes many correct LBPH cases to the DL tier.</w:t>
      </w:r>
    </w:p>
    <w:p w14:paraId="2A9D86F6" w14:textId="172CE7F9" w:rsidR="001D2FF0" w:rsidRDefault="001D2FF0" w:rsidP="001D2FF0">
      <w:pPr>
        <w:pStyle w:val="figurecaption"/>
        <w:spacing w:after="40"/>
      </w:pPr>
      <w:r>
        <w:rPr>
          <w:noProof/>
        </w:rPr>
        <w:lastRenderedPageBreak/>
        <w:drawing>
          <wp:inline distT="0" distB="0" distL="0" distR="0" wp14:anchorId="30CC0783" wp14:editId="3F6879DA">
            <wp:extent cx="4392930" cy="3324860"/>
            <wp:effectExtent l="0" t="0" r="7620" b="8890"/>
            <wp:docPr id="310698648" name="Graphic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0698648"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4392930" cy="3324860"/>
                    </a:xfrm>
                    <a:prstGeom prst="rect">
                      <a:avLst/>
                    </a:prstGeom>
                  </pic:spPr>
                </pic:pic>
              </a:graphicData>
            </a:graphic>
          </wp:inline>
        </w:drawing>
      </w:r>
    </w:p>
    <w:p w14:paraId="25345F05" w14:textId="77777777" w:rsidR="004848F8" w:rsidRPr="00C33013" w:rsidRDefault="004848F8" w:rsidP="00C33013">
      <w:pPr>
        <w:pStyle w:val="figurecaption"/>
      </w:pPr>
      <w:r w:rsidRPr="00C33013">
        <w:t>Fig. 3. Gate competence for threshold-free LBPH Rank-1 errors on scored LSDB-DL41 probes (n = 2,060; 444 errors). Curves evaluate failure discrimination, separate from the thresholded routing outcomes reported in text.</w:t>
      </w:r>
    </w:p>
    <w:p w14:paraId="3E53BAAE" w14:textId="33E9A38E" w:rsidR="001D2FF0" w:rsidRDefault="001D2FF0" w:rsidP="001D2FF0">
      <w:pPr>
        <w:pStyle w:val="p1a"/>
      </w:pPr>
      <w:r>
        <w:t>The route sweep shows the cost of that recovery under the recorded recognition-stage timing protocol. The deployed cascade matched SFace at 87.24% thresholded correct-identity acceptance, but used 11.96 ms per probe versus 8.33 ms for SFace-only; it escalated 71.52% of probes. LBPH-only ran at 5.25 ms but reached 30.79%. Thus this run supports recovery and routing evidence, not a selective speed-gain claim.</w:t>
      </w:r>
    </w:p>
    <w:p w14:paraId="43E8F8FC" w14:textId="567F4347" w:rsidR="001D2FF0" w:rsidRDefault="001D2FF0" w:rsidP="001D2FF0">
      <w:pPr>
        <w:pStyle w:val="figurecaption"/>
        <w:spacing w:after="40"/>
      </w:pPr>
      <w:r>
        <w:rPr>
          <w:noProof/>
        </w:rPr>
        <w:lastRenderedPageBreak/>
        <w:drawing>
          <wp:inline distT="0" distB="0" distL="0" distR="0" wp14:anchorId="6B44D920" wp14:editId="649262E0">
            <wp:extent cx="4392930" cy="2997835"/>
            <wp:effectExtent l="0" t="0" r="7620" b="0"/>
            <wp:docPr id="970333035"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0333035" name=""/>
                    <pic:cNvPicPr/>
                  </pic:nvPicPr>
                  <pic:blipFill>
                    <a:blip r:embed="rId15">
                      <a:extLst>
                        <a:ext uri="{96DAC541-7B7A-43D3-8B79-37D633B846F1}">
                          <asvg:svgBlip xmlns:asvg="http://schemas.microsoft.com/office/drawing/2016/SVG/main" r:embed="rId16"/>
                        </a:ext>
                      </a:extLst>
                    </a:blip>
                    <a:stretch>
                      <a:fillRect/>
                    </a:stretch>
                  </pic:blipFill>
                  <pic:spPr>
                    <a:xfrm>
                      <a:off x="0" y="0"/>
                      <a:ext cx="4392930" cy="2997835"/>
                    </a:xfrm>
                    <a:prstGeom prst="rect">
                      <a:avLst/>
                    </a:prstGeom>
                  </pic:spPr>
                </pic:pic>
              </a:graphicData>
            </a:graphic>
          </wp:inline>
        </w:drawing>
      </w:r>
    </w:p>
    <w:p w14:paraId="33BDD9D6" w14:textId="77777777" w:rsidR="004848F8" w:rsidRPr="00C33013" w:rsidRDefault="004848F8" w:rsidP="00C33013">
      <w:pPr>
        <w:pStyle w:val="figurecaption"/>
      </w:pPr>
      <w:r w:rsidRPr="00C33013">
        <w:t>Fig. 4. Recognition-stage timing versus thresholded correct-identity acceptance for held-out LSDB-DL41 probes. Timing is single-pass, model-initialized measurement and is not end-to-end deployment latency.</w:t>
      </w:r>
    </w:p>
    <w:p w14:paraId="2DFE8A7D" w14:textId="652E13E3" w:rsidR="001D2FF0" w:rsidRDefault="001D2FF0" w:rsidP="001D2FF0">
      <w:pPr>
        <w:pStyle w:val="heading1"/>
      </w:pPr>
      <w:r>
        <w:t>Discussion</w:t>
      </w:r>
    </w:p>
    <w:p w14:paraId="739CDBEC" w14:textId="77777777" w:rsidR="001D2FF0" w:rsidRDefault="001D2FF0" w:rsidP="001D2FF0">
      <w:pPr>
        <w:pStyle w:val="p1a"/>
      </w:pPr>
      <w:r>
        <w:t>Results support a division of labor rather than a claim that the cascade universally improves a stronger learned recognizer. LSDB selection identifies LBPH as the strongest tested classical fast path under its local calibration-only protocol, while SFace is retained as the compact learned tier. The held-out DL41 stress test then shows why the two tiers are operationally useful together: SFace recovers most thresholded LBPH failures and the LBPH distance/margin signals predict rank failures well enough to route them.</w:t>
      </w:r>
    </w:p>
    <w:p w14:paraId="2497AC6B" w14:textId="77777777" w:rsidR="001D2FF0" w:rsidRDefault="001D2FF0" w:rsidP="001D2FF0">
      <w:pPr>
        <w:pStyle w:val="p1a"/>
      </w:pPr>
      <w:r>
        <w:t>The evaluation also exposes an important boundary. On the LSDB-DL41 sweep, the deployed cascade equals SFace-only acceptance but is slower under recorded recognition-stage timing because most probes escalate. On the LFW2 identification evaluation, the cascade likewise closely follows SFace because the frozen LFW gate escalates 97.51% of degraded probes. The practical benefit is therefore a policy-controlled fallback and a transparent failure-routing mechanism, not a demonstrated latency reduction in every domain.</w:t>
      </w:r>
    </w:p>
    <w:p w14:paraId="3F08E651" w14:textId="77777777" w:rsidR="001D2FF0" w:rsidRDefault="001D2FF0" w:rsidP="001D2FF0">
      <w:pPr>
        <w:pStyle w:val="p1a"/>
      </w:pPr>
      <w:r>
        <w:t xml:space="preserve">Several limits remain. LSDB candidate selection, LFW threshold calibration, LFW2 robustness, and LSDB-DL41 complementarity answer different protocol questions and must not be merged into one accuracy claim. The LSDB complementarity results use deterministic transformations of a small held-out split; they do not measure open-set </w:t>
      </w:r>
      <w:r>
        <w:lastRenderedPageBreak/>
        <w:t>recognition, end-to-end device latency, or population-level error independence. Future work should repeat the paired battery with independently captured probes, full end-to-end hardware timing, and a larger open-set impostor corpus.</w:t>
      </w:r>
    </w:p>
    <w:p w14:paraId="5194EC1C" w14:textId="77777777" w:rsidR="001D2FF0" w:rsidRDefault="001D2FF0" w:rsidP="001D2FF0">
      <w:pPr>
        <w:pStyle w:val="heading1"/>
      </w:pPr>
      <w:r>
        <w:t>Conclusion</w:t>
      </w:r>
    </w:p>
    <w:p w14:paraId="0A208997" w14:textId="77777777" w:rsidR="001D2FF0" w:rsidRDefault="001D2FF0" w:rsidP="001D2FF0">
      <w:pPr>
        <w:pStyle w:val="p1a"/>
      </w:pPr>
      <w:r>
        <w:t>This paper presented LS-Face, a gated hybrid face-recognition system that couples an LBPH fast path with SFace escalation. A provenance-separated evaluation selected LBPH on LSDB, froze the deployment gate from LFW impostor evidence, and evaluated robustness and paired recovery without silently retuning thresholds on test outcomes. On held-out LSDB-DL41 probes, SFace recovered 81.56% of thresholded LBPH errors, while the gate signals discriminated LBPH Rank-1 failures with AUCs near 0.95.</w:t>
      </w:r>
    </w:p>
    <w:p w14:paraId="15B8855F" w14:textId="77777777" w:rsidR="001D2FF0" w:rsidRDefault="001D2FF0" w:rsidP="001D2FF0">
      <w:pPr>
        <w:pStyle w:val="p1a"/>
      </w:pPr>
      <w:r>
        <w:t>The evidence supports the hybrid as an interpretable routing design: LBPH can provide a low-cost first decision, and SFace supplies a robust fallback when the gate identifies a risky case. It does not support a general claim of lower latency than SFace-only or a universal accuracy gain. Larger independently captured open-set trials and end-to-end embedded measurements are needed before deployment-level performance claims.</w:t>
      </w:r>
    </w:p>
    <w:p w14:paraId="7553696B" w14:textId="77777777" w:rsidR="001D2FF0" w:rsidRDefault="001D2FF0" w:rsidP="001D2FF0">
      <w:pPr>
        <w:pStyle w:val="heading1"/>
      </w:pPr>
      <w:r>
        <w:t>Acknowledgments</w:t>
      </w:r>
    </w:p>
    <w:p w14:paraId="4AFAA2FF" w14:textId="77777777" w:rsidR="001D2FF0" w:rsidRDefault="001D2FF0" w:rsidP="001D2FF0">
      <w:pPr>
        <w:pStyle w:val="acknowlegments"/>
      </w:pPr>
      <w:r>
        <w:t>The authors thank the external deep-learning team for providing the candidate-model artifacts used in the offline screening stage.</w:t>
      </w:r>
    </w:p>
    <w:p w14:paraId="5663C805" w14:textId="77777777" w:rsidR="001D2FF0" w:rsidRDefault="001D2FF0" w:rsidP="001D2FF0">
      <w:pPr>
        <w:pStyle w:val="heading1"/>
      </w:pPr>
      <w:r>
        <w:t>Disclosure of Interests</w:t>
      </w:r>
    </w:p>
    <w:p w14:paraId="2AACFD21" w14:textId="77777777" w:rsidR="001D2FF0" w:rsidRDefault="001D2FF0" w:rsidP="001D2FF0">
      <w:pPr>
        <w:pStyle w:val="p1a"/>
      </w:pPr>
      <w:r>
        <w:t>The authors have no competing interests to declare.</w:t>
      </w:r>
    </w:p>
    <w:p w14:paraId="14C90B2E" w14:textId="4CFD40D5" w:rsidR="003922B4" w:rsidRDefault="003922B4" w:rsidP="00112F74">
      <w:pPr>
        <w:pStyle w:val="figurecaption"/>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lastRenderedPageBreak/>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0AAD0A6" w14:textId="77777777" w:rsidR="00214D44" w:rsidRDefault="00214D44">
      <w:r>
        <w:separator/>
      </w:r>
    </w:p>
  </w:endnote>
  <w:endnote w:type="continuationSeparator" w:id="0">
    <w:p w14:paraId="571270F1" w14:textId="77777777" w:rsidR="00214D44" w:rsidRDefault="00214D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0984575" w14:textId="77777777" w:rsidR="00214D44" w:rsidRDefault="00214D44" w:rsidP="009F7FCE">
      <w:pPr>
        <w:ind w:firstLine="0"/>
      </w:pPr>
      <w:r>
        <w:separator/>
      </w:r>
    </w:p>
  </w:footnote>
  <w:footnote w:type="continuationSeparator" w:id="0">
    <w:p w14:paraId="48F77D0F" w14:textId="77777777" w:rsidR="00214D44" w:rsidRDefault="00214D4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041"/>
    <w:rsid w:val="000808E6"/>
    <w:rsid w:val="000A0C9B"/>
    <w:rsid w:val="000B5485"/>
    <w:rsid w:val="00112F74"/>
    <w:rsid w:val="001579A0"/>
    <w:rsid w:val="00171C34"/>
    <w:rsid w:val="00183A15"/>
    <w:rsid w:val="001A12DD"/>
    <w:rsid w:val="001D2FF0"/>
    <w:rsid w:val="00205E9E"/>
    <w:rsid w:val="00214D44"/>
    <w:rsid w:val="002200D1"/>
    <w:rsid w:val="002625E2"/>
    <w:rsid w:val="00275C35"/>
    <w:rsid w:val="00286053"/>
    <w:rsid w:val="002A75FA"/>
    <w:rsid w:val="002D46B9"/>
    <w:rsid w:val="002E0A6C"/>
    <w:rsid w:val="0031337B"/>
    <w:rsid w:val="00371406"/>
    <w:rsid w:val="00372DDA"/>
    <w:rsid w:val="003922B4"/>
    <w:rsid w:val="003B7107"/>
    <w:rsid w:val="003C7101"/>
    <w:rsid w:val="003D4DDE"/>
    <w:rsid w:val="003E4753"/>
    <w:rsid w:val="00403B5D"/>
    <w:rsid w:val="004208A8"/>
    <w:rsid w:val="00450766"/>
    <w:rsid w:val="00453E6D"/>
    <w:rsid w:val="004848F8"/>
    <w:rsid w:val="004F1800"/>
    <w:rsid w:val="0050216C"/>
    <w:rsid w:val="0056788C"/>
    <w:rsid w:val="00591F8C"/>
    <w:rsid w:val="005A25C5"/>
    <w:rsid w:val="00633CCA"/>
    <w:rsid w:val="00650D80"/>
    <w:rsid w:val="00657088"/>
    <w:rsid w:val="00696589"/>
    <w:rsid w:val="006C7886"/>
    <w:rsid w:val="006D0B41"/>
    <w:rsid w:val="006E0338"/>
    <w:rsid w:val="00711EA3"/>
    <w:rsid w:val="00724AA4"/>
    <w:rsid w:val="00725D98"/>
    <w:rsid w:val="007666EB"/>
    <w:rsid w:val="00794B9A"/>
    <w:rsid w:val="007A2303"/>
    <w:rsid w:val="007A5BD5"/>
    <w:rsid w:val="007C34A8"/>
    <w:rsid w:val="00814B55"/>
    <w:rsid w:val="008324F6"/>
    <w:rsid w:val="0084733B"/>
    <w:rsid w:val="00890ACE"/>
    <w:rsid w:val="008A1B2D"/>
    <w:rsid w:val="008A2B60"/>
    <w:rsid w:val="008B1C52"/>
    <w:rsid w:val="008B3E12"/>
    <w:rsid w:val="008B5075"/>
    <w:rsid w:val="008C1DD7"/>
    <w:rsid w:val="008C5FFD"/>
    <w:rsid w:val="008F67C0"/>
    <w:rsid w:val="00943137"/>
    <w:rsid w:val="009514F7"/>
    <w:rsid w:val="0095682A"/>
    <w:rsid w:val="00962487"/>
    <w:rsid w:val="009930E4"/>
    <w:rsid w:val="009B2539"/>
    <w:rsid w:val="009B4245"/>
    <w:rsid w:val="009E3309"/>
    <w:rsid w:val="009F7FCE"/>
    <w:rsid w:val="00A13D60"/>
    <w:rsid w:val="00A430F2"/>
    <w:rsid w:val="00A517B7"/>
    <w:rsid w:val="00A61D1A"/>
    <w:rsid w:val="00A73199"/>
    <w:rsid w:val="00AA1DEB"/>
    <w:rsid w:val="00B00CB4"/>
    <w:rsid w:val="00B21A2D"/>
    <w:rsid w:val="00B23481"/>
    <w:rsid w:val="00B518D1"/>
    <w:rsid w:val="00B65883"/>
    <w:rsid w:val="00B849D3"/>
    <w:rsid w:val="00B95E98"/>
    <w:rsid w:val="00BA43A3"/>
    <w:rsid w:val="00BB162B"/>
    <w:rsid w:val="00BB4D8E"/>
    <w:rsid w:val="00BC7EE1"/>
    <w:rsid w:val="00BD03C9"/>
    <w:rsid w:val="00C33013"/>
    <w:rsid w:val="00C360B5"/>
    <w:rsid w:val="00C641B1"/>
    <w:rsid w:val="00C662A1"/>
    <w:rsid w:val="00C90FB8"/>
    <w:rsid w:val="00CD31D2"/>
    <w:rsid w:val="00CE47D9"/>
    <w:rsid w:val="00D05006"/>
    <w:rsid w:val="00D37042"/>
    <w:rsid w:val="00D61141"/>
    <w:rsid w:val="00D63666"/>
    <w:rsid w:val="00D74371"/>
    <w:rsid w:val="00D915EB"/>
    <w:rsid w:val="00DA2986"/>
    <w:rsid w:val="00DF2FD5"/>
    <w:rsid w:val="00DF7DA6"/>
    <w:rsid w:val="00E62234"/>
    <w:rsid w:val="00E77AE1"/>
    <w:rsid w:val="00EE1172"/>
    <w:rsid w:val="00EE14E2"/>
    <w:rsid w:val="00F138A8"/>
    <w:rsid w:val="00F24259"/>
    <w:rsid w:val="00F321B4"/>
    <w:rsid w:val="00F72ACE"/>
    <w:rsid w:val="00FA012B"/>
    <w:rsid w:val="00FE73A3"/>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sv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TotalTime>
  <Pages>14</Pages>
  <Words>3785</Words>
  <Characters>22150</Characters>
  <Application>Microsoft Office Word</Application>
  <DocSecurity>0</DocSecurity>
  <Lines>457</Lines>
  <Paragraphs>192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25750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33</cp:revision>
  <dcterms:created xsi:type="dcterms:W3CDTF">2023-10-25T07:01:00Z</dcterms:created>
  <dcterms:modified xsi:type="dcterms:W3CDTF">2026-08-11T11:03:00Z</dcterms:modified>
</cp:coreProperties>
</file>