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w:t>
      </w:r>
      <w:proofErr w:type="gramStart"/>
      <w:r>
        <w:t>faces</w:t>
      </w:r>
      <w:proofErr w:type="gramEnd"/>
      <w:r>
        <w:t xml:space="preserve"> onto PCA components; </w:t>
      </w:r>
      <w:proofErr w:type="spellStart"/>
      <w:r>
        <w:t>Fisherfaces</w:t>
      </w:r>
      <w:proofErr w:type="spellEnd"/>
      <w:r>
        <w:t xml:space="preserve">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w:t>
      </w:r>
      <w:proofErr w:type="spellStart"/>
      <w:r>
        <w:t>FaceNet</w:t>
      </w:r>
      <w:proofErr w:type="spellEnd"/>
      <w:r>
        <w:t xml:space="preserve"> [6] mapped faces to an embedding space with triplet loss. </w:t>
      </w:r>
      <w:proofErr w:type="spellStart"/>
      <w:r>
        <w:t>SFace</w:t>
      </w:r>
      <w:proofErr w:type="spellEnd"/>
      <w:r>
        <w:t xml:space="preserv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 xml:space="preserve">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w:t>
      </w:r>
      <w:proofErr w:type="gramStart"/>
      <w:r>
        <w:t>runs</w:t>
      </w:r>
      <w:proofErr w:type="gramEnd"/>
      <w:r>
        <w:t xml:space="preserve">. If not, the frame escalates: </w:t>
      </w:r>
      <w:proofErr w:type="spellStart"/>
      <w:r>
        <w:t>SFace</w:t>
      </w:r>
      <w:proofErr w:type="spellEnd"/>
      <w:r>
        <w:t xml:space="preserv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 xml:space="preserve">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w:t>
      </w:r>
      <w:proofErr w:type="spellStart"/>
      <w:r>
        <w:t>Fisherfaces</w:t>
      </w:r>
      <w:proofErr w:type="spellEnd"/>
      <w:r>
        <w:t xml:space="preserve">, and the learned embedding models </w:t>
      </w:r>
      <w:proofErr w:type="spellStart"/>
      <w:r>
        <w:t>SFace</w:t>
      </w:r>
      <w:proofErr w:type="spellEnd"/>
      <w:r>
        <w:t xml:space="preserve">, </w:t>
      </w:r>
      <w:proofErr w:type="spellStart"/>
      <w:r>
        <w:t>FaceNet</w:t>
      </w:r>
      <w:proofErr w:type="spellEnd"/>
      <w:r>
        <w:t xml:space="preserve">, and </w:t>
      </w:r>
      <w:proofErr w:type="spellStart"/>
      <w:r>
        <w:t>ArcFace</w:t>
      </w:r>
      <w:proofErr w:type="spellEnd"/>
      <w:r>
        <w:t>.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w:t>
      </w:r>
      <w:proofErr w:type="spellStart"/>
      <w:r>
        <w:t>SFace</w:t>
      </w:r>
      <w:proofErr w:type="spellEnd"/>
      <w:r>
        <w:t xml:space="preserve"> cascade thresholds.</w:t>
      </w:r>
    </w:p>
    <w:p w14:paraId="0108FFB7" w14:textId="12B5D77E" w:rsidR="00696589" w:rsidRDefault="00696589" w:rsidP="00696589">
      <w:pPr>
        <w:pStyle w:val="p1a"/>
      </w:pPr>
      <w:r>
        <w:t xml:space="preserve">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w:t>
      </w:r>
      <w:proofErr w:type="spellStart"/>
      <w:r>
        <w:t>Fisherfaces</w:t>
      </w:r>
      <w:proofErr w:type="spellEnd"/>
      <w:r>
        <w:t xml:space="preserve">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lastRenderedPageBreak/>
        <w:t xml:space="preserve">The learned-model screening used a common YuNet alignment and brightness-normalization front end. The available artifacts establish a 128-dimensional, 512-byte </w:t>
      </w:r>
      <w:proofErr w:type="spellStart"/>
      <w:r>
        <w:t>SFace</w:t>
      </w:r>
      <w:proofErr w:type="spellEnd"/>
      <w:r>
        <w:t xml:space="preserve"> embedding, compared with 512-dimensional, 2,048-byte </w:t>
      </w:r>
      <w:proofErr w:type="spellStart"/>
      <w:r>
        <w:t>FaceNet</w:t>
      </w:r>
      <w:proofErr w:type="spellEnd"/>
      <w:r>
        <w:t xml:space="preserve"> and </w:t>
      </w:r>
      <w:proofErr w:type="spellStart"/>
      <w:r>
        <w:t>ArcFace</w:t>
      </w:r>
      <w:proofErr w:type="spellEnd"/>
      <w:r>
        <w:t xml:space="preserve"> representations. </w:t>
      </w:r>
      <w:proofErr w:type="spellStart"/>
      <w:r>
        <w:t>SFace</w:t>
      </w:r>
      <w:proofErr w:type="spellEnd"/>
      <w:r>
        <w:t xml:space="preserve"> was retained as the deployment-compatible escalation model. This is a resource-constrained engineering choice, not a demonstrated accuracy </w:t>
      </w:r>
      <w:proofErr w:type="gramStart"/>
      <w:r>
        <w:t>win</w:t>
      </w:r>
      <w:proofErr w:type="gramEnd"/>
      <w:r>
        <w:t xml:space="preserve"> over </w:t>
      </w:r>
      <w:proofErr w:type="spellStart"/>
      <w:r>
        <w:t>FaceNet</w:t>
      </w:r>
      <w:proofErr w:type="spellEnd"/>
      <w:r>
        <w:t xml:space="preserve"> and </w:t>
      </w:r>
      <w:proofErr w:type="spellStart"/>
      <w:r>
        <w:t>ArcFace</w:t>
      </w:r>
      <w:proofErr w:type="spellEnd"/>
      <w:r>
        <w:t>: archived learned-model results use model-specific thresholds, and their reported true-positive values allow self-matching. After component selection, subsequent cascade experiments evaluate the frozen LBPH--</w:t>
      </w:r>
      <w:proofErr w:type="spellStart"/>
      <w:r>
        <w:t>SFace</w:t>
      </w:r>
      <w:proofErr w:type="spellEnd"/>
      <w:r>
        <w:t xml:space="preserv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 xml:space="preserve">C = </w:t>
      </w:r>
      <w:proofErr w:type="gramStart"/>
      <w:r>
        <w:t>N(</w:t>
      </w:r>
      <w:proofErr w:type="gramEnd"/>
      <w:r>
        <w:t xml:space="preserve">N − 1) / </w:t>
      </w:r>
      <w:proofErr w:type="gramStart"/>
      <w:r>
        <w:t>2  unique</w:t>
      </w:r>
      <w:proofErr w:type="gramEnd"/>
      <w:r>
        <w:t xml:space="preserv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2143BE8F"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BC7EE1">
          <w:rPr>
            <w:noProof/>
          </w:rPr>
          <w:t>1</w:t>
        </w:r>
      </w:fldSimple>
      <w:r w:rsidR="002E0A6C">
        <w:t>)</w:t>
      </w:r>
    </w:p>
    <w:p w14:paraId="602BBE70" w14:textId="5B32AD1E" w:rsidR="003922B4" w:rsidRDefault="00BB4D8E" w:rsidP="003922B4">
      <w:pPr>
        <w:pStyle w:val="p1a"/>
      </w:pPr>
      <w:r>
        <w:t>and set θ to the k-</w:t>
      </w:r>
      <w:proofErr w:type="spellStart"/>
      <w:r>
        <w:t>th</w:t>
      </w:r>
      <w:proofErr w:type="spellEnd"/>
      <w:r>
        <w:t xml:space="preserve">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 xml:space="preserve">Let d₁ and d₂ be the best and second-best LBPH distances. Let </w:t>
      </w:r>
      <w:proofErr w:type="spellStart"/>
      <w:r>
        <w:t>τ_a</w:t>
      </w:r>
      <w:proofErr w:type="spellEnd"/>
      <w:r>
        <w:t xml:space="preserve"> be the frozen LBPH acceptance threshold and </w:t>
      </w:r>
      <w:proofErr w:type="spellStart"/>
      <w:r>
        <w:t>τ_r</w:t>
      </w:r>
      <w:proofErr w:type="spellEnd"/>
      <w:r>
        <w:t xml:space="preserve"> &gt; </w:t>
      </w:r>
      <w:proofErr w:type="spellStart"/>
      <w:r>
        <w:t>τ_</w:t>
      </w:r>
      <w:proofErr w:type="gramStart"/>
      <w:r>
        <w:t>a</w:t>
      </w:r>
      <w:proofErr w:type="spellEnd"/>
      <w:r>
        <w:t xml:space="preserve"> the</w:t>
      </w:r>
      <w:proofErr w:type="gramEnd"/>
      <w:r>
        <w:t xml:space="preserve"> frozen escalation/reject threshold.</w:t>
      </w:r>
    </w:p>
    <w:p w14:paraId="34FBED73" w14:textId="77777777" w:rsidR="002E0A6C" w:rsidRDefault="003922B4" w:rsidP="003922B4">
      <w:r>
        <w:t>(</w:t>
      </w:r>
      <w:proofErr w:type="spellStart"/>
      <w:r>
        <w:t>i</w:t>
      </w:r>
      <w:proofErr w:type="spellEnd"/>
      <w:r>
        <w:t xml:space="preserve">) a quality flag fires (blur, low light, sensor noise, off-pose, or too-small face, measured on the crop LBPH already holds); (ii) the score is ambiguous: </w:t>
      </w:r>
      <w:proofErr w:type="spellStart"/>
      <w:r>
        <w:t>τ_a</w:t>
      </w:r>
      <w:proofErr w:type="spellEnd"/>
      <w:r>
        <w:t xml:space="preserve"> &lt; d₁ &lt; </w:t>
      </w:r>
      <w:proofErr w:type="spellStart"/>
      <w:r>
        <w:t>τ_r</w:t>
      </w:r>
      <w:proofErr w:type="spellEnd"/>
      <w:r>
        <w:t xml:space="preserve">; (iii) the top-two margin is thin: </w:t>
      </w:r>
    </w:p>
    <w:p w14:paraId="40A5B97E" w14:textId="6D0A194F" w:rsidR="003922B4" w:rsidRPr="002E0A6C" w:rsidRDefault="002E0A6C" w:rsidP="002E0A6C">
      <w:pPr>
        <w:pStyle w:val="equation"/>
      </w:pPr>
      <w:r>
        <w:tab/>
      </w:r>
      <w:r w:rsidR="003922B4">
        <w:t xml:space="preserve">(d₂ − d₁)/d₁ &lt; </w:t>
      </w:r>
      <w:proofErr w:type="spellStart"/>
      <w:r w:rsidR="003922B4">
        <w:t>m_min</w:t>
      </w:r>
      <w:proofErr w:type="spellEnd"/>
      <w:r>
        <w:t xml:space="preserve"> </w:t>
      </w:r>
      <w:r>
        <w:tab/>
        <w:t>(</w:t>
      </w:r>
      <w:fldSimple w:instr=" SEQ &quot;equation&quot; \n \* MERGEFORMAT ">
        <w:r w:rsidR="00BC7EE1">
          <w:rPr>
            <w:noProof/>
          </w:rPr>
          <w:t>2</w:t>
        </w:r>
      </w:fldSimple>
      <w:r>
        <w:t>)</w:t>
      </w:r>
    </w:p>
    <w:p w14:paraId="30C9F569" w14:textId="77777777" w:rsidR="003922B4" w:rsidRDefault="003922B4" w:rsidP="003922B4">
      <w:r>
        <w:t xml:space="preserve">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w:t>
      </w:r>
      <w:proofErr w:type="spellStart"/>
      <w:r>
        <w:t>τ_a</w:t>
      </w:r>
      <w:proofErr w:type="spellEnd"/>
      <w:r>
        <w:t xml:space="preserve"> accepts on LBPH and d₁ ≥ </w:t>
      </w:r>
      <w:proofErr w:type="spellStart"/>
      <w:r>
        <w:t>τ_r</w:t>
      </w:r>
      <w:proofErr w:type="spellEnd"/>
      <w:r>
        <w:t xml:space="preserve">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5714A003" w:rsidR="003922B4" w:rsidRPr="002E0A6C" w:rsidRDefault="00D61141" w:rsidP="00D61141">
      <w:pPr>
        <w:pStyle w:val="equation"/>
      </w:pPr>
      <w:r>
        <w:tab/>
      </w:r>
      <w:r w:rsidR="003922B4">
        <w:t>AR = K / M</w:t>
      </w:r>
      <w:r w:rsidR="002E0A6C">
        <w:tab/>
        <w:t>(</w:t>
      </w:r>
      <w:fldSimple w:instr=" SEQ &quot;equation&quot; \n \* MERGEFORMAT ">
        <w:r w:rsidR="00BC7EE1">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 xml:space="preserve">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w:t>
      </w:r>
      <w:proofErr w:type="gramStart"/>
      <w:r>
        <w:t>P(</w:t>
      </w:r>
      <w:proofErr w:type="spellStart"/>
      <w:proofErr w:type="gramEnd"/>
      <w:r>
        <w:t>SFace</w:t>
      </w:r>
      <w:proofErr w:type="spellEnd"/>
      <w:r>
        <w:t xml:space="preserv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 xml:space="preserve">Error independence on impostors. On the same sweep, flag each pair a CV false accept (d ≤ </w:t>
      </w:r>
      <w:proofErr w:type="spellStart"/>
      <w:r>
        <w:t>τ_a</w:t>
      </w:r>
      <w:proofErr w:type="spellEnd"/>
      <w:r>
        <w:t>) and/or a DL false accept (cosine ≥ 0.363 and L2 ≤ 1.0313). At the deployed L2 boundary, the cosine condition is non-binding. Independent errors would give</w:t>
      </w:r>
    </w:p>
    <w:p w14:paraId="012BF15E" w14:textId="6339C5A3" w:rsidR="003922B4" w:rsidRPr="007A5BD5" w:rsidRDefault="00D61141" w:rsidP="00D61141">
      <w:pPr>
        <w:pStyle w:val="equation"/>
      </w:pPr>
      <w:r>
        <w:tab/>
      </w:r>
      <w:r w:rsidR="003922B4">
        <w:t>E[both] = C · P(FP_CV) · P(FP_DL)</w:t>
      </w:r>
      <w:r w:rsidR="007A5BD5">
        <w:tab/>
        <w:t>(</w:t>
      </w:r>
      <w:fldSimple w:instr=" SEQ &quot;equation&quot; \n \* MERGEFORMAT ">
        <w:r w:rsidR="00BC7EE1">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0D8B193F" w:rsidR="003922B4" w:rsidRPr="007A5BD5" w:rsidRDefault="00D61141" w:rsidP="00D61141">
      <w:pPr>
        <w:pStyle w:val="equation"/>
      </w:pPr>
      <w:r>
        <w:tab/>
      </w:r>
      <w:r w:rsidR="003922B4">
        <w:t xml:space="preserve">Q = (ad − </w:t>
      </w:r>
      <w:proofErr w:type="spellStart"/>
      <w:r w:rsidR="003922B4">
        <w:t>bc</w:t>
      </w:r>
      <w:proofErr w:type="spellEnd"/>
      <w:r w:rsidR="003922B4">
        <w:t xml:space="preserve">) / (ad + </w:t>
      </w:r>
      <w:proofErr w:type="spellStart"/>
      <w:r w:rsidR="003922B4">
        <w:t>bc</w:t>
      </w:r>
      <w:proofErr w:type="spellEnd"/>
      <w:proofErr w:type="gramStart"/>
      <w:r w:rsidR="003922B4">
        <w:t>),  DF</w:t>
      </w:r>
      <w:proofErr w:type="gramEnd"/>
      <w:r w:rsidR="003922B4">
        <w:t xml:space="preserve"> = a / C</w:t>
      </w:r>
      <w:r w:rsidR="007A5BD5">
        <w:tab/>
        <w:t>(</w:t>
      </w:r>
      <w:fldSimple w:instr=" SEQ &quot;equation&quot; \n \* MERGEFORMAT ">
        <w:r w:rsidR="00BC7EE1">
          <w:rPr>
            <w:noProof/>
          </w:rPr>
          <w:t>5</w:t>
        </w:r>
      </w:fldSimple>
      <w:r w:rsidR="007A5BD5">
        <w:t>)</w:t>
      </w:r>
    </w:p>
    <w:p w14:paraId="082672BC" w14:textId="2E5CD556"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w:t>
      </w:r>
      <w:proofErr w:type="gramStart"/>
      <w:r>
        <w:t>, .</w:t>
      </w:r>
      <w:proofErr w:type="gramEnd"/>
      <w:r>
        <w:t xml:space="preserve"> DF stays useful either way as the impostor-side floor of </w:t>
      </w:r>
      <w:r>
        <w:lastRenderedPageBreak/>
        <w:t>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 xml:space="preserve">Separately tuned values across four databases would show tunability, not transfer. We freeze one configuration before cross-database evaluation: </w:t>
      </w:r>
      <w:proofErr w:type="spellStart"/>
      <w:r>
        <w:t>τ_a</w:t>
      </w:r>
      <w:proofErr w:type="spellEnd"/>
      <w:r>
        <w:t xml:space="preserve"> = 67.03325520645528 from LFW DB1's unique-pair LBPH sweep (rank 165; 9.986 ppm); </w:t>
      </w:r>
      <w:proofErr w:type="spellStart"/>
      <w:r>
        <w:t>τ_r</w:t>
      </w:r>
      <w:proofErr w:type="spellEnd"/>
      <w:r>
        <w:t xml:space="preserve"> = 140.13 from the LFW escalation trade-off; </w:t>
      </w:r>
      <w:proofErr w:type="spellStart"/>
      <w:r>
        <w:t>m_min</w:t>
      </w:r>
      <w:proofErr w:type="spellEnd"/>
      <w:r>
        <w:t xml:space="preserve"> = 0.05 is policy-set; and </w:t>
      </w:r>
      <w:proofErr w:type="spellStart"/>
      <w:r>
        <w:t>SFace</w:t>
      </w:r>
      <w:proofErr w:type="spellEnd"/>
      <w:r>
        <w:t xml:space="preserv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3911F4F6"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BC7EE1">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3710DFE8" w:rsidR="008F67C0" w:rsidRDefault="00183A15" w:rsidP="00183A15">
      <w:pPr>
        <w:pStyle w:val="tablecaption"/>
        <w:jc w:val="both"/>
      </w:pPr>
      <w:r>
        <w:rPr>
          <w:b/>
        </w:rPr>
        <w:lastRenderedPageBreak/>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8F67C0" w:rsidRPr="00183A15">
        <w:t>LSDB</w:t>
      </w:r>
      <w:r w:rsidR="008F67C0">
        <w:t xml:space="preserve"> classical candidate selection. TAR is </w:t>
      </w:r>
      <w:proofErr w:type="spellStart"/>
      <w:r w:rsidR="008F67C0">
        <w:t>thresholded</w:t>
      </w:r>
      <w:proofErr w:type="spellEnd"/>
      <w:r w:rsidR="008F67C0">
        <w:t xml:space="preserve"> at each model's calibration-only LSDB operating point.</w:t>
      </w:r>
    </w:p>
    <w:tbl>
      <w:tblPr>
        <w:tblW w:w="5782" w:type="pct"/>
        <w:jc w:val="center"/>
        <w:tblBorders>
          <w:top w:val="single" w:sz="4" w:space="0" w:color="auto"/>
          <w:bottom w:val="single" w:sz="4" w:space="0" w:color="auto"/>
        </w:tblBorders>
        <w:tblLayout w:type="fixed"/>
        <w:tblLook w:val="0000" w:firstRow="0" w:lastRow="0" w:firstColumn="0" w:lastColumn="0" w:noHBand="0" w:noVBand="0"/>
      </w:tblPr>
      <w:tblGrid>
        <w:gridCol w:w="2600"/>
        <w:gridCol w:w="1600"/>
        <w:gridCol w:w="1800"/>
        <w:gridCol w:w="2000"/>
      </w:tblGrid>
      <w:tr w:rsidR="008F67C0" w:rsidRPr="00F24259" w14:paraId="1BA99040" w14:textId="77777777" w:rsidTr="00F24259">
        <w:trPr>
          <w:tblHeader/>
          <w:jc w:val="center"/>
        </w:trPr>
        <w:tc>
          <w:tcPr>
            <w:tcW w:w="2600" w:type="dxa"/>
            <w:tcBorders>
              <w:top w:val="single" w:sz="4" w:space="0" w:color="auto"/>
              <w:bottom w:val="single" w:sz="2" w:space="0" w:color="auto"/>
            </w:tcBorders>
            <w:vAlign w:val="center"/>
          </w:tcPr>
          <w:p w14:paraId="35D05B9D" w14:textId="06CABDE8" w:rsidR="008F67C0" w:rsidRPr="00B518D1" w:rsidRDefault="00B518D1" w:rsidP="00B518D1">
            <w:pPr>
              <w:pStyle w:val="heading1"/>
              <w:numPr>
                <w:ilvl w:val="0"/>
                <w:numId w:val="0"/>
              </w:numPr>
              <w:spacing w:before="0" w:after="0" w:line="240" w:lineRule="auto"/>
              <w:jc w:val="center"/>
              <w:rPr>
                <w:sz w:val="16"/>
              </w:rPr>
            </w:pPr>
            <w:r w:rsidRPr="00B518D1">
              <w:rPr>
                <w:sz w:val="16"/>
              </w:rPr>
              <w:t>Recognizer</w:t>
            </w:r>
          </w:p>
        </w:tc>
        <w:tc>
          <w:tcPr>
            <w:tcW w:w="1600" w:type="dxa"/>
            <w:tcBorders>
              <w:top w:val="single" w:sz="4" w:space="0" w:color="auto"/>
              <w:bottom w:val="single" w:sz="2" w:space="0" w:color="auto"/>
            </w:tcBorders>
            <w:vAlign w:val="center"/>
          </w:tcPr>
          <w:p w14:paraId="155771D3" w14:textId="51C175D7" w:rsidR="008F67C0" w:rsidRPr="00F24259" w:rsidRDefault="00F24259" w:rsidP="00F24259">
            <w:pPr>
              <w:pStyle w:val="heading1"/>
              <w:numPr>
                <w:ilvl w:val="0"/>
                <w:numId w:val="0"/>
              </w:numPr>
              <w:spacing w:before="0" w:after="0" w:line="240" w:lineRule="auto"/>
              <w:jc w:val="center"/>
              <w:rPr>
                <w:sz w:val="16"/>
              </w:rPr>
            </w:pPr>
            <w:r w:rsidRPr="00F24259">
              <w:rPr>
                <w:sz w:val="16"/>
              </w:rPr>
              <w:t>TAR (%)</w:t>
            </w:r>
          </w:p>
        </w:tc>
        <w:tc>
          <w:tcPr>
            <w:tcW w:w="1800" w:type="dxa"/>
            <w:tcBorders>
              <w:top w:val="single" w:sz="4" w:space="0" w:color="auto"/>
              <w:bottom w:val="single" w:sz="2" w:space="0" w:color="auto"/>
            </w:tcBorders>
            <w:vAlign w:val="center"/>
          </w:tcPr>
          <w:p w14:paraId="56B672AF" w14:textId="7A1722B0" w:rsidR="008F67C0" w:rsidRPr="00F24259" w:rsidRDefault="00F24259" w:rsidP="00F24259">
            <w:pPr>
              <w:pStyle w:val="heading1"/>
              <w:numPr>
                <w:ilvl w:val="0"/>
                <w:numId w:val="0"/>
              </w:numPr>
              <w:spacing w:before="0" w:after="0" w:line="240" w:lineRule="auto"/>
              <w:jc w:val="center"/>
              <w:rPr>
                <w:sz w:val="16"/>
              </w:rPr>
            </w:pPr>
            <w:r w:rsidRPr="00F24259">
              <w:rPr>
                <w:sz w:val="16"/>
              </w:rPr>
              <w:t>Rank-1 (%)</w:t>
            </w:r>
          </w:p>
        </w:tc>
        <w:tc>
          <w:tcPr>
            <w:tcW w:w="2000" w:type="dxa"/>
            <w:tcBorders>
              <w:top w:val="single" w:sz="4" w:space="0" w:color="auto"/>
              <w:bottom w:val="single" w:sz="2" w:space="0" w:color="auto"/>
            </w:tcBorders>
            <w:vAlign w:val="center"/>
          </w:tcPr>
          <w:p w14:paraId="305A84E8" w14:textId="1C65A58A" w:rsidR="008F67C0" w:rsidRPr="00F24259" w:rsidRDefault="00F24259" w:rsidP="00F24259">
            <w:pPr>
              <w:pStyle w:val="heading1"/>
              <w:numPr>
                <w:ilvl w:val="0"/>
                <w:numId w:val="0"/>
              </w:numPr>
              <w:spacing w:before="0" w:after="0" w:line="240" w:lineRule="auto"/>
              <w:jc w:val="center"/>
              <w:rPr>
                <w:sz w:val="16"/>
              </w:rPr>
            </w:pPr>
            <w:r w:rsidRPr="00F24259">
              <w:rPr>
                <w:sz w:val="16"/>
              </w:rPr>
              <w:t>Feature size</w:t>
            </w:r>
          </w:p>
        </w:tc>
      </w:tr>
      <w:tr w:rsidR="008F67C0" w:rsidRPr="00171C34" w14:paraId="1EBC7732" w14:textId="77777777" w:rsidTr="00F24259">
        <w:trPr>
          <w:jc w:val="center"/>
        </w:trPr>
        <w:tc>
          <w:tcPr>
            <w:tcW w:w="2600" w:type="dxa"/>
            <w:tcBorders>
              <w:top w:val="single" w:sz="2" w:space="0" w:color="auto"/>
            </w:tcBorders>
            <w:vAlign w:val="center"/>
          </w:tcPr>
          <w:p w14:paraId="530FA42A" w14:textId="5C63DB2E" w:rsidR="008F67C0" w:rsidRPr="00F24259" w:rsidRDefault="00F24259" w:rsidP="00F24259">
            <w:pPr>
              <w:pStyle w:val="heading1"/>
              <w:numPr>
                <w:ilvl w:val="0"/>
                <w:numId w:val="0"/>
              </w:numPr>
              <w:spacing w:before="0" w:after="0" w:line="240" w:lineRule="auto"/>
              <w:rPr>
                <w:sz w:val="16"/>
              </w:rPr>
            </w:pPr>
            <w:r w:rsidRPr="00F24259">
              <w:rPr>
                <w:sz w:val="16"/>
              </w:rPr>
              <w:t>LBPH</w:t>
            </w:r>
          </w:p>
        </w:tc>
        <w:tc>
          <w:tcPr>
            <w:tcW w:w="1600" w:type="dxa"/>
            <w:tcBorders>
              <w:top w:val="single" w:sz="2" w:space="0" w:color="auto"/>
            </w:tcBorders>
            <w:vAlign w:val="center"/>
          </w:tcPr>
          <w:p w14:paraId="1A19D2F3" w14:textId="07B7A17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96.43%</w:t>
            </w:r>
          </w:p>
        </w:tc>
        <w:tc>
          <w:tcPr>
            <w:tcW w:w="1800" w:type="dxa"/>
            <w:tcBorders>
              <w:top w:val="single" w:sz="2" w:space="0" w:color="auto"/>
            </w:tcBorders>
            <w:vAlign w:val="center"/>
          </w:tcPr>
          <w:p w14:paraId="6BBE7922" w14:textId="52005604"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100.00%</w:t>
            </w:r>
          </w:p>
        </w:tc>
        <w:tc>
          <w:tcPr>
            <w:tcW w:w="2000" w:type="dxa"/>
            <w:tcBorders>
              <w:top w:val="single" w:sz="2" w:space="0" w:color="auto"/>
            </w:tcBorders>
            <w:vAlign w:val="center"/>
          </w:tcPr>
          <w:p w14:paraId="053A0AC9" w14:textId="3D6072C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64 KB</w:t>
            </w:r>
          </w:p>
        </w:tc>
      </w:tr>
      <w:tr w:rsidR="008F67C0" w14:paraId="531486B6" w14:textId="77777777" w:rsidTr="00F24259">
        <w:trPr>
          <w:jc w:val="center"/>
        </w:trPr>
        <w:tc>
          <w:tcPr>
            <w:tcW w:w="2600" w:type="dxa"/>
            <w:vAlign w:val="center"/>
          </w:tcPr>
          <w:p w14:paraId="3F357927" w14:textId="57FFEA8B" w:rsidR="008F67C0" w:rsidRPr="00F24259" w:rsidRDefault="00F24259" w:rsidP="00F24259">
            <w:pPr>
              <w:pStyle w:val="heading1"/>
              <w:numPr>
                <w:ilvl w:val="0"/>
                <w:numId w:val="0"/>
              </w:numPr>
              <w:spacing w:before="0" w:after="0" w:line="240" w:lineRule="auto"/>
              <w:rPr>
                <w:b w:val="0"/>
                <w:sz w:val="16"/>
              </w:rPr>
            </w:pPr>
            <w:r w:rsidRPr="00F24259">
              <w:rPr>
                <w:b w:val="0"/>
                <w:sz w:val="16"/>
              </w:rPr>
              <w:t>Eigenfaces</w:t>
            </w:r>
          </w:p>
        </w:tc>
        <w:tc>
          <w:tcPr>
            <w:tcW w:w="1600" w:type="dxa"/>
            <w:vAlign w:val="center"/>
          </w:tcPr>
          <w:p w14:paraId="0175ABA8" w14:textId="166447B0"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41.07%</w:t>
            </w:r>
          </w:p>
        </w:tc>
        <w:tc>
          <w:tcPr>
            <w:tcW w:w="1800" w:type="dxa"/>
            <w:vAlign w:val="center"/>
          </w:tcPr>
          <w:p w14:paraId="1A470162" w14:textId="5F5DAB1A"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75.00%</w:t>
            </w:r>
          </w:p>
        </w:tc>
        <w:tc>
          <w:tcPr>
            <w:tcW w:w="2000" w:type="dxa"/>
            <w:vAlign w:val="center"/>
          </w:tcPr>
          <w:p w14:paraId="310CCCAB" w14:textId="0E6A6D7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896 B</w:t>
            </w:r>
          </w:p>
        </w:tc>
      </w:tr>
      <w:tr w:rsidR="008F67C0" w14:paraId="7D1B6A62" w14:textId="77777777" w:rsidTr="00F24259">
        <w:trPr>
          <w:jc w:val="center"/>
        </w:trPr>
        <w:tc>
          <w:tcPr>
            <w:tcW w:w="2600" w:type="dxa"/>
            <w:vAlign w:val="center"/>
          </w:tcPr>
          <w:p w14:paraId="5580DA5B" w14:textId="4CB8D715" w:rsidR="008F67C0" w:rsidRPr="00F24259" w:rsidRDefault="00F24259" w:rsidP="00F24259">
            <w:pPr>
              <w:pStyle w:val="heading1"/>
              <w:numPr>
                <w:ilvl w:val="0"/>
                <w:numId w:val="0"/>
              </w:numPr>
              <w:spacing w:before="0" w:after="0" w:line="240" w:lineRule="auto"/>
              <w:rPr>
                <w:b w:val="0"/>
                <w:sz w:val="16"/>
              </w:rPr>
            </w:pPr>
            <w:proofErr w:type="spellStart"/>
            <w:r w:rsidRPr="00F24259">
              <w:rPr>
                <w:b w:val="0"/>
                <w:sz w:val="16"/>
              </w:rPr>
              <w:t>Fisherfaces</w:t>
            </w:r>
            <w:proofErr w:type="spellEnd"/>
          </w:p>
        </w:tc>
        <w:tc>
          <w:tcPr>
            <w:tcW w:w="1600" w:type="dxa"/>
            <w:vAlign w:val="center"/>
          </w:tcPr>
          <w:p w14:paraId="4B45BC4F" w14:textId="6C65021C"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51.79%</w:t>
            </w:r>
          </w:p>
        </w:tc>
        <w:tc>
          <w:tcPr>
            <w:tcW w:w="1800" w:type="dxa"/>
            <w:vAlign w:val="center"/>
          </w:tcPr>
          <w:p w14:paraId="4D560814" w14:textId="25D49B8F"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58.93%</w:t>
            </w:r>
          </w:p>
        </w:tc>
        <w:tc>
          <w:tcPr>
            <w:tcW w:w="2000" w:type="dxa"/>
            <w:vAlign w:val="center"/>
          </w:tcPr>
          <w:p w14:paraId="7880B7E3" w14:textId="5B941FE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108 B</w:t>
            </w:r>
          </w:p>
        </w:tc>
      </w:tr>
    </w:tbl>
    <w:p w14:paraId="640406DB" w14:textId="77777777" w:rsidR="008F67C0" w:rsidRDefault="008F67C0" w:rsidP="008F67C0"/>
    <w:p w14:paraId="2D3B99CC" w14:textId="247E3C16" w:rsidR="008F67C0" w:rsidRPr="00183A15" w:rsidRDefault="00183A15" w:rsidP="00183A15">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8F67C0" w:rsidRPr="00183A15">
        <w:drawing>
          <wp:inline distT="0" distB="0" distL="0" distR="0" wp14:anchorId="1C3D1D56" wp14:editId="5AECAE3E">
            <wp:extent cx="4392930" cy="1830705"/>
            <wp:effectExtent l="0" t="0" r="0" b="0"/>
            <wp:docPr id="1841560541" name="Graphic 1"/>
            <wp:cNvGraphicFramePr/>
            <a:graphic xmlns:a="http://schemas.openxmlformats.org/drawingml/2006/main">
              <a:graphicData uri="http://schemas.openxmlformats.org/drawingml/2006/picture">
                <pic:pic xmlns:pic="http://schemas.openxmlformats.org/drawingml/2006/picture">
                  <pic:nvPicPr>
                    <pic:cNvPr id="184156054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92930" cy="1830705"/>
                    </a:xfrm>
                    <a:prstGeom prst="rect">
                      <a:avLst/>
                    </a:prstGeom>
                  </pic:spPr>
                </pic:pic>
              </a:graphicData>
            </a:graphic>
          </wp:inline>
        </w:drawing>
      </w:r>
      <w:r w:rsidRPr="00183A15">
        <w:rPr>
          <w:b/>
        </w:rPr>
        <w:t xml:space="preserve"> </w:t>
      </w:r>
      <w:r w:rsidRPr="00183A15">
        <w:t xml:space="preserve">Fig. </w:t>
      </w:r>
      <w:r w:rsidRPr="00183A15">
        <w:fldChar w:fldCharType="begin"/>
      </w:r>
      <w:r w:rsidRPr="00183A15">
        <w:instrText xml:space="preserve"> SEQ "Figure" \* MERGEFORMAT </w:instrText>
      </w:r>
      <w:r w:rsidRPr="00183A15">
        <w:fldChar w:fldCharType="separate"/>
      </w:r>
      <w:r w:rsidRPr="00183A15">
        <w:rPr>
          <w:noProof/>
        </w:rPr>
        <w:t>1</w:t>
      </w:r>
      <w:r w:rsidRPr="00183A15">
        <w:fldChar w:fldCharType="end"/>
      </w:r>
      <w:r w:rsidRPr="00183A15">
        <w:t xml:space="preserve">. </w:t>
      </w:r>
      <w:r w:rsidR="008F67C0" w:rsidRPr="00183A15">
        <w:t xml:space="preserve">LSDB held-out </w:t>
      </w:r>
      <w:proofErr w:type="spellStart"/>
      <w:r w:rsidR="008F67C0" w:rsidRPr="00183A15">
        <w:t>thresholded</w:t>
      </w:r>
      <w:proofErr w:type="spellEnd"/>
      <w:r w:rsidR="008F67C0" w:rsidRPr="00183A15">
        <w:t xml:space="preserve"> TAR for classical candidate selection.</w:t>
      </w:r>
    </w:p>
    <w:p w14:paraId="1445468C" w14:textId="77777777" w:rsidR="008F67C0" w:rsidRDefault="008F67C0" w:rsidP="008F67C0">
      <w:r>
        <w:t xml:space="preserve">For the learned candidates, externally supplied LSDB artifacts report </w:t>
      </w:r>
      <w:proofErr w:type="spellStart"/>
      <w:r>
        <w:t>SFace</w:t>
      </w:r>
      <w:proofErr w:type="spellEnd"/>
      <w:r>
        <w:t xml:space="preserve"> with a 128-D (512-byte) embedding, while </w:t>
      </w:r>
      <w:proofErr w:type="spellStart"/>
      <w:r>
        <w:t>ArcFace</w:t>
      </w:r>
      <w:proofErr w:type="spellEnd"/>
      <w:r>
        <w:t xml:space="preserve"> and </w:t>
      </w:r>
      <w:proofErr w:type="spellStart"/>
      <w:r>
        <w:t>FaceNet</w:t>
      </w:r>
      <w:proofErr w:type="spellEnd"/>
      <w:r>
        <w:t xml:space="preserve"> use 512-D (2,048-byte) embeddings. </w:t>
      </w:r>
      <w:proofErr w:type="spellStart"/>
      <w:r>
        <w:t>SFace</w:t>
      </w:r>
      <w:proofErr w:type="spellEnd"/>
      <w:r>
        <w:t xml:space="preserve"> was retained as the deployment-compatible escalation model; these external, model-specific-threshold results are not presented as a same-harness accuracy ranking.</w:t>
      </w:r>
    </w:p>
    <w:p w14:paraId="38E031DC" w14:textId="77777777" w:rsidR="00112F74" w:rsidRDefault="00112F74" w:rsidP="00112F74">
      <w:pPr>
        <w:pStyle w:val="heading1"/>
      </w:pPr>
      <w:r>
        <w:t>Independence Test: Frozen Operating Points</w:t>
      </w:r>
    </w:p>
    <w:p w14:paraId="1811E7BD" w14:textId="77777777" w:rsidR="00112F74" w:rsidRDefault="00112F74" w:rsidP="00112F74">
      <w:r>
        <w:t xml:space="preserve">LFW DB1 fixes the deployed native-score operating points before LSDB evaluation: LBPH </w:t>
      </w:r>
      <w:proofErr w:type="spellStart"/>
      <w:r>
        <w:t>tau_accept</w:t>
      </w:r>
      <w:proofErr w:type="spellEnd"/>
      <w:r>
        <w:t xml:space="preserve"> = 67.0333 (rank 165 of 16,522,626 unique impostor pairs; 9.986 ppm), </w:t>
      </w:r>
      <w:proofErr w:type="spellStart"/>
      <w:r>
        <w:t>SFace</w:t>
      </w:r>
      <w:proofErr w:type="spellEnd"/>
      <w:r>
        <w:t xml:space="preserve"> L2 = 1.0313 with cosine &gt;= 0.363, and </w:t>
      </w:r>
      <w:proofErr w:type="spellStart"/>
      <w:r>
        <w:t>tau_reject</w:t>
      </w:r>
      <w:proofErr w:type="spellEnd"/>
      <w:r>
        <w:t xml:space="preserve"> = 140.13. Figure 2 shows the frozen boundaries against the fresh LSDB clean-impostor distribution; it is not a re-calibration.</w:t>
      </w:r>
    </w:p>
    <w:p w14:paraId="0DB8F167" w14:textId="441EDD97" w:rsidR="00112F74" w:rsidRDefault="00183A15" w:rsidP="00183A15">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w:t>
      </w:r>
      <w:r w:rsidR="00112F74" w:rsidRPr="00183A15">
        <w:t>Final</w:t>
      </w:r>
      <w:r w:rsidR="00112F74">
        <w:t xml:space="preserve"> frozen operating points.</w:t>
      </w:r>
    </w:p>
    <w:tbl>
      <w:tblPr>
        <w:tblW w:w="8010" w:type="dxa"/>
        <w:tblLayout w:type="fixed"/>
        <w:tblLook w:val="0000" w:firstRow="0" w:lastRow="0" w:firstColumn="0" w:lastColumn="0" w:noHBand="0" w:noVBand="0"/>
      </w:tblPr>
      <w:tblGrid>
        <w:gridCol w:w="2160"/>
        <w:gridCol w:w="3150"/>
        <w:gridCol w:w="2700"/>
      </w:tblGrid>
      <w:tr w:rsidR="00BC7EE1" w:rsidRPr="00A517B7" w14:paraId="4E6CCFA4" w14:textId="77777777" w:rsidTr="00F138A8">
        <w:trPr>
          <w:trHeight w:val="352"/>
        </w:trPr>
        <w:tc>
          <w:tcPr>
            <w:tcW w:w="2160" w:type="dxa"/>
            <w:tcBorders>
              <w:top w:val="single" w:sz="12" w:space="0" w:color="auto"/>
              <w:bottom w:val="single" w:sz="6" w:space="0" w:color="auto"/>
            </w:tcBorders>
            <w:tcMar>
              <w:left w:w="40" w:type="dxa"/>
              <w:right w:w="40" w:type="dxa"/>
            </w:tcMar>
          </w:tcPr>
          <w:p w14:paraId="3C26AE5E" w14:textId="6CF6132E" w:rsidR="00BC7EE1" w:rsidRPr="00A517B7" w:rsidRDefault="00BC7EE1" w:rsidP="00A517B7">
            <w:pPr>
              <w:pStyle w:val="tablecaption"/>
              <w:spacing w:after="0"/>
              <w:rPr>
                <w:b/>
              </w:rPr>
            </w:pPr>
            <w:r w:rsidRPr="00A517B7">
              <w:rPr>
                <w:b/>
              </w:rPr>
              <w:t>Boundary</w:t>
            </w:r>
          </w:p>
        </w:tc>
        <w:tc>
          <w:tcPr>
            <w:tcW w:w="3150" w:type="dxa"/>
            <w:tcBorders>
              <w:top w:val="single" w:sz="12" w:space="0" w:color="auto"/>
              <w:bottom w:val="single" w:sz="6" w:space="0" w:color="auto"/>
            </w:tcBorders>
            <w:tcMar>
              <w:left w:w="40" w:type="dxa"/>
              <w:right w:w="40" w:type="dxa"/>
            </w:tcMar>
          </w:tcPr>
          <w:p w14:paraId="32FC0DA3" w14:textId="00110F78" w:rsidR="00BC7EE1" w:rsidRPr="00A517B7" w:rsidRDefault="00BC7EE1" w:rsidP="00112F74">
            <w:pPr>
              <w:pStyle w:val="tablecaption"/>
              <w:spacing w:after="0"/>
              <w:rPr>
                <w:b/>
              </w:rPr>
            </w:pPr>
            <w:r w:rsidRPr="00A517B7">
              <w:rPr>
                <w:b/>
              </w:rPr>
              <w:t>Source / native scale</w:t>
            </w:r>
          </w:p>
        </w:tc>
        <w:tc>
          <w:tcPr>
            <w:tcW w:w="2700" w:type="dxa"/>
            <w:tcBorders>
              <w:top w:val="single" w:sz="12" w:space="0" w:color="auto"/>
              <w:bottom w:val="single" w:sz="6" w:space="0" w:color="auto"/>
            </w:tcBorders>
            <w:tcMar>
              <w:left w:w="40" w:type="dxa"/>
              <w:right w:w="40" w:type="dxa"/>
            </w:tcMar>
          </w:tcPr>
          <w:p w14:paraId="0AA3F69E" w14:textId="298B2B4A" w:rsidR="00BC7EE1" w:rsidRPr="00A517B7" w:rsidRDefault="00BC7EE1" w:rsidP="00112F74">
            <w:pPr>
              <w:pStyle w:val="tablecaption"/>
              <w:spacing w:after="0"/>
              <w:rPr>
                <w:b/>
              </w:rPr>
            </w:pPr>
            <w:r w:rsidRPr="00A517B7">
              <w:rPr>
                <w:b/>
              </w:rPr>
              <w:t>Role</w:t>
            </w:r>
          </w:p>
        </w:tc>
      </w:tr>
      <w:tr w:rsidR="00BC7EE1" w14:paraId="28B1643F" w14:textId="77777777" w:rsidTr="00BC7EE1">
        <w:tc>
          <w:tcPr>
            <w:tcW w:w="2160" w:type="dxa"/>
            <w:tcBorders>
              <w:top w:val="single" w:sz="6" w:space="0" w:color="auto"/>
            </w:tcBorders>
            <w:tcMar>
              <w:left w:w="40" w:type="dxa"/>
              <w:right w:w="40" w:type="dxa"/>
            </w:tcMar>
          </w:tcPr>
          <w:p w14:paraId="3F66B253" w14:textId="4898031F" w:rsidR="00BC7EE1" w:rsidRPr="00A517B7" w:rsidRDefault="00BC7EE1" w:rsidP="00A517B7">
            <w:pPr>
              <w:pStyle w:val="tablecaption"/>
              <w:spacing w:after="0"/>
            </w:pPr>
            <w:r w:rsidRPr="00A517B7">
              <w:t xml:space="preserve">LBPH </w:t>
            </w:r>
            <w:proofErr w:type="spellStart"/>
            <w:r w:rsidRPr="00A517B7">
              <w:t>tau_accept</w:t>
            </w:r>
            <w:proofErr w:type="spellEnd"/>
          </w:p>
        </w:tc>
        <w:tc>
          <w:tcPr>
            <w:tcW w:w="3150" w:type="dxa"/>
            <w:tcBorders>
              <w:top w:val="single" w:sz="6" w:space="0" w:color="auto"/>
            </w:tcBorders>
            <w:tcMar>
              <w:left w:w="40" w:type="dxa"/>
              <w:right w:w="40" w:type="dxa"/>
            </w:tcMar>
          </w:tcPr>
          <w:p w14:paraId="61D3FBA2" w14:textId="6D7C8531" w:rsidR="00BC7EE1" w:rsidRPr="00112F74" w:rsidRDefault="00BC7EE1" w:rsidP="00112F74">
            <w:pPr>
              <w:pStyle w:val="tablecaption"/>
              <w:spacing w:after="0"/>
            </w:pPr>
            <w:r w:rsidRPr="00112F74">
              <w:t xml:space="preserve">LFW; </w:t>
            </w:r>
            <w:proofErr w:type="spellStart"/>
            <w:r w:rsidRPr="00112F74">
              <w:t>predict_collect</w:t>
            </w:r>
            <w:proofErr w:type="spellEnd"/>
          </w:p>
        </w:tc>
        <w:tc>
          <w:tcPr>
            <w:tcW w:w="2700" w:type="dxa"/>
            <w:tcBorders>
              <w:top w:val="single" w:sz="6" w:space="0" w:color="auto"/>
            </w:tcBorders>
            <w:tcMar>
              <w:left w:w="40" w:type="dxa"/>
              <w:right w:w="40" w:type="dxa"/>
            </w:tcMar>
          </w:tcPr>
          <w:p w14:paraId="1C695BC2" w14:textId="5D0EA75A" w:rsidR="00BC7EE1" w:rsidRPr="00112F74" w:rsidRDefault="00BC7EE1" w:rsidP="00112F74">
            <w:pPr>
              <w:pStyle w:val="tablecaption"/>
              <w:spacing w:after="0"/>
            </w:pPr>
            <w:r w:rsidRPr="00112F74">
              <w:t>accept</w:t>
            </w:r>
          </w:p>
        </w:tc>
      </w:tr>
      <w:tr w:rsidR="00BC7EE1" w14:paraId="1487168C" w14:textId="77777777" w:rsidTr="00BC7EE1">
        <w:tc>
          <w:tcPr>
            <w:tcW w:w="2160" w:type="dxa"/>
            <w:tcMar>
              <w:left w:w="40" w:type="dxa"/>
              <w:right w:w="40" w:type="dxa"/>
            </w:tcMar>
          </w:tcPr>
          <w:p w14:paraId="385F82B4" w14:textId="7F2D9CBE" w:rsidR="00BC7EE1" w:rsidRPr="00A517B7" w:rsidRDefault="00BC7EE1" w:rsidP="00A517B7">
            <w:pPr>
              <w:pStyle w:val="tablecaption"/>
              <w:spacing w:after="0"/>
            </w:pPr>
            <w:proofErr w:type="spellStart"/>
            <w:r w:rsidRPr="00A517B7">
              <w:t>SFace</w:t>
            </w:r>
            <w:proofErr w:type="spellEnd"/>
            <w:r w:rsidRPr="00A517B7">
              <w:t xml:space="preserve"> L2</w:t>
            </w:r>
          </w:p>
        </w:tc>
        <w:tc>
          <w:tcPr>
            <w:tcW w:w="3150" w:type="dxa"/>
            <w:tcMar>
              <w:left w:w="40" w:type="dxa"/>
              <w:right w:w="40" w:type="dxa"/>
            </w:tcMar>
          </w:tcPr>
          <w:p w14:paraId="4326079C" w14:textId="5BD1C1EF" w:rsidR="00BC7EE1" w:rsidRPr="00112F74" w:rsidRDefault="00BC7EE1" w:rsidP="00112F74">
            <w:pPr>
              <w:pStyle w:val="tablecaption"/>
              <w:spacing w:after="0"/>
            </w:pPr>
            <w:r w:rsidRPr="00112F74">
              <w:t xml:space="preserve">LFW; </w:t>
            </w:r>
            <w:proofErr w:type="spellStart"/>
            <w:r w:rsidRPr="00112F74">
              <w:t>SFace</w:t>
            </w:r>
            <w:proofErr w:type="spellEnd"/>
            <w:r w:rsidRPr="00112F74">
              <w:t xml:space="preserve"> L2</w:t>
            </w:r>
          </w:p>
        </w:tc>
        <w:tc>
          <w:tcPr>
            <w:tcW w:w="2700" w:type="dxa"/>
            <w:tcMar>
              <w:left w:w="40" w:type="dxa"/>
              <w:right w:w="40" w:type="dxa"/>
            </w:tcMar>
          </w:tcPr>
          <w:p w14:paraId="24FECBCF" w14:textId="1909D60D" w:rsidR="00BC7EE1" w:rsidRPr="00112F74" w:rsidRDefault="00BC7EE1" w:rsidP="00112F74">
            <w:pPr>
              <w:pStyle w:val="tablecaption"/>
              <w:spacing w:after="0"/>
            </w:pPr>
            <w:r w:rsidRPr="00112F74">
              <w:t>escalated accept</w:t>
            </w:r>
          </w:p>
        </w:tc>
      </w:tr>
      <w:tr w:rsidR="00BC7EE1" w14:paraId="5F6E8BC4" w14:textId="77777777" w:rsidTr="00BC7EE1">
        <w:tc>
          <w:tcPr>
            <w:tcW w:w="2160" w:type="dxa"/>
            <w:tcBorders>
              <w:bottom w:val="single" w:sz="12" w:space="0" w:color="auto"/>
            </w:tcBorders>
            <w:tcMar>
              <w:left w:w="40" w:type="dxa"/>
              <w:right w:w="40" w:type="dxa"/>
            </w:tcMar>
          </w:tcPr>
          <w:p w14:paraId="1D78C032" w14:textId="0DF7FE4C" w:rsidR="00BC7EE1" w:rsidRPr="00A517B7" w:rsidRDefault="00BC7EE1" w:rsidP="00A517B7">
            <w:pPr>
              <w:pStyle w:val="tablecaption"/>
              <w:spacing w:after="0"/>
            </w:pPr>
            <w:r w:rsidRPr="00A517B7">
              <w:t xml:space="preserve">LBPH </w:t>
            </w:r>
            <w:proofErr w:type="spellStart"/>
            <w:r w:rsidRPr="00A517B7">
              <w:t>tau_reject</w:t>
            </w:r>
            <w:proofErr w:type="spellEnd"/>
          </w:p>
        </w:tc>
        <w:tc>
          <w:tcPr>
            <w:tcW w:w="3150" w:type="dxa"/>
            <w:tcBorders>
              <w:bottom w:val="single" w:sz="12" w:space="0" w:color="auto"/>
            </w:tcBorders>
            <w:tcMar>
              <w:left w:w="40" w:type="dxa"/>
              <w:right w:w="40" w:type="dxa"/>
            </w:tcMar>
          </w:tcPr>
          <w:p w14:paraId="3C71EEA5" w14:textId="35903E5C" w:rsidR="00BC7EE1" w:rsidRPr="00112F74" w:rsidRDefault="00BC7EE1" w:rsidP="00112F74">
            <w:pPr>
              <w:pStyle w:val="tablecaption"/>
              <w:spacing w:after="0"/>
            </w:pPr>
            <w:r w:rsidRPr="00112F74">
              <w:t xml:space="preserve">LFW trade-off; </w:t>
            </w:r>
            <w:proofErr w:type="spellStart"/>
            <w:r w:rsidRPr="00112F74">
              <w:t>predict_collect</w:t>
            </w:r>
            <w:proofErr w:type="spellEnd"/>
          </w:p>
        </w:tc>
        <w:tc>
          <w:tcPr>
            <w:tcW w:w="2700" w:type="dxa"/>
            <w:tcBorders>
              <w:bottom w:val="single" w:sz="12" w:space="0" w:color="auto"/>
            </w:tcBorders>
            <w:tcMar>
              <w:left w:w="40" w:type="dxa"/>
              <w:right w:w="40" w:type="dxa"/>
            </w:tcMar>
          </w:tcPr>
          <w:p w14:paraId="79DCF76B" w14:textId="79B518D9" w:rsidR="00BC7EE1" w:rsidRPr="00112F74" w:rsidRDefault="00BC7EE1" w:rsidP="00112F74">
            <w:pPr>
              <w:pStyle w:val="tablecaption"/>
              <w:spacing w:after="0"/>
            </w:pPr>
            <w:r w:rsidRPr="00112F74">
              <w:t>permissive reject edge</w:t>
            </w:r>
          </w:p>
        </w:tc>
      </w:tr>
    </w:tbl>
    <w:p w14:paraId="6648D37F" w14:textId="77777777" w:rsidR="00112F74" w:rsidRDefault="00112F74" w:rsidP="00112F74">
      <w:pPr>
        <w:pStyle w:val="tablecaption"/>
      </w:pPr>
    </w:p>
    <w:p w14:paraId="72F1F697" w14:textId="77777777" w:rsidR="00112F74" w:rsidRDefault="00112F74" w:rsidP="00112F74">
      <w:pPr>
        <w:pStyle w:val="tablecaption"/>
      </w:pPr>
      <w:r>
        <w:rPr>
          <w:noProof/>
        </w:rPr>
        <w:drawing>
          <wp:inline distT="0" distB="0" distL="0" distR="0" wp14:anchorId="36BB6FBA" wp14:editId="4B0C0F1A">
            <wp:extent cx="5080000" cy="1722755"/>
            <wp:effectExtent l="0" t="0" r="6350" b="0"/>
            <wp:docPr id="845764763" name="Graphic 1"/>
            <wp:cNvGraphicFramePr/>
            <a:graphic xmlns:a="http://schemas.openxmlformats.org/drawingml/2006/main">
              <a:graphicData uri="http://schemas.openxmlformats.org/drawingml/2006/picture">
                <pic:pic xmlns:pic="http://schemas.openxmlformats.org/drawingml/2006/picture">
                  <pic:nvPicPr>
                    <pic:cNvPr id="84576476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5080000" cy="1722755"/>
                    </a:xfrm>
                    <a:prstGeom prst="rect">
                      <a:avLst/>
                    </a:prstGeom>
                  </pic:spPr>
                </pic:pic>
              </a:graphicData>
            </a:graphic>
          </wp:inline>
        </w:drawing>
      </w:r>
    </w:p>
    <w:p w14:paraId="35B139EB" w14:textId="534079AD" w:rsidR="00112F74" w:rsidRDefault="00183A15" w:rsidP="00183A15">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112F74" w:rsidRPr="00183A15">
        <w:t>Histograms</w:t>
      </w:r>
      <w:r w:rsidR="00112F74">
        <w:t xml:space="preserve"> and KDE curves for fresh LSDB clean impostor pairs. Long-dotted lines mark frozen LFW operating points.</w:t>
      </w:r>
    </w:p>
    <w:p w14:paraId="14C90B2E" w14:textId="2DC690E4" w:rsidR="003922B4" w:rsidRDefault="003922B4" w:rsidP="00112F74">
      <w:pPr>
        <w:pStyle w:val="figurecaption"/>
      </w:pPr>
      <w:r>
        <w:t>References</w:t>
      </w:r>
    </w:p>
    <w:p w14:paraId="7FBEA186" w14:textId="77777777" w:rsidR="003922B4" w:rsidRDefault="003922B4" w:rsidP="003922B4">
      <w:pPr>
        <w:pStyle w:val="referenceitem"/>
      </w:pPr>
      <w:r>
        <w:t xml:space="preserve">M. Turk and A. Pentland, "Eigenfaces for recognition," J. </w:t>
      </w:r>
      <w:proofErr w:type="spellStart"/>
      <w:r>
        <w:t>Cogn</w:t>
      </w:r>
      <w:proofErr w:type="spellEnd"/>
      <w:r>
        <w:t xml:space="preserve">. </w:t>
      </w:r>
      <w:proofErr w:type="spellStart"/>
      <w:r>
        <w:t>Neurosci</w:t>
      </w:r>
      <w:proofErr w:type="spellEnd"/>
      <w:r>
        <w:t>., vol. 3, no. 1, pp. 71-86, 1991.</w:t>
      </w:r>
    </w:p>
    <w:p w14:paraId="4F478C43" w14:textId="77777777" w:rsidR="003922B4" w:rsidRDefault="003922B4" w:rsidP="003922B4">
      <w:pPr>
        <w:pStyle w:val="referenceitem"/>
      </w:pPr>
      <w:r>
        <w:t xml:space="preserve">P. N. Belhumeur, J. P. Hespanha, and D. J. Kriegman, "Eigenfaces vs. </w:t>
      </w:r>
      <w:proofErr w:type="spellStart"/>
      <w:r>
        <w:t>Fisherfaces</w:t>
      </w:r>
      <w:proofErr w:type="spellEnd"/>
      <w:r>
        <w:t>: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w:t>
      </w:r>
      <w:proofErr w:type="spellStart"/>
      <w:r>
        <w:t>SFace</w:t>
      </w:r>
      <w:proofErr w:type="spellEnd"/>
      <w:r>
        <w:t>: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w:t>
      </w:r>
      <w:proofErr w:type="spellStart"/>
      <w:r>
        <w:t>FaceNet</w:t>
      </w:r>
      <w:proofErr w:type="spellEnd"/>
      <w:r>
        <w: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lastRenderedPageBreak/>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 xml:space="preserve">G. Bradski, "The OpenCV library," Dr. Dobb's J. </w:t>
      </w:r>
      <w:proofErr w:type="spellStart"/>
      <w:r>
        <w:t>Softw</w:t>
      </w:r>
      <w:proofErr w:type="spellEnd"/>
      <w:r>
        <w:t>. Tools, vol. 25, no. 11, pp. 120-125, Nov. 2000.</w:t>
      </w:r>
    </w:p>
    <w:p w14:paraId="617FD85F" w14:textId="77777777" w:rsidR="003922B4" w:rsidRDefault="003922B4" w:rsidP="003922B4">
      <w:pPr>
        <w:pStyle w:val="referenceitem"/>
      </w:pPr>
      <w:r>
        <w:t xml:space="preserve">L. I. </w:t>
      </w:r>
      <w:proofErr w:type="spellStart"/>
      <w:r>
        <w:t>Kuncheva</w:t>
      </w:r>
      <w:proofErr w:type="spellEnd"/>
      <w:r>
        <w:t xml:space="preserve">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33318CC" w14:textId="77777777" w:rsidR="00371406" w:rsidRDefault="00371406">
      <w:r>
        <w:separator/>
      </w:r>
    </w:p>
  </w:endnote>
  <w:endnote w:type="continuationSeparator" w:id="0">
    <w:p w14:paraId="0A063423" w14:textId="77777777" w:rsidR="00371406" w:rsidRDefault="003714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4BF0361" w14:textId="77777777" w:rsidR="00371406" w:rsidRDefault="00371406" w:rsidP="009F7FCE">
      <w:pPr>
        <w:ind w:firstLine="0"/>
      </w:pPr>
      <w:r>
        <w:separator/>
      </w:r>
    </w:p>
  </w:footnote>
  <w:footnote w:type="continuationSeparator" w:id="0">
    <w:p w14:paraId="5426BD6F" w14:textId="77777777" w:rsidR="00371406" w:rsidRDefault="0037140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0B5485"/>
    <w:rsid w:val="00112F74"/>
    <w:rsid w:val="001579A0"/>
    <w:rsid w:val="00171C34"/>
    <w:rsid w:val="00183A15"/>
    <w:rsid w:val="001A12DD"/>
    <w:rsid w:val="00205E9E"/>
    <w:rsid w:val="002200D1"/>
    <w:rsid w:val="002625E2"/>
    <w:rsid w:val="00275C35"/>
    <w:rsid w:val="00286053"/>
    <w:rsid w:val="002A75FA"/>
    <w:rsid w:val="002E0A6C"/>
    <w:rsid w:val="00371406"/>
    <w:rsid w:val="003922B4"/>
    <w:rsid w:val="003B7107"/>
    <w:rsid w:val="003C7101"/>
    <w:rsid w:val="003D4DDE"/>
    <w:rsid w:val="003E4753"/>
    <w:rsid w:val="004208A8"/>
    <w:rsid w:val="00450766"/>
    <w:rsid w:val="00453E6D"/>
    <w:rsid w:val="004F1800"/>
    <w:rsid w:val="0050216C"/>
    <w:rsid w:val="0056788C"/>
    <w:rsid w:val="00591F8C"/>
    <w:rsid w:val="005A25C5"/>
    <w:rsid w:val="00633CCA"/>
    <w:rsid w:val="00657088"/>
    <w:rsid w:val="00696589"/>
    <w:rsid w:val="006D0B41"/>
    <w:rsid w:val="006E0338"/>
    <w:rsid w:val="00711EA3"/>
    <w:rsid w:val="00725D98"/>
    <w:rsid w:val="007666EB"/>
    <w:rsid w:val="007A2303"/>
    <w:rsid w:val="007A5BD5"/>
    <w:rsid w:val="007C34A8"/>
    <w:rsid w:val="00814B55"/>
    <w:rsid w:val="008324F6"/>
    <w:rsid w:val="0084733B"/>
    <w:rsid w:val="00890ACE"/>
    <w:rsid w:val="008A1B2D"/>
    <w:rsid w:val="008A2B60"/>
    <w:rsid w:val="008B1C52"/>
    <w:rsid w:val="008B3E12"/>
    <w:rsid w:val="008B5075"/>
    <w:rsid w:val="008F67C0"/>
    <w:rsid w:val="0095682A"/>
    <w:rsid w:val="009930E4"/>
    <w:rsid w:val="009B2539"/>
    <w:rsid w:val="009B4245"/>
    <w:rsid w:val="009E3309"/>
    <w:rsid w:val="009F7FCE"/>
    <w:rsid w:val="00A13D60"/>
    <w:rsid w:val="00A430F2"/>
    <w:rsid w:val="00A517B7"/>
    <w:rsid w:val="00A61D1A"/>
    <w:rsid w:val="00B00CB4"/>
    <w:rsid w:val="00B23481"/>
    <w:rsid w:val="00B518D1"/>
    <w:rsid w:val="00B65883"/>
    <w:rsid w:val="00BA43A3"/>
    <w:rsid w:val="00BB162B"/>
    <w:rsid w:val="00BB4D8E"/>
    <w:rsid w:val="00BC7EE1"/>
    <w:rsid w:val="00BD03C9"/>
    <w:rsid w:val="00C360B5"/>
    <w:rsid w:val="00C641B1"/>
    <w:rsid w:val="00C662A1"/>
    <w:rsid w:val="00C90FB8"/>
    <w:rsid w:val="00CD31D2"/>
    <w:rsid w:val="00D37042"/>
    <w:rsid w:val="00D61141"/>
    <w:rsid w:val="00DA2986"/>
    <w:rsid w:val="00DF2FD5"/>
    <w:rsid w:val="00DF7DA6"/>
    <w:rsid w:val="00E77AE1"/>
    <w:rsid w:val="00EE1172"/>
    <w:rsid w:val="00EE14E2"/>
    <w:rsid w:val="00F138A8"/>
    <w:rsid w:val="00F24259"/>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sv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9</Pages>
  <Words>2894</Words>
  <Characters>16497</Characters>
  <Application>Microsoft Office Word</Application>
  <DocSecurity>0</DocSecurity>
  <Lines>137</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19353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23</cp:revision>
  <dcterms:created xsi:type="dcterms:W3CDTF">2023-10-25T07:01:00Z</dcterms:created>
  <dcterms:modified xsi:type="dcterms:W3CDTF">2026-08-10T02:58:00Z</dcterms:modified>
</cp:coreProperties>
</file>