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w:t>
      </w:r>
      <w:r>
        <w:t xml:space="preserve">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w:t>
      </w:r>
      <w:r>
        <w:t>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w:t>
      </w:r>
      <w:r>
        <w:t xml:space="preserve">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0D281178" w14:textId="77777777" w:rsidR="002200D1" w:rsidRDefault="002200D1" w:rsidP="002200D1">
      <w:pPr>
        <w:pStyle w:val="heading2"/>
      </w:pPr>
      <w:r>
        <w:t>Candidate model selection</w:t>
      </w:r>
    </w:p>
    <w:p w14:paraId="1EF859A2" w14:textId="77777777" w:rsidR="002200D1" w:rsidRDefault="002200D1" w:rsidP="002200D1">
      <w:pPr>
        <w:pStyle w:val="p1a"/>
      </w:pPr>
      <w:r>
        <w:t>Before building the cascade, we selected one recognizer per tier from three candidates: LBPH, Eigenfaces, and Fisherfaces for classical CV; SFace, FaceNet, and ArcFace for deep learning. Candidate evaluation used fixed enrollment and probe splits, model-specific decision scores, and cross-identity independence testing to establish operating-point false-accept evidence on each model's native scale. Clean held-out probes and the deterministic 41-modification suite then measured genuine acceptance and robustness. Thus, closed-set rank-1 alone could not decide selection.</w:t>
      </w:r>
    </w:p>
    <w:p w14:paraId="6DE04836" w14:textId="77777777" w:rsidR="002200D1" w:rsidRDefault="002200D1" w:rsidP="002200D1">
      <w:pPr>
        <w:pStyle w:val="p1a"/>
      </w:pPr>
      <w:r>
        <w:t>Classical candidates were assessed by a pre-committed audit rule: TAR &gt;= 90% at the La Salle independence operating point, a feature vector &lt; 1 KB, and live FPS &gt;= 3. Eligible candidates were ranked by overall 41-modification accuracy ratio (AR); candidates within two points were ordered by TAR, then model file size. The deep candidates were evaluated with the same independence-and-robustness framework, together with face-detection and feature-extraction feasibility. The final architecture retains LBPH as the inexpensive first stage and SFace as the robust escalation stage. This is an offline architecture-selection procedure; at run time, the gate only decides whether a probe needs the already selected SFace stage.</w:t>
      </w:r>
    </w:p>
    <w:p w14:paraId="1C0B4DC8" w14:textId="4A06470B"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65EC02EA" w:rsidR="003922B4" w:rsidRPr="002E0A6C" w:rsidRDefault="00D61141" w:rsidP="00D61141">
      <w:pPr>
        <w:pStyle w:val="equation"/>
      </w:pPr>
      <w:r>
        <w:tab/>
      </w:r>
      <w:r w:rsidR="003922B4">
        <w:t>C = N × (N − 1)  ordered comparisons</w:t>
      </w:r>
      <w:r w:rsidR="002E0A6C">
        <w:tab/>
        <w:t>(</w:t>
      </w:r>
      <w:fldSimple w:instr=" SEQ &quot;equation&quot; \n \* MERGEFORMAT ">
        <w:r w:rsidR="002E0A6C">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BDFF79D"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2E0A6C">
          <w:rPr>
            <w:noProof/>
          </w:rPr>
          <w:t>2</w:t>
        </w:r>
      </w:fldSimple>
      <w:r w:rsidR="002E0A6C">
        <w:t>)</w:t>
      </w:r>
    </w:p>
    <w:p w14:paraId="602BBE70"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6230B89" w:rsidR="003922B4" w:rsidRPr="002E0A6C" w:rsidRDefault="002E0A6C" w:rsidP="002E0A6C">
      <w:pPr>
        <w:pStyle w:val="equation"/>
      </w:pPr>
      <w:r>
        <w:tab/>
      </w:r>
      <w:r w:rsidR="003922B4">
        <w:t>(d₂ − d₁)/d₁ &lt; m_min</w:t>
      </w:r>
      <w:r>
        <w:t xml:space="preserve"> </w:t>
      </w:r>
      <w:r>
        <w:tab/>
        <w:t>(</w:t>
      </w:r>
      <w:fldSimple w:instr=" SEQ &quot;equation&quot; \n \* MERGEFORMAT ">
        <w:r>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C89A4FE" w:rsidR="003922B4" w:rsidRPr="002E0A6C" w:rsidRDefault="00D61141" w:rsidP="00D61141">
      <w:pPr>
        <w:pStyle w:val="equation"/>
      </w:pPr>
      <w:r>
        <w:tab/>
      </w:r>
      <w:r w:rsidR="003922B4">
        <w:t>AR = K / M</w:t>
      </w:r>
      <w:r w:rsidR="002E0A6C">
        <w:tab/>
        <w:t>(</w:t>
      </w:r>
      <w:fldSimple w:instr=" SEQ &quot;equation&quot; \n \* MERGEFORMAT ">
        <w:r w:rsidR="002E0A6C">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7777777" w:rsidR="003922B4" w:rsidRDefault="003922B4" w:rsidP="003922B4">
      <w:r>
        <w:t>Robustness: does DL survive what breaks CV? Per modification, compare AR_CV with AR_DL; the cascade should track the better of the two. Because all engines score identical probes, the per-probe outcomes form a paired 2×2 table (both right, only LBPH right, only SFace right, both wrong) giving three direct statistics: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Error independence on impostors. On the same sweep, flag each pair a CV false accept (d ≤ τ_a) and/or a DL false accept (cosine ≥ 0.363 and L2 ≤ 1.128). Independent errors would give</w:t>
      </w:r>
    </w:p>
    <w:p w14:paraId="012BF15E" w14:textId="77777777" w:rsidR="003922B4" w:rsidRDefault="00D61141" w:rsidP="00D61141">
      <w:pPr>
        <w:pStyle w:val="equation"/>
      </w:pPr>
      <w:r>
        <w:tab/>
      </w:r>
      <w:r w:rsidR="003922B4">
        <w:t>E[both] = C · P(FP_CV) · P(FP_DL). (5)</w:t>
      </w:r>
    </w:p>
    <w:p w14:paraId="0DD74B2A" w14:textId="77777777" w:rsidR="003922B4" w:rsidRDefault="003922B4" w:rsidP="003922B4">
      <w:r>
        <w:t>We report observed against expected, Fisher's exact test in both directions, and the literature-standard [11]</w:t>
      </w:r>
    </w:p>
    <w:p w14:paraId="176B3D96" w14:textId="77777777" w:rsidR="003922B4" w:rsidRDefault="00D61141" w:rsidP="00D61141">
      <w:pPr>
        <w:pStyle w:val="equation"/>
      </w:pPr>
      <w:r>
        <w:tab/>
      </w:r>
      <w:r w:rsidR="003922B4">
        <w:t>Q = (ad − bc) / (ad + bc),  DF = a / C, (6)</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4738C188" w14:textId="7777777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2E0A6C">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The cascade's natural rival is also in the table: a parallel mode that runs both engines on every probe is the accuracy ceiling at full DL cost, and the cascade must stay within tolerance of it while escalating only a fraction of frames; otherwise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image-disjointness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SFace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On La Salle DB1 (756 comparisons, 8th error pair = 1.058% FAR) the impostor thresholds are LBPH 21.35 raw (85.88 normalized), Eigenfaces 8,098.46 (71.00), Fisherfaces 5,446.46 (66.38); LBPH keeps impostors farthest apart (Fig. 1). The deployable thresholds on each recognizer's own predict scale at the 100 ppm budget are LBPH 73.0, Eigenfaces 4,308, Fisherfaces 738. Near-zero pairs were investigated rather than assumed: on La Salle they traced to a normalization floor and a one-image LDA collapse, not bad labels; on LFW all three families flagged the same known annotation-error pair (Andrew Caldecott vs Andrew Gilligan). SFace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t>Per-run stability across the 10 seeded La Salle repeats is LBPH 68.03 ± 1.83 on the normalized scale (Eigenfaces 48.20 ± 2.51, Fisherfaces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The full LFW sweep for LBPH has now run end to end (5,749 identities; 33,045,252 comparisons, streaming). At the La Salle design rate (10,000 ppm) the threshold is raw 19.18 at rank 330,453. The 10 ppm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Closed-set rank-1 on the held-out split ranks LBPH 100%, Eigenfaces 75%, Fisherfaces 66.07%. But a gate must also reject strangers, so the deciding metric is TAR at fixed FAR against 13,149 LFW impostors (Table 2). To keep the engine choice mechanical rather than post-hoc, it follows a rule committed before reading the results (applied verbatim by src/benchmark/compare_classical.py):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drawing>
          <wp:inline distT="0" distB="0" distL="0" distR="0" wp14:anchorId="5F3F96FC" wp14:editId="2238D2CD">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r>
              <w:t>Fisherfaces</w:t>
            </w:r>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numbers while degrading the subspace methods, so there is no single best preprocessing, another argument for per-engine contracts. LBPH's one failing metric is its 64 KB histogram against the sub-1 KB feature budget; the hybrid fixes this by enrolling with SFace's 512-byte embedding.</w:t>
      </w:r>
    </w:p>
    <w:p w14:paraId="26EDDE58" w14:textId="77777777" w:rsidR="003922B4" w:rsidRDefault="003922B4" w:rsidP="003922B4">
      <w:pPr>
        <w:pStyle w:val="heading2"/>
      </w:pPr>
      <w:r>
        <w:t>Robustness: where CV breaks, and how much of it DL recovers</w:t>
      </w:r>
    </w:p>
    <w:p w14:paraId="0E779CDB" w14:textId="77777777" w:rsidR="003922B4" w:rsidRDefault="003922B4" w:rsidP="003922B4">
      <w:pPr>
        <w:pStyle w:val="p1a"/>
      </w:pPr>
      <w:r>
        <w:t>LBPH's 41-modification AR is 85.43% overall but bimodal (Fig. 3): photometric edits it absorbs (occlusion 98.8%, gamma 97.6-98.2%, contrast-down 98.2%), while heavy Gaussian noise (47.8%), motion blur (68.5%), and strong darkening (73.7%) break it. The subspace methods fail geometrically (rotation: 26.3% / 14.3%). These weak spots are exactly the regimes the gate's quality probes watch.</w:t>
      </w:r>
    </w:p>
    <w:p w14:paraId="1DC92A98" w14:textId="77777777" w:rsidR="003922B4" w:rsidRDefault="003922B4" w:rsidP="003922B4">
      <w:pPr>
        <w:pStyle w:val="figurecaption"/>
      </w:pPr>
      <w:r>
        <w:rPr>
          <w:noProof/>
        </w:rPr>
        <w:drawing>
          <wp:inline distT="0" distB="0" distL="0" distR="0" wp14:anchorId="7952C264" wp14:editId="298CC77A">
            <wp:extent cx="4392930" cy="1882775"/>
            <wp:effectExtent l="0" t="0" r="7620" b="3175"/>
            <wp:docPr id="956646838" name="Picture 3"/>
            <wp:cNvGraphicFramePr/>
            <a:graphic xmlns:a="http://schemas.openxmlformats.org/drawingml/2006/main">
              <a:graphicData uri="http://schemas.openxmlformats.org/drawingml/2006/picture">
                <pic:pic xmlns:pic="http://schemas.openxmlformats.org/drawingml/2006/picture">
                  <pic:nvPicPr>
                    <pic:cNvPr id="95664683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882775"/>
                    </a:xfrm>
                    <a:prstGeom prst="rect">
                      <a:avLst/>
                    </a:prstGeom>
                  </pic:spPr>
                </pic:pic>
              </a:graphicData>
            </a:graphic>
          </wp:inline>
        </w:drawing>
      </w:r>
      <w:r>
        <w:t>Fig. 3. Accuracy ratio per modification, classical families. LBPH's failure modes (noise, motion blur, darkening) define the gate's quality probes.</w:t>
      </w:r>
    </w:p>
    <w:p w14:paraId="4973C310" w14:textId="77777777" w:rsidR="003922B4" w:rsidRDefault="003922B4" w:rsidP="003922B4">
      <w:pPr>
        <w:pStyle w:val="p1a"/>
      </w:pPr>
      <w:r>
        <w:t>Table 3 scores the same 2,296 probes with SFace, the cascade, and the run-both parallel ceiling (src/benchmark/accuracy_ratio_hybrid.py), plus the paired per-probe statistics of Section 3.5.</w:t>
      </w:r>
    </w:p>
    <w:p w14:paraId="790F1F57" w14:textId="77777777" w:rsidR="003922B4" w:rsidRDefault="003922B4" w:rsidP="003922B4">
      <w:r>
        <w:t>Table 3. The 41-modification suite, all configurations. AR in %; winner = beyond the 2-point tie band; Escal. = cascade escalation; Recovery = P(SFace correct | LBPH wrong).</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r>
              <w:rPr>
                <w:b/>
              </w:rPr>
              <w:t>SFace</w:t>
            </w:r>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r>
              <w:t>brightness_up</w:t>
            </w:r>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r>
              <w:t>brightness_down</w:t>
            </w:r>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r>
              <w:t>contrast_up</w:t>
            </w:r>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r>
              <w:t>contrast_down</w:t>
            </w:r>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r>
              <w:t>gamma_up</w:t>
            </w:r>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r>
              <w:t>gamma_down</w:t>
            </w:r>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r>
              <w:t>gaussian_noise</w:t>
            </w:r>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r>
              <w:t>gaussian_blur</w:t>
            </w:r>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r>
              <w:t>motion_blur</w:t>
            </w:r>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Pooled with 95% Wilson intervals: LBPH 84.5% [83.0, 86.0], SFace 95.9% [95.0, 96.6], cascade 95.5% [94.6, 96.3]. Mean latency on this suite: LBPH 5.6 ms, SFace 22.4 ms, cascade 16.0 ms, parallel 22.8 ms.</w:t>
      </w:r>
    </w:p>
    <w:p w14:paraId="7E06F854" w14:textId="77777777" w:rsidR="003922B4" w:rsidRDefault="003922B4" w:rsidP="003922B4">
      <w:r>
        <w:t>The expected split is now measured rather than assumed. SFace is stronger beyond the tie band on 9 of 12 modifications, exactly the regimes Fig. 3 predicted; the other 3 are ties on mild photometric edits where LBPH is near ceiling at a quarter of SFace's latency; none favors CV. The cascade tracks the better engine within 2 points on 12 of 12 and sits 0.40 points under the parallel ceiling at 70% of its cost. The paired table states the thesis in one number: of the 355 probes LBPH misidentifies, SFace recovers 279, a recovery rate of 78.6% [74.0, 82.5], and the rescue is one-directional (LBPH fixes only 18 of SFace's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5.74 ms</w:t>
            </w:r>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r>
              <w:t>SFace-only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100.00% [93.6-100]</w:t>
            </w:r>
          </w:p>
        </w:tc>
        <w:tc>
          <w:tcPr>
            <w:tcW w:w="865" w:type="dxa"/>
          </w:tcPr>
          <w:p w14:paraId="2C4F2DB4" w14:textId="77777777" w:rsidR="003922B4" w:rsidRDefault="003922B4" w:rsidP="003922B4">
            <w:pPr>
              <w:ind w:firstLine="0"/>
              <w:jc w:val="center"/>
            </w:pPr>
            <w:r>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19.92 ms</w:t>
            </w:r>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10.03 ms</w:t>
            </w:r>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5.88 ms</w:t>
            </w:r>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r>
              <w:t>SFace-only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21.70 ms</w:t>
            </w:r>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19.50 ms</w:t>
            </w:r>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TAR/FRR count the 14 YuNet no-face frames as failures, which is why TAR (84.82%) sits below rank-1 (97.96%, over 98 detected frames). The clean-split FAR of 0% is over only 400 impostors, an observation rather than a certified rate (95% CI upper bound ≈0.95%); the SFace operating point comes from the full LFW impostor distribution.</w:t>
      </w:r>
    </w:p>
    <w:p w14:paraId="3411123A" w14:textId="77777777" w:rsidR="003922B4" w:rsidRDefault="003922B4" w:rsidP="003922B4">
      <w:r>
        <w:t>The two tables are the complementarity result in action (Fig. 4). On clean frames all three configurations are equally accurate, so accuracy is free and the question is cost: the gate keeps 75% of frames on the cheap path and the hybrid runs at ~100 fps, twice SFace-only. On degraded frames LBPH collapses to 5.10%; the gate escalates 100% of frames (89 of 98 on a quality flag) and the hybrid recovers to 97.96%, equal to SFace-only, which is correct behavior when every frame is hard. Clean-split routing: 42/56 confident LBPH accepts, 7 quality-flag, 6 low-margin, 1 ambiguous-band. Per-stage timing (clean cascade): YuNet 1.40 ms every frame; LBPH+gate 4.56 ms on the 75%; SFace 22.08 ms on the 25% (supplementary escalation-mix and latency plots in reports/figures/). On footprint, the hybrid enrolls with SFace's 512-byte embedding, meeting the sub-1 KB budget LBPH's 64 KB histogram fails; total on-disk models are 68.85 MB.</w:t>
      </w:r>
    </w:p>
    <w:p w14:paraId="0DF51D61"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always-SFace exactly (a built-in sanity anchor); lowering the accept band collapses clean acceptance below 86% through confident rejects. The AR axis alone would push τ_a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always-SFace;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503F29F1">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Fig. 4. Speed-accuracy plane: the cascade sits near SFace's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Table 6. Joint impostor sweeps. Both = same pair false-accepted by both engines (the double-fault rate); obs/exp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r>
              <w:rPr>
                <w:b/>
              </w:rPr>
              <w:t>SFace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r>
              <w:rPr>
                <w:b/>
              </w:rPr>
              <w:t>obs/exp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τ_a admits 50 of 7,560 and the overlap with SFace is 4 pairs.)</w:t>
      </w:r>
    </w:p>
    <w:p w14:paraId="17CC4F62" w14:textId="77777777" w:rsidR="003922B4" w:rsidRDefault="003922B4" w:rsidP="003922B4">
      <w:r>
        <w:t>The cascade's security case never rested on independence. What matters is the deployed system's own false-accept rate, and it undercuts SFace-only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τ_a, which is rare, or an escalation that SFace also accepts, so correlated errors raise the double-fault floor without deciding the fused rate. That floor is 2.1 ppm on LFW, well under the 98 ppm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t>Threshold transfer across databases</w:t>
      </w:r>
    </w:p>
    <w:p w14:paraId="7D4C1998" w14:textId="77777777" w:rsidR="003922B4" w:rsidRDefault="003922B4" w:rsidP="003922B4">
      <w:pPr>
        <w:pStyle w:val="p1a"/>
      </w:pPr>
      <w:r>
        <w:t>src/benchmark/evidence_matrix.py runs the Table 1 legs against the byte-identical LS-DB1 threshold file (SHA-256 recorded) and aggregates reports/benchmark/evidence_matrix.md. The La Salle legs are complete: the in-domain sweep holds the cascade at 1.39% FAR [1.15, 1.68] at the frozen taus,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SFace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SFace exactly where LBPH's signal has degraded.</w:t>
      </w:r>
    </w:p>
    <w:p w14:paraId="4F8C4512" w14:textId="77777777" w:rsidR="003922B4" w:rsidRDefault="003922B4" w:rsidP="003922B4">
      <w:pPr>
        <w:pStyle w:val="heading2"/>
      </w:pPr>
      <w:r>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k-th-error-pair rule ties the operating point to an exact error count, reproduces both spec anchors, and exposed that La Salle resolves only ~1,300 ppm, which defers the 100 ppm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LS-Face selects and fuses its recognizers through independence testing. The exhaustive impostor sweep gave every engine a threshold at a specified FAR, disqualified the subspace methods, and certified LBPH (TAR 98.21%, FAR 76 ppm, EER 0.07%) and SFace (LFW FP 0.0747% over 32.3 M comparisons). Scored jointly over 33 million LFW pairs, the same sweep returned a finding sharper than the design assumption: the engines' false accepts are positively correlated, yet the cascade's own rate (98 ppm) undercuts LBPH-only (867 ppm) and SFace-only (190 ppm), with the 2.1 ppm double-fault floor marking the remaining headroom. On the accuracy axis the complementarity is direct and one-directional: SFace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SFace.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AB1686" w14:textId="77777777" w:rsidR="007C34A8" w:rsidRDefault="007C34A8">
      <w:r>
        <w:separator/>
      </w:r>
    </w:p>
  </w:endnote>
  <w:endnote w:type="continuationSeparator" w:id="0">
    <w:p w14:paraId="7A3F6D80" w14:textId="77777777" w:rsidR="007C34A8" w:rsidRDefault="007C34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656EFC" w14:textId="77777777" w:rsidR="007C34A8" w:rsidRDefault="007C34A8" w:rsidP="009F7FCE">
      <w:pPr>
        <w:ind w:firstLine="0"/>
      </w:pPr>
      <w:r>
        <w:separator/>
      </w:r>
    </w:p>
  </w:footnote>
  <w:footnote w:type="continuationSeparator" w:id="0">
    <w:p w14:paraId="5AFCA1C7" w14:textId="77777777" w:rsidR="007C34A8" w:rsidRDefault="007C34A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8E6"/>
    <w:rsid w:val="001A12DD"/>
    <w:rsid w:val="00205E9E"/>
    <w:rsid w:val="002200D1"/>
    <w:rsid w:val="00275C35"/>
    <w:rsid w:val="002A75FA"/>
    <w:rsid w:val="002E0A6C"/>
    <w:rsid w:val="003922B4"/>
    <w:rsid w:val="003B7107"/>
    <w:rsid w:val="00450766"/>
    <w:rsid w:val="0050216C"/>
    <w:rsid w:val="0056788C"/>
    <w:rsid w:val="00657088"/>
    <w:rsid w:val="007C34A8"/>
    <w:rsid w:val="00890ACE"/>
    <w:rsid w:val="008B1C52"/>
    <w:rsid w:val="0095682A"/>
    <w:rsid w:val="009930E4"/>
    <w:rsid w:val="009B2539"/>
    <w:rsid w:val="009F7FCE"/>
    <w:rsid w:val="00A13D60"/>
    <w:rsid w:val="00B23481"/>
    <w:rsid w:val="00BA43A3"/>
    <w:rsid w:val="00C360B5"/>
    <w:rsid w:val="00D61141"/>
    <w:rsid w:val="00DA2986"/>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Pages>
  <Words>4967</Words>
  <Characters>28313</Characters>
  <Application>Microsoft Office Word</Application>
  <DocSecurity>0</DocSecurity>
  <Lines>235</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33214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2</cp:revision>
  <dcterms:created xsi:type="dcterms:W3CDTF">2023-10-25T07:01:00Z</dcterms:created>
  <dcterms:modified xsi:type="dcterms:W3CDTF">2026-08-09T13:37:00Z</dcterms:modified>
</cp:coreProperties>
</file>