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color w:val="6B7280"/>
          <w:sz w:val="22"/>
          <w:szCs w:val="22"/>
        </w:rPr>
        <w:t xml:space="preserve"/>
      </w:r>
    </w:p>
    <w:p>
      <w:pPr>
        <w:jc w:val="center"/>
      </w:pPr>
      <w:r>
        <w:rPr>
          <w:rFonts w:ascii="Arial" w:cs="Arial" w:eastAsia="Arial" w:hAnsi="Arial"/>
          <w:b/>
          <w:bCs/>
          <w:color w:val="1A6B3C"/>
          <w:sz w:val="72"/>
          <w:szCs w:val="72"/>
        </w:rPr>
        <w:t xml:space="preserve">GREEN RADAR</w:t>
      </w:r>
    </w:p>
    <w:p>
      <w:pPr>
        <w:spacing w:after="60" w:before="60"/>
        <w:jc w:val="center"/>
      </w:pPr>
      <w:r>
        <w:rPr>
          <w:rFonts w:ascii="Arial" w:cs="Arial" w:eastAsia="Arial" w:hAnsi="Arial"/>
          <w:color w:val="1E3A5F"/>
          <w:sz w:val="36"/>
          <w:szCs w:val="36"/>
        </w:rPr>
        <w:t xml:space="preserve">Logic Build Document</w:t>
      </w:r>
    </w:p>
    <w:p>
      <w:pPr>
        <w:spacing w:after="300" w:before="0"/>
        <w:jc w:val="center"/>
      </w:pPr>
      <w:r>
        <w:rPr>
          <w:rFonts w:ascii="Arial" w:cs="Arial" w:eastAsia="Arial" w:hAnsi="Arial"/>
          <w:i/>
          <w:iCs/>
          <w:color w:val="6B7280"/>
          <w:sz w:val="22"/>
          <w:szCs w:val="22"/>
        </w:rPr>
        <w:t xml:space="preserve">How the demo app works, how the math is calculated, and how the screens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60"/>
              <w:left w:type="dxa" w:w="280"/>
              <w:bottom w:type="dxa" w:w="160"/>
              <w:right w:type="dxa" w:w="280"/>
            </w:tcMar>
          </w:tcPr>
          <w:p>
            <w:pPr>
              <w:jc w:val="center"/>
            </w:pPr>
            <w:r>
              <w:rPr>
                <w:rFonts w:ascii="Arial" w:cs="Arial" w:eastAsia="Arial" w:hAnsi="Arial"/>
                <w:b/>
                <w:bCs/>
                <w:color w:val="1A6B3C"/>
                <w:sz w:val="20"/>
                <w:szCs w:val="20"/>
              </w:rPr>
              <w:t xml:space="preserve">This document is for demo explanation only, not production financial advice.</w:t>
            </w:r>
          </w:p>
        </w:tc>
      </w:tr>
    </w:tbl>
    <w:p>
      <w:pPr>
        <w:spacing w:after="0" w:before="200"/>
      </w:pPr>
      <w:r>
        <w:rPr>
          <w:rFonts w:ascii="Arial" w:cs="Arial" w:eastAsia="Arial" w:hAnsi="Arial"/>
          <w:color w:val="6B7280"/>
          <w:sz w:val="22"/>
          <w:szCs w:val="22"/>
        </w:rPr>
        <w:t xml:space="preserve"/>
      </w:r>
    </w:p>
    <w:p>
      <w:r>
        <w:br w:type="page"/>
      </w:r>
    </w:p>
    <w:p>
      <w:pPr>
        <w:pStyle w:val="Heading1"/>
        <w:pBdr>
          <w:bottom w:val="single" w:color="1A6B3C" w:sz="8" w:space="4"/>
        </w:pBdr>
        <w:spacing w:after="120" w:before="400"/>
      </w:pPr>
      <w:r>
        <w:rPr>
          <w:rFonts w:ascii="Arial" w:cs="Arial" w:eastAsia="Arial" w:hAnsi="Arial"/>
          <w:b/>
          <w:bCs/>
          <w:color w:val="1E3A5F"/>
          <w:sz w:val="36"/>
          <w:szCs w:val="36"/>
        </w:rPr>
        <w:t xml:space="preserve">0   Core Concept</w:t>
      </w:r>
    </w:p>
    <w:p>
      <w:pPr>
        <w:spacing w:after="60" w:before="60"/>
      </w:pPr>
      <w:r>
        <w:rPr>
          <w:rFonts w:ascii="Arial" w:cs="Arial" w:eastAsia="Arial" w:hAnsi="Arial"/>
          <w:color w:val="6B7280"/>
          <w:sz w:val="22"/>
          <w:szCs w:val="22"/>
        </w:rPr>
        <w:t xml:space="preserve">Green Radar is a demo ESG alert-and-ranking experience built around one core idea: convert messy company evidence into a single signal that a user can understand at a glance.</w:t>
      </w:r>
    </w:p>
    <w:p>
      <w:pPr>
        <w:spacing w:after="0" w:before="80"/>
      </w:pPr>
      <w:r>
        <w:rPr>
          <w:rFonts w:ascii="Arial" w:cs="Arial" w:eastAsia="Arial" w:hAnsi="Arial"/>
          <w:color w:val="6B7280"/>
          <w:sz w:val="22"/>
          <w:szCs w:val="22"/>
        </w:rPr>
        <w:t xml:space="preserve"/>
      </w:r>
    </w:p>
    <w:p>
      <w:pPr>
        <w:spacing w:after="60" w:before="60"/>
      </w:pPr>
      <w:r>
        <w:rPr>
          <w:rFonts w:ascii="Arial" w:cs="Arial" w:eastAsia="Arial" w:hAnsi="Arial"/>
          <w:color w:val="6B7280"/>
          <w:sz w:val="22"/>
          <w:szCs w:val="22"/>
        </w:rPr>
        <w:t xml:space="preserve">The app is intentionally watchlist-first. The user adds companies, the engine recalculates their ESG health, and the UI reuses the same state to power the feed, portfolio donut, notifications, leaderboard, and daily brief.</w:t>
      </w:r>
    </w:p>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1E3A5F"/>
                <w:sz w:val="22"/>
                <w:szCs w:val="22"/>
              </w:rPr>
              <w:t xml:space="preserve">Scope:  </w:t>
            </w:r>
            <w:r>
              <w:rPr>
                <w:rFonts w:ascii="Arial" w:cs="Arial" w:eastAsia="Arial" w:hAnsi="Arial"/>
                <w:color w:val="0D1B2A"/>
                <w:sz w:val="22"/>
                <w:szCs w:val="22"/>
              </w:rPr>
              <w:t xml:space="preserve">This document follows the current app files only — what the code actually does today: hardcoded demo data, deterministic scoring, and presentation logic that makes the demo feel like a real product.</w:t>
            </w:r>
          </w:p>
        </w:tc>
      </w:tr>
    </w:tbl>
    <w:p>
      <w:pPr>
        <w:pBdr>
          <w:bottom w:val="single" w:color="E5E7EB" w:sz="4" w:space="1"/>
        </w:pBdr>
        <w:spacing w:after="200" w:before="200"/>
      </w:pPr>
      <w:r>
        <w:rPr>
          <w:rFonts w:ascii="Arial" w:cs="Arial" w:eastAsia="Arial" w:hAnsi="Arial"/>
          <w:color w:val="6B7280"/>
          <w:sz w:val="22"/>
          <w:szCs w:val="22"/>
        </w:rPr>
        <w:t xml:space="preserve"/>
      </w:r>
    </w:p>
    <w:p>
      <w:pPr>
        <w:pStyle w:val="Heading1"/>
        <w:pBdr>
          <w:bottom w:val="single" w:color="1A6B3C" w:sz="8" w:space="4"/>
        </w:pBdr>
        <w:spacing w:after="120" w:before="400"/>
      </w:pPr>
      <w:r>
        <w:rPr>
          <w:rFonts w:ascii="Arial" w:cs="Arial" w:eastAsia="Arial" w:hAnsi="Arial"/>
          <w:b/>
          <w:bCs/>
          <w:color w:val="1E3A5F"/>
          <w:sz w:val="36"/>
          <w:szCs w:val="36"/>
        </w:rPr>
        <w:t xml:space="preserve">1   App Overview</w:t>
      </w:r>
    </w:p>
    <w:p>
      <w:pPr>
        <w:spacing w:after="60" w:before="60"/>
      </w:pPr>
      <w:r>
        <w:rPr>
          <w:rFonts w:ascii="Arial" w:cs="Arial" w:eastAsia="Arial" w:hAnsi="Arial"/>
          <w:color w:val="6B7280"/>
          <w:sz w:val="22"/>
          <w:szCs w:val="22"/>
        </w:rPr>
        <w:t xml:space="preserve">Green Radar takes a set of hardcoded companies, runs each through a signal engine, ranks the results for the Discovery feed, averages watched companies into a portfolio health score, and uses the same state to drive:</w:t>
      </w:r>
    </w:p>
    <w:p>
      <w:pPr>
        <w:spacing w:after="0" w:before="60"/>
      </w:pPr>
      <w:r>
        <w:rPr>
          <w:rFonts w:ascii="Arial" w:cs="Arial" w:eastAsia="Arial" w:hAnsi="Arial"/>
          <w:color w:val="6B7280"/>
          <w:sz w:val="22"/>
          <w:szCs w:val="22"/>
        </w:rPr>
        <w:t xml:space="preserve"/>
      </w:r>
    </w:p>
    <w:p>
      <w:pPr>
        <w:pStyle w:val="ListParagraph"/>
        <w:numPr>
          <w:ilvl w:val="0"/>
          <w:numId w:val="2"/>
        </w:numPr>
        <w:spacing w:after="40" w:before="40"/>
      </w:pPr>
      <w:r>
        <w:rPr>
          <w:rFonts w:ascii="Arial" w:cs="Arial" w:eastAsia="Arial" w:hAnsi="Arial"/>
          <w:color w:val="6B7280"/>
          <w:sz w:val="22"/>
          <w:szCs w:val="22"/>
        </w:rPr>
        <w:t xml:space="preserve">Alerts and lock-screen notifications</w:t>
      </w:r>
    </w:p>
    <w:p>
      <w:pPr>
        <w:pStyle w:val="ListParagraph"/>
        <w:numPr>
          <w:ilvl w:val="0"/>
          <w:numId w:val="2"/>
        </w:numPr>
        <w:spacing w:after="40" w:before="40"/>
      </w:pPr>
      <w:r>
        <w:rPr>
          <w:rFonts w:ascii="Arial" w:cs="Arial" w:eastAsia="Arial" w:hAnsi="Arial"/>
          <w:color w:val="6B7280"/>
          <w:sz w:val="22"/>
          <w:szCs w:val="22"/>
        </w:rPr>
        <w:t xml:space="preserve">The daily ESG brief</w:t>
      </w:r>
    </w:p>
    <w:p>
      <w:pPr>
        <w:pStyle w:val="ListParagraph"/>
        <w:numPr>
          <w:ilvl w:val="0"/>
          <w:numId w:val="2"/>
        </w:numPr>
        <w:spacing w:after="40" w:before="40"/>
      </w:pPr>
      <w:r>
        <w:rPr>
          <w:rFonts w:ascii="Arial" w:cs="Arial" w:eastAsia="Arial" w:hAnsi="Arial"/>
          <w:color w:val="6B7280"/>
          <w:sz w:val="22"/>
          <w:szCs w:val="22"/>
        </w:rPr>
        <w:t xml:space="preserve">The leaderboard and friends view</w:t>
      </w:r>
    </w:p>
    <w:p>
      <w:pPr>
        <w:pStyle w:val="ListParagraph"/>
        <w:numPr>
          <w:ilvl w:val="0"/>
          <w:numId w:val="2"/>
        </w:numPr>
        <w:spacing w:after="40" w:before="40"/>
      </w:pPr>
      <w:r>
        <w:rPr>
          <w:rFonts w:ascii="Arial" w:cs="Arial" w:eastAsia="Arial" w:hAnsi="Arial"/>
          <w:color w:val="6B7280"/>
          <w:sz w:val="22"/>
          <w:szCs w:val="22"/>
        </w:rPr>
        <w:t xml:space="preserve">The account portfolio summary</w:t>
      </w:r>
    </w:p>
    <w:p>
      <w:pPr>
        <w:pBdr>
          <w:bottom w:val="single" w:color="E5E7EB" w:sz="4" w:space="1"/>
        </w:pBdr>
        <w:spacing w:after="200" w:before="200"/>
      </w:pPr>
      <w:r>
        <w:rPr>
          <w:rFonts w:ascii="Arial" w:cs="Arial" w:eastAsia="Arial" w:hAnsi="Arial"/>
          <w:color w:val="6B7280"/>
          <w:sz w:val="22"/>
          <w:szCs w:val="22"/>
        </w:rPr>
        <w:t xml:space="preserve"/>
      </w:r>
    </w:p>
    <w:p>
      <w:pPr>
        <w:pStyle w:val="Heading1"/>
        <w:pBdr>
          <w:bottom w:val="single" w:color="1A6B3C" w:sz="8" w:space="4"/>
        </w:pBdr>
        <w:spacing w:after="120" w:before="400"/>
      </w:pPr>
      <w:r>
        <w:rPr>
          <w:rFonts w:ascii="Arial" w:cs="Arial" w:eastAsia="Arial" w:hAnsi="Arial"/>
          <w:b/>
          <w:bCs/>
          <w:color w:val="1E3A5F"/>
          <w:sz w:val="36"/>
          <w:szCs w:val="36"/>
        </w:rPr>
        <w:t xml:space="preserve">2   Data Model and Demo Inputs</w:t>
      </w:r>
    </w:p>
    <w:p>
      <w:pPr>
        <w:spacing w:after="60" w:before="60"/>
      </w:pPr>
      <w:r>
        <w:rPr>
          <w:rFonts w:ascii="Arial" w:cs="Arial" w:eastAsia="Arial" w:hAnsi="Arial"/>
          <w:color w:val="6B7280"/>
          <w:sz w:val="22"/>
          <w:szCs w:val="22"/>
        </w:rPr>
        <w:t xml:space="preserve">The app does not call a live backend. It starts from hardcoded company objects and enriches them in memory. Each company record contains the following fields:</w:t>
      </w:r>
    </w:p>
    <w:p>
      <w:pPr>
        <w:spacing w:after="0" w:before="10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scores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Raw ESG risk inputs including newsRisk, promiseGap, regulatoryFlag, and supplyChainRisk.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previousSignal / currentSignal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Used to detect changes in ESG state between render cycles.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isWatched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Marks whether a company is in the user watchlist.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hasMeaningfulUpdate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Controls whether a company appears in the Discovery feed.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materialityScore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Influences feed prioritisation and alert thresholds.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alertSeverity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Used alongside evidence confidence to gate red-flag notifications.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evidenceConfidenceOverall</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Reflects how trustworthy the supporting evidence is.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receipts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Evidence cards shown in company detail and source screens.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history</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A signal timeline so the UI can describe past ESG changes.</w:t>
            </w:r>
          </w:p>
        </w:tc>
      </w:tr>
    </w:tbl>
    <w:p>
      <w:pPr>
        <w:pBdr>
          <w:bottom w:val="single" w:color="E5E7EB" w:sz="4" w:space="1"/>
        </w:pBdr>
        <w:spacing w:after="200" w:before="200"/>
      </w:pPr>
      <w:r>
        <w:rPr>
          <w:rFonts w:ascii="Arial" w:cs="Arial" w:eastAsia="Arial" w:hAnsi="Arial"/>
          <w:color w:val="6B7280"/>
          <w:sz w:val="22"/>
          <w:szCs w:val="22"/>
        </w:rPr>
        <w:t xml:space="preserve"/>
      </w:r>
    </w:p>
    <w:p>
      <w:pPr>
        <w:pStyle w:val="Heading1"/>
        <w:pBdr>
          <w:bottom w:val="single" w:color="1A6B3C" w:sz="8" w:space="4"/>
        </w:pBdr>
        <w:spacing w:after="120" w:before="400"/>
      </w:pPr>
      <w:r>
        <w:rPr>
          <w:rFonts w:ascii="Arial" w:cs="Arial" w:eastAsia="Arial" w:hAnsi="Arial"/>
          <w:b/>
          <w:bCs/>
          <w:color w:val="1E3A5F"/>
          <w:sz w:val="36"/>
          <w:szCs w:val="36"/>
        </w:rPr>
        <w:t xml:space="preserve">3   ESG Signal Engine</w:t>
      </w:r>
    </w:p>
    <w:p>
      <w:pPr>
        <w:spacing w:after="60" w:before="60"/>
      </w:pPr>
      <w:r>
        <w:rPr>
          <w:rFonts w:ascii="Arial" w:cs="Arial" w:eastAsia="Arial" w:hAnsi="Arial"/>
          <w:color w:val="6B7280"/>
          <w:sz w:val="22"/>
          <w:szCs w:val="22"/>
        </w:rPr>
        <w:t xml:space="preserve">The signal engine is the core scoring layer. It combines several risk dimensions into a single deterioration score, then maps that score into a colour band.</w:t>
      </w:r>
    </w:p>
    <w:p>
      <w:pPr>
        <w:spacing w:after="0" w:before="120"/>
      </w:pPr>
      <w:r>
        <w:rPr>
          <w:rFonts w:ascii="Arial" w:cs="Arial" w:eastAsia="Arial" w:hAnsi="Arial"/>
          <w:color w:val="6B7280"/>
          <w:sz w:val="22"/>
          <w:szCs w:val="22"/>
        </w:rPr>
        <w:t xml:space="preserve"/>
      </w:r>
    </w:p>
    <w:p>
      <w:pPr>
        <w:pStyle w:val="Heading2"/>
        <w:spacing w:after="80" w:before="280"/>
      </w:pPr>
      <w:r>
        <w:rPr>
          <w:rFonts w:ascii="Arial" w:cs="Arial" w:eastAsia="Arial" w:hAnsi="Arial"/>
          <w:b/>
          <w:bCs/>
          <w:color w:val="1A6B3C"/>
          <w:sz w:val="26"/>
          <w:szCs w:val="26"/>
        </w:rPr>
        <w:t xml:space="preserve">3.1  Raw Deterioration Score</w:t>
      </w:r>
    </w:p>
    <w:p>
      <w:pPr>
        <w:spacing w:after="60" w:before="60"/>
      </w:pPr>
      <w:r>
        <w:rPr>
          <w:rFonts w:ascii="Arial" w:cs="Arial" w:eastAsia="Arial" w:hAnsi="Arial"/>
          <w:color w:val="6B7280"/>
          <w:sz w:val="22"/>
          <w:szCs w:val="22"/>
        </w:rPr>
        <w:t xml:space="preserve">The raw score is a weighted sum of all risk dimensions:</w:t>
      </w:r>
    </w:p>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2"/>
              <w:bottom w:val="single" w:color="0EA5E9" w:sz="1"/>
              <w:right w:val="none" w:color="FFFFFF" w:sz="0"/>
            </w:tcBorders>
            <w:shd w:fill="F0F9FF" w:val="clear"/>
            <w:tcMar>
              <w:top w:type="dxa" w:w="120"/>
              <w:left w:type="dxa" w:w="200"/>
              <w:bottom w:type="dxa" w:w="80"/>
              <w:right w:type="dxa" w:w="200"/>
            </w:tcMar>
          </w:tcPr>
          <w:p>
            <w:r>
              <w:rPr>
                <w:rFonts w:ascii="Courier New" w:cs="Courier New" w:eastAsia="Courier New" w:hAnsi="Courier New"/>
                <w:color w:val="1E3A5F"/>
                <w:sz w:val="20"/>
                <w:szCs w:val="20"/>
              </w:rPr>
              <w:t xml:space="preserve">rawScore = (newsRisk × 0.25) + (promiseGap × 0.20) + (regulatoryFlag × 0.20)
         + (sentimentDrift × 0.10) + (talkVsActionGap × 0.10)
         + (supplyChainRisk × 0.10) + (evidenceConfidencePenalty × 0.05)
         + overrideAdjustments</w:t>
            </w:r>
          </w:p>
          <w:p>
            <w:pPr>
              <w:spacing w:before="60"/>
            </w:pPr>
            <w:r>
              <w:rPr>
                <w:rFonts w:ascii="Arial" w:cs="Arial" w:eastAsia="Arial" w:hAnsi="Arial"/>
                <w:i/>
                <w:iCs/>
                <w:color w:val="6B7280"/>
                <w:sz w:val="20"/>
                <w:szCs w:val="20"/>
              </w:rPr>
              <w:t xml:space="preserve">All values sourced from src/utils/constants.js</w:t>
            </w:r>
          </w:p>
        </w:tc>
      </w:tr>
    </w:tbl>
    <w:p>
      <w:pPr>
        <w:spacing w:after="0" w:before="120"/>
      </w:pPr>
      <w:r>
        <w:rPr>
          <w:rFonts w:ascii="Arial" w:cs="Arial" w:eastAsia="Arial" w:hAnsi="Arial"/>
          <w:color w:val="6B7280"/>
          <w:sz w:val="22"/>
          <w:szCs w:val="22"/>
        </w:rPr>
        <w:t xml:space="preserve"/>
      </w:r>
    </w:p>
    <w:p>
      <w:pPr>
        <w:pStyle w:val="Heading2"/>
        <w:spacing w:after="80" w:before="280"/>
      </w:pPr>
      <w:r>
        <w:rPr>
          <w:rFonts w:ascii="Arial" w:cs="Arial" w:eastAsia="Arial" w:hAnsi="Arial"/>
          <w:b/>
          <w:bCs/>
          <w:color w:val="1A6B3C"/>
          <w:sz w:val="26"/>
          <w:szCs w:val="26"/>
        </w:rPr>
        <w:t xml:space="preserve">3.2  Clamping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2"/>
              <w:bottom w:val="single" w:color="0EA5E9" w:sz="1"/>
              <w:right w:val="none" w:color="FFFFFF" w:sz="0"/>
            </w:tcBorders>
            <w:shd w:fill="F0F9FF" w:val="clear"/>
            <w:tcMar>
              <w:top w:type="dxa" w:w="120"/>
              <w:left w:type="dxa" w:w="200"/>
              <w:bottom w:type="dxa" w:w="80"/>
              <w:right w:type="dxa" w:w="200"/>
            </w:tcMar>
          </w:tcPr>
          <w:p>
            <w:r>
              <w:rPr>
                <w:rFonts w:ascii="Courier New" w:cs="Courier New" w:eastAsia="Courier New" w:hAnsi="Courier New"/>
                <w:color w:val="1E3A5F"/>
                <w:sz w:val="20"/>
                <w:szCs w:val="20"/>
              </w:rPr>
              <w:t xml:space="preserve">deteriorationScore = min(max(rawScore, 0), 100)</w:t>
            </w:r>
          </w:p>
          <w:p>
            <w:pPr>
              <w:spacing w:before="60"/>
            </w:pPr>
            <w:r>
              <w:rPr>
                <w:rFonts w:ascii="Arial" w:cs="Arial" w:eastAsia="Arial" w:hAnsi="Arial"/>
                <w:i/>
                <w:iCs/>
                <w:color w:val="6B7280"/>
                <w:sz w:val="20"/>
                <w:szCs w:val="20"/>
              </w:rPr>
              <w:t xml:space="preserve">Prevents negative scores and keeps the scale consistent within 0–100.</w:t>
            </w:r>
          </w:p>
        </w:tc>
      </w:tr>
    </w:tbl>
    <w:p>
      <w:pPr>
        <w:spacing w:after="0" w:before="120"/>
      </w:pPr>
      <w:r>
        <w:rPr>
          <w:rFonts w:ascii="Arial" w:cs="Arial" w:eastAsia="Arial" w:hAnsi="Arial"/>
          <w:color w:val="6B7280"/>
          <w:sz w:val="22"/>
          <w:szCs w:val="22"/>
        </w:rPr>
        <w:t xml:space="preserve"/>
      </w:r>
    </w:p>
    <w:p>
      <w:pPr>
        <w:pStyle w:val="Heading2"/>
        <w:spacing w:after="80" w:before="280"/>
      </w:pPr>
      <w:r>
        <w:rPr>
          <w:rFonts w:ascii="Arial" w:cs="Arial" w:eastAsia="Arial" w:hAnsi="Arial"/>
          <w:b/>
          <w:bCs/>
          <w:color w:val="1A6B3C"/>
          <w:sz w:val="26"/>
          <w:szCs w:val="26"/>
        </w:rPr>
        <w:t xml:space="preserve">3.3  Signal Mapping</w:t>
      </w:r>
    </w:p>
    <w:p>
      <w:pPr>
        <w:spacing w:after="60" w:before="60"/>
      </w:pPr>
      <w:r>
        <w:rPr>
          <w:rFonts w:ascii="Arial" w:cs="Arial" w:eastAsia="Arial" w:hAnsi="Arial"/>
          <w:color w:val="6B7280"/>
          <w:sz w:val="22"/>
          <w:szCs w:val="22"/>
        </w:rPr>
        <w:t xml:space="preserve">The deterioration score is mapped to one of three visual states:</w:t>
      </w:r>
    </w:p>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5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D1D5DB" w:sz="1"/>
              <w:left w:val="single" w:color="D1D5DB" w:sz="1"/>
              <w:bottom w:val="single" w:color="D1D5DB" w:sz="1"/>
              <w:right w:val="single" w:color="D1D5DB" w:sz="1"/>
            </w:tcBorders>
            <w:shd w:fill="D6EFE0" w:val="clear"/>
            <w:tcMar>
              <w:top w:type="dxa" w:w="80"/>
              <w:left w:type="dxa" w:w="120"/>
              <w:bottom w:type="dxa" w:w="80"/>
              <w:right w:type="dxa" w:w="120"/>
            </w:tcMar>
          </w:tcPr>
          <w:p>
            <w:pPr>
              <w:jc w:val="center"/>
            </w:pPr>
            <w:r>
              <w:rPr>
                <w:rFonts w:ascii="Arial" w:cs="Arial" w:eastAsia="Arial" w:hAnsi="Arial"/>
                <w:b/>
                <w:bCs/>
                <w:color w:val="1A6B3C"/>
                <w:sz w:val="20"/>
                <w:szCs w:val="20"/>
              </w:rPr>
              <w:t xml:space="preserve">GREEN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E3A5F"/>
                <w:sz w:val="20"/>
                <w:szCs w:val="20"/>
              </w:rPr>
              <w:t xml:space="preserve">0 – 34</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Low ESG deterioration risk. Company is performing well.</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WATCH</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E3A5F"/>
                <w:sz w:val="20"/>
                <w:szCs w:val="20"/>
              </w:rPr>
              <w:t xml:space="preserve">35 – 64</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Moderate concern or elevated uncertainty. Monitor closely.</w:t>
            </w:r>
          </w:p>
        </w:tc>
      </w:tr>
      <w:tr>
        <w:tc>
          <w:tcPr>
            <w:tcW w:type="dxa" w:w="1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RED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E3A5F"/>
                <w:sz w:val="20"/>
                <w:szCs w:val="20"/>
              </w:rPr>
              <w:t xml:space="preserve">65 – 100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High-severity ESG deterioration. Action or review required.</w:t>
            </w:r>
          </w:p>
        </w:tc>
      </w:tr>
    </w:tbl>
    <w:p>
      <w:pPr>
        <w:spacing w:after="0" w:before="120"/>
      </w:pPr>
      <w:r>
        <w:rPr>
          <w:rFonts w:ascii="Arial" w:cs="Arial" w:eastAsia="Arial" w:hAnsi="Arial"/>
          <w:color w:val="6B7280"/>
          <w:sz w:val="22"/>
          <w:szCs w:val="22"/>
        </w:rPr>
        <w:t xml:space="preserve"/>
      </w:r>
    </w:p>
    <w:p>
      <w:pPr>
        <w:pStyle w:val="Heading2"/>
        <w:spacing w:after="80" w:before="280"/>
      </w:pPr>
      <w:r>
        <w:rPr>
          <w:rFonts w:ascii="Arial" w:cs="Arial" w:eastAsia="Arial" w:hAnsi="Arial"/>
          <w:b/>
          <w:bCs/>
          <w:color w:val="1A6B3C"/>
          <w:sz w:val="26"/>
          <w:szCs w:val="26"/>
        </w:rPr>
        <w:t xml:space="preserve">3.4  Health Score</w:t>
      </w:r>
    </w:p>
    <w:p>
      <w:pPr>
        <w:spacing w:after="60" w:before="60"/>
      </w:pPr>
      <w:r>
        <w:rPr>
          <w:rFonts w:ascii="Arial" w:cs="Arial" w:eastAsia="Arial" w:hAnsi="Arial"/>
          <w:color w:val="6B7280"/>
          <w:sz w:val="22"/>
          <w:szCs w:val="22"/>
        </w:rPr>
        <w:t xml:space="preserve">The app converts the risk-based deterioration score into a positive health metric for the portfolio view:</w:t>
      </w:r>
    </w:p>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2"/>
              <w:bottom w:val="single" w:color="0EA5E9" w:sz="1"/>
              <w:right w:val="none" w:color="FFFFFF" w:sz="0"/>
            </w:tcBorders>
            <w:shd w:fill="F0F9FF" w:val="clear"/>
            <w:tcMar>
              <w:top w:type="dxa" w:w="120"/>
              <w:left w:type="dxa" w:w="200"/>
              <w:bottom w:type="dxa" w:w="80"/>
              <w:right w:type="dxa" w:w="200"/>
            </w:tcMar>
          </w:tcPr>
          <w:p>
            <w:r>
              <w:rPr>
                <w:rFonts w:ascii="Courier New" w:cs="Courier New" w:eastAsia="Courier New" w:hAnsi="Courier New"/>
                <w:color w:val="1E3A5F"/>
                <w:sz w:val="20"/>
                <w:szCs w:val="20"/>
              </w:rPr>
              <w:t xml:space="preserve">healthScore = round(100 − deteriorationScore)</w:t>
            </w:r>
          </w:p>
          <w:p>
            <w:pPr>
              <w:spacing w:before="60"/>
            </w:pPr>
            <w:r>
              <w:rPr>
                <w:rFonts w:ascii="Arial" w:cs="Arial" w:eastAsia="Arial" w:hAnsi="Arial"/>
                <w:i/>
                <w:iCs/>
                <w:color w:val="6B7280"/>
                <w:sz w:val="20"/>
                <w:szCs w:val="20"/>
              </w:rPr>
              <w:t xml:space="preserve">Lower ESG risk = higher health score. Designed to read positively on the account page.</w:t>
            </w:r>
          </w:p>
        </w:tc>
      </w:tr>
    </w:tbl>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bCs/>
                <w:color w:val="B45309"/>
                <w:sz w:val="22"/>
                <w:szCs w:val="22"/>
              </w:rPr>
              <w:t xml:space="preserve">Note:  </w:t>
            </w:r>
            <w:r>
              <w:rPr>
                <w:rFonts w:ascii="Arial" w:cs="Arial" w:eastAsia="Arial" w:hAnsi="Arial"/>
                <w:color w:val="0D1B2A"/>
                <w:sz w:val="22"/>
                <w:szCs w:val="22"/>
              </w:rPr>
              <w:t xml:space="preserve">The middle band is called watch in code but labelled amber on the account page for a more readable portfolio-health presentation.</w:t>
            </w:r>
          </w:p>
        </w:tc>
      </w:tr>
    </w:tbl>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5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D1D5DB" w:sz="1"/>
              <w:left w:val="single" w:color="D1D5DB" w:sz="1"/>
              <w:bottom w:val="single" w:color="D1D5DB" w:sz="1"/>
              <w:right w:val="single" w:color="D1D5DB" w:sz="1"/>
            </w:tcBorders>
            <w:shd w:fill="D6EFE0" w:val="clear"/>
            <w:tcMar>
              <w:top w:type="dxa" w:w="80"/>
              <w:left w:type="dxa" w:w="120"/>
              <w:bottom w:type="dxa" w:w="80"/>
              <w:right w:type="dxa" w:w="120"/>
            </w:tcMar>
          </w:tcPr>
          <w:p>
            <w:pPr>
              <w:jc w:val="center"/>
            </w:pPr>
            <w:r>
              <w:rPr>
                <w:rFonts w:ascii="Arial" w:cs="Arial" w:eastAsia="Arial" w:hAnsi="Arial"/>
                <w:b/>
                <w:bCs/>
                <w:color w:val="1A6B3C"/>
                <w:sz w:val="20"/>
                <w:szCs w:val="20"/>
              </w:rPr>
              <w:t xml:space="preserve">GREEN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E3A5F"/>
                <w:sz w:val="20"/>
                <w:szCs w:val="20"/>
              </w:rPr>
              <w:t xml:space="preserve">above 70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Strong portfolio health. Watchlist companies are ESG-stable.</w:t>
            </w:r>
          </w:p>
        </w:tc>
      </w:tr>
      <w:tr>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B45309"/>
                <w:sz w:val="20"/>
                <w:szCs w:val="20"/>
              </w:rPr>
              <w:t xml:space="preserve">AMBER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E3A5F"/>
                <w:sz w:val="20"/>
                <w:szCs w:val="20"/>
              </w:rPr>
              <w:t xml:space="preserve">40 – 70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Mixed health. Some watched companies carry elevated risk.</w:t>
            </w:r>
          </w:p>
        </w:tc>
      </w:tr>
      <w:tr>
        <w:tc>
          <w:tcPr>
            <w:tcW w:type="dxa" w:w="1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RED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1E3A5F"/>
                <w:sz w:val="20"/>
                <w:szCs w:val="20"/>
              </w:rPr>
              <w:t xml:space="preserve">below 40</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Weak portfolio health. Multiple companies in deterioration.</w:t>
            </w:r>
          </w:p>
        </w:tc>
      </w:tr>
    </w:tbl>
    <w:p>
      <w:pPr>
        <w:pBdr>
          <w:bottom w:val="single" w:color="E5E7EB" w:sz="4" w:space="1"/>
        </w:pBdr>
        <w:spacing w:after="200" w:before="200"/>
      </w:pPr>
      <w:r>
        <w:rPr>
          <w:rFonts w:ascii="Arial" w:cs="Arial" w:eastAsia="Arial" w:hAnsi="Arial"/>
          <w:color w:val="6B7280"/>
          <w:sz w:val="22"/>
          <w:szCs w:val="22"/>
        </w:rPr>
        <w:t xml:space="preserve"/>
      </w:r>
    </w:p>
    <w:p>
      <w:pPr>
        <w:pStyle w:val="Heading1"/>
        <w:pBdr>
          <w:bottom w:val="single" w:color="1A6B3C" w:sz="8" w:space="4"/>
        </w:pBdr>
        <w:spacing w:after="120" w:before="400"/>
      </w:pPr>
      <w:r>
        <w:rPr>
          <w:rFonts w:ascii="Arial" w:cs="Arial" w:eastAsia="Arial" w:hAnsi="Arial"/>
          <w:b/>
          <w:bCs/>
          <w:color w:val="1E3A5F"/>
          <w:sz w:val="36"/>
          <w:szCs w:val="36"/>
        </w:rPr>
        <w:t xml:space="preserve">4   Discovery Feed Ranking Logic</w:t>
      </w:r>
    </w:p>
    <w:p>
      <w:pPr>
        <w:spacing w:after="60" w:before="60"/>
      </w:pPr>
      <w:r>
        <w:rPr>
          <w:rFonts w:ascii="Arial" w:cs="Arial" w:eastAsia="Arial" w:hAnsi="Arial"/>
          <w:color w:val="6B7280"/>
          <w:sz w:val="22"/>
          <w:szCs w:val="22"/>
        </w:rPr>
        <w:t xml:space="preserve">Discovery cards are not ordered by score alone. The feed uses a combined algorithm score so the most important updates surface first while keeping the demo visually varied.</w:t>
      </w:r>
    </w:p>
    <w:p>
      <w:pPr>
        <w:spacing w:after="0" w:before="120"/>
      </w:pPr>
      <w:r>
        <w:rPr>
          <w:rFonts w:ascii="Arial" w:cs="Arial" w:eastAsia="Arial" w:hAnsi="Arial"/>
          <w:color w:val="6B7280"/>
          <w:sz w:val="22"/>
          <w:szCs w:val="22"/>
        </w:rPr>
        <w:t xml:space="preserve"/>
      </w:r>
    </w:p>
    <w:p>
      <w:pPr>
        <w:pStyle w:val="Heading2"/>
        <w:spacing w:after="80" w:before="280"/>
      </w:pPr>
      <w:r>
        <w:rPr>
          <w:rFonts w:ascii="Arial" w:cs="Arial" w:eastAsia="Arial" w:hAnsi="Arial"/>
          <w:b/>
          <w:bCs/>
          <w:color w:val="1A6B3C"/>
          <w:sz w:val="26"/>
          <w:szCs w:val="26"/>
        </w:rPr>
        <w:t xml:space="preserve">4.1  Feed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2"/>
              <w:bottom w:val="single" w:color="0EA5E9" w:sz="1"/>
              <w:right w:val="none" w:color="FFFFFF" w:sz="0"/>
            </w:tcBorders>
            <w:shd w:fill="F0F9FF" w:val="clear"/>
            <w:tcMar>
              <w:top w:type="dxa" w:w="120"/>
              <w:left w:type="dxa" w:w="200"/>
              <w:bottom w:type="dxa" w:w="80"/>
              <w:right w:type="dxa" w:w="200"/>
            </w:tcMar>
          </w:tcPr>
          <w:p>
            <w:r>
              <w:rPr>
                <w:rFonts w:ascii="Courier New" w:cs="Courier New" w:eastAsia="Courier New" w:hAnsi="Courier New"/>
                <w:color w:val="1E3A5F"/>
                <w:sz w:val="20"/>
                <w:szCs w:val="20"/>
              </w:rPr>
              <w:t xml:space="preserve">feedScore = (0.30 × materiality) + (0.25 × confidence)
          + (0.20 × signalImportance) + (0.15 × userInterest)
          + (0.05 × freshness) + (0.05 × learningValue)</w:t>
            </w:r>
          </w:p>
          <w:p>
            <w:pPr>
              <w:spacing w:before="60"/>
            </w:pPr>
            <w:r>
              <w:rPr>
                <w:rFonts w:ascii="Arial" w:cs="Arial" w:eastAsia="Arial" w:hAnsi="Arial"/>
                <w:i/>
                <w:iCs/>
                <w:color w:val="6B7280"/>
                <w:sz w:val="20"/>
                <w:szCs w:val="20"/>
              </w:rPr>
              <w:t xml:space="preserve">Base ranking score before boosts are applied.</w:t>
            </w:r>
          </w:p>
        </w:tc>
      </w:tr>
    </w:tbl>
    <w:p>
      <w:pPr>
        <w:spacing w:after="0" w:before="120"/>
      </w:pPr>
      <w:r>
        <w:rPr>
          <w:rFonts w:ascii="Arial" w:cs="Arial" w:eastAsia="Arial" w:hAnsi="Arial"/>
          <w:color w:val="6B7280"/>
          <w:sz w:val="22"/>
          <w:szCs w:val="22"/>
        </w:rPr>
        <w:t xml:space="preserve"/>
      </w:r>
    </w:p>
    <w:p>
      <w:pPr>
        <w:pStyle w:val="Heading2"/>
        <w:spacing w:after="80" w:before="280"/>
      </w:pPr>
      <w:r>
        <w:rPr>
          <w:rFonts w:ascii="Arial" w:cs="Arial" w:eastAsia="Arial" w:hAnsi="Arial"/>
          <w:b/>
          <w:bCs/>
          <w:color w:val="1A6B3C"/>
          <w:sz w:val="26"/>
          <w:szCs w:val="26"/>
        </w:rPr>
        <w:t xml:space="preserve">4.2  Signal Importance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Signal State</w:t>
            </w:r>
          </w:p>
        </w:tc>
        <w:tc>
          <w:tcPr>
            <w:tcW w:type="dxa" w:w="57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Importance Value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Red</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90  —  highest urgency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Watch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60  —  moderate urgency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Green</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20  —  lowest urgency</w:t>
            </w:r>
          </w:p>
        </w:tc>
      </w:tr>
    </w:tbl>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1E3A5F"/>
                <w:sz w:val="22"/>
                <w:szCs w:val="22"/>
              </w:rPr>
              <w:t xml:space="preserve">Signal change rule:  </w:t>
            </w:r>
            <w:r>
              <w:rPr>
                <w:rFonts w:ascii="Arial" w:cs="Arial" w:eastAsia="Arial" w:hAnsi="Arial"/>
                <w:color w:val="0D1B2A"/>
                <w:sz w:val="22"/>
                <w:szCs w:val="22"/>
              </w:rPr>
              <w:t xml:space="preserve">If the signal changed since last render, use the full importance value. If it stayed the same, use 50% of importance — this stops stable items from overwhelming fresh changes.</w:t>
            </w:r>
          </w:p>
        </w:tc>
      </w:tr>
    </w:tbl>
    <w:p>
      <w:pPr>
        <w:spacing w:after="0" w:before="120"/>
      </w:pPr>
      <w:r>
        <w:rPr>
          <w:rFonts w:ascii="Arial" w:cs="Arial" w:eastAsia="Arial" w:hAnsi="Arial"/>
          <w:color w:val="6B7280"/>
          <w:sz w:val="22"/>
          <w:szCs w:val="22"/>
        </w:rPr>
        <w:t xml:space="preserve"/>
      </w:r>
    </w:p>
    <w:p>
      <w:pPr>
        <w:pStyle w:val="Heading2"/>
        <w:spacing w:after="80" w:before="280"/>
      </w:pPr>
      <w:r>
        <w:rPr>
          <w:rFonts w:ascii="Arial" w:cs="Arial" w:eastAsia="Arial" w:hAnsi="Arial"/>
          <w:b/>
          <w:bCs/>
          <w:color w:val="1A6B3C"/>
          <w:sz w:val="26"/>
          <w:szCs w:val="26"/>
        </w:rPr>
        <w:t xml:space="preserve">4.3  Boosts</w:t>
      </w:r>
    </w:p>
    <w:p>
      <w:pPr>
        <w:spacing w:after="60" w:before="60"/>
      </w:pPr>
      <w:r>
        <w:rPr>
          <w:rFonts w:ascii="Arial" w:cs="Arial" w:eastAsia="Arial" w:hAnsi="Arial"/>
          <w:color w:val="6B7280"/>
          <w:sz w:val="22"/>
          <w:szCs w:val="22"/>
        </w:rPr>
        <w:t xml:space="preserve">After the base feed score is calculated, four boosts and one jitter value are added to produce the final algorithm score:</w:t>
      </w:r>
    </w:p>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Boost</w:t>
            </w:r>
          </w:p>
        </w:tc>
        <w:tc>
          <w:tcPr>
            <w:tcW w:type="dxa" w:w="6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Logic</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recencyBoost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26 for demo overrides, 14 when signal changed, or freshness / 12 otherwise.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interestBoost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10 when the company is watched; falls back to userInterestMatch / 12.</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noveltyBoost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9 for learning cards, 5 for green items, 0 otherwise.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learningBoost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learningValue / 10 — lets educational cards compete with urgent updates.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jitter</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abs(hash(seed) mod 17) − 8 — produces a small ±8 variation so the feed feels less identical each time while remaining deterministic for the same input.</w:t>
            </w:r>
          </w:p>
        </w:tc>
      </w:tr>
    </w:tbl>
    <w:p>
      <w:pPr>
        <w:spacing w:after="0" w:before="120"/>
      </w:pPr>
      <w:r>
        <w:rPr>
          <w:rFonts w:ascii="Arial" w:cs="Arial" w:eastAsia="Arial" w:hAnsi="Arial"/>
          <w:color w:val="6B7280"/>
          <w:sz w:val="22"/>
          <w:szCs w:val="22"/>
        </w:rPr>
        <w:t xml:space="preserve"/>
      </w:r>
    </w:p>
    <w:p>
      <w:pPr>
        <w:pStyle w:val="Heading2"/>
        <w:spacing w:after="80" w:before="280"/>
      </w:pPr>
      <w:r>
        <w:rPr>
          <w:rFonts w:ascii="Arial" w:cs="Arial" w:eastAsia="Arial" w:hAnsi="Arial"/>
          <w:b/>
          <w:bCs/>
          <w:color w:val="1A6B3C"/>
          <w:sz w:val="26"/>
          <w:szCs w:val="26"/>
        </w:rPr>
        <w:t xml:space="preserve">4.4  Final Sort</w:t>
      </w:r>
    </w:p>
    <w:p>
      <w:pPr>
        <w:spacing w:after="60" w:before="60"/>
      </w:pPr>
      <w:r>
        <w:rPr>
          <w:rFonts w:ascii="Arial" w:cs="Arial" w:eastAsia="Arial" w:hAnsi="Arial"/>
          <w:color w:val="6B7280"/>
          <w:sz w:val="22"/>
          <w:szCs w:val="22"/>
        </w:rPr>
        <w:t xml:space="preserve">After sorting by algorithm score, the app promotes the first urgent red or watch card if it has been pushed too far down the list. This is why the Discovery feed feels responsive to watchlist changes even though the underlying data is static.</w:t>
      </w:r>
    </w:p>
    <w:p>
      <w:pPr>
        <w:pBdr>
          <w:bottom w:val="single" w:color="E5E7EB" w:sz="4" w:space="1"/>
        </w:pBdr>
        <w:spacing w:after="200" w:before="200"/>
      </w:pPr>
      <w:r>
        <w:rPr>
          <w:rFonts w:ascii="Arial" w:cs="Arial" w:eastAsia="Arial" w:hAnsi="Arial"/>
          <w:color w:val="6B7280"/>
          <w:sz w:val="22"/>
          <w:szCs w:val="22"/>
        </w:rPr>
        <w:t xml:space="preserve"/>
      </w:r>
    </w:p>
    <w:p>
      <w:pPr>
        <w:pStyle w:val="Heading1"/>
        <w:pBdr>
          <w:bottom w:val="single" w:color="1A6B3C" w:sz="8" w:space="4"/>
        </w:pBdr>
        <w:spacing w:after="120" w:before="400"/>
      </w:pPr>
      <w:r>
        <w:rPr>
          <w:rFonts w:ascii="Arial" w:cs="Arial" w:eastAsia="Arial" w:hAnsi="Arial"/>
          <w:b/>
          <w:bCs/>
          <w:color w:val="1E3A5F"/>
          <w:sz w:val="36"/>
          <w:szCs w:val="36"/>
        </w:rPr>
        <w:t xml:space="preserve">5   Portfolio Health and Account Page</w:t>
      </w:r>
    </w:p>
    <w:p>
      <w:pPr>
        <w:spacing w:after="60" w:before="60"/>
      </w:pPr>
      <w:r>
        <w:rPr>
          <w:rFonts w:ascii="Arial" w:cs="Arial" w:eastAsia="Arial" w:hAnsi="Arial"/>
          <w:color w:val="6B7280"/>
          <w:sz w:val="22"/>
          <w:szCs w:val="22"/>
        </w:rPr>
        <w:t xml:space="preserve">The account screen converts the current watchlist into a single portfolio health summary. It only looks at watched companies, so the score changes when the watchlist changes.</w:t>
      </w:r>
    </w:p>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2"/>
              <w:bottom w:val="single" w:color="0EA5E9" w:sz="1"/>
              <w:right w:val="none" w:color="FFFFFF" w:sz="0"/>
            </w:tcBorders>
            <w:shd w:fill="F0F9FF" w:val="clear"/>
            <w:tcMar>
              <w:top w:type="dxa" w:w="120"/>
              <w:left w:type="dxa" w:w="200"/>
              <w:bottom w:type="dxa" w:w="80"/>
              <w:right w:type="dxa" w:w="200"/>
            </w:tcMar>
          </w:tcPr>
          <w:p>
            <w:r>
              <w:rPr>
                <w:rFonts w:ascii="Courier New" w:cs="Courier New" w:eastAsia="Courier New" w:hAnsi="Courier New"/>
                <w:color w:val="1E3A5F"/>
                <w:sz w:val="20"/>
                <w:szCs w:val="20"/>
              </w:rPr>
              <w:t xml:space="preserve">portfolioHealth = round(average of healthScore for every watched company)</w:t>
            </w:r>
          </w:p>
          <w:p>
            <w:pPr>
              <w:spacing w:before="60"/>
            </w:pPr>
            <w:r>
              <w:rPr>
                <w:rFonts w:ascii="Arial" w:cs="Arial" w:eastAsia="Arial" w:hAnsi="Arial"/>
                <w:i/>
                <w:iCs/>
                <w:color w:val="6B7280"/>
                <w:sz w:val="20"/>
                <w:szCs w:val="20"/>
              </w:rPr>
              <w:t xml:space="preserve">If the watchlist is empty, portfolioHealth = null and the UI shows a no-watchlist placeholder.</w:t>
            </w:r>
          </w:p>
        </w:tc>
      </w:tr>
    </w:tbl>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3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Demo Value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Donut arc</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Arc length reflects portfolio percentage as a progress value.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Derived from live watchlist.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Donut colour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Tied to the same threshold band as the health pill.</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Stays in sync automatically.</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Activity chart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Hardcoded 12-point series. Does not come from a backend.</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Fake weekly series.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Streak flame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Consecutive-use counter beside the avatar.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7 days.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Badges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Hardcoded achievements for consecutive green days.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30-day and 60-day badges.</w:t>
            </w:r>
          </w:p>
        </w:tc>
      </w:tr>
    </w:tbl>
    <w:p>
      <w:pPr>
        <w:pBdr>
          <w:bottom w:val="single" w:color="E5E7EB" w:sz="4" w:space="1"/>
        </w:pBdr>
        <w:spacing w:after="200" w:before="200"/>
      </w:pPr>
      <w:r>
        <w:rPr>
          <w:rFonts w:ascii="Arial" w:cs="Arial" w:eastAsia="Arial" w:hAnsi="Arial"/>
          <w:color w:val="6B7280"/>
          <w:sz w:val="22"/>
          <w:szCs w:val="22"/>
        </w:rPr>
        <w:t xml:space="preserve"/>
      </w:r>
    </w:p>
    <w:p>
      <w:pPr>
        <w:pStyle w:val="Heading1"/>
        <w:pBdr>
          <w:bottom w:val="single" w:color="1A6B3C" w:sz="8" w:space="4"/>
        </w:pBdr>
        <w:spacing w:after="120" w:before="400"/>
      </w:pPr>
      <w:r>
        <w:rPr>
          <w:rFonts w:ascii="Arial" w:cs="Arial" w:eastAsia="Arial" w:hAnsi="Arial"/>
          <w:b/>
          <w:bCs/>
          <w:color w:val="1E3A5F"/>
          <w:sz w:val="36"/>
          <w:szCs w:val="36"/>
        </w:rPr>
        <w:t xml:space="preserve">6   Alerts, Lock Screen, and Notification Flow</w:t>
      </w:r>
    </w:p>
    <w:p>
      <w:pPr>
        <w:spacing w:after="60" w:before="60"/>
      </w:pPr>
      <w:r>
        <w:rPr>
          <w:rFonts w:ascii="Arial" w:cs="Arial" w:eastAsia="Arial" w:hAnsi="Arial"/>
          <w:color w:val="6B7280"/>
          <w:sz w:val="22"/>
          <w:szCs w:val="22"/>
        </w:rPr>
        <w:t xml:space="preserve">Alerts are built from signal changes and evidence confidence. The app supports multiple queued notifications so several updates can appear simultaneously.</w:t>
      </w:r>
    </w:p>
    <w:p>
      <w:pPr>
        <w:spacing w:after="0" w:before="120"/>
      </w:pPr>
      <w:r>
        <w:rPr>
          <w:rFonts w:ascii="Arial" w:cs="Arial" w:eastAsia="Arial" w:hAnsi="Arial"/>
          <w:color w:val="6B7280"/>
          <w:sz w:val="22"/>
          <w:szCs w:val="22"/>
        </w:rPr>
        <w:t xml:space="preserve"/>
      </w:r>
    </w:p>
    <w:p>
      <w:pPr>
        <w:pStyle w:val="Heading2"/>
        <w:spacing w:after="80" w:before="280"/>
      </w:pPr>
      <w:r>
        <w:rPr>
          <w:rFonts w:ascii="Arial" w:cs="Arial" w:eastAsia="Arial" w:hAnsi="Arial"/>
          <w:b/>
          <w:bCs/>
          <w:color w:val="1A6B3C"/>
          <w:sz w:val="26"/>
          <w:szCs w:val="26"/>
        </w:rPr>
        <w:t xml:space="preserve">6.1  Red Flag Alert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1"/>
              <w:left w:val="single" w:color="0EA5E9" w:sz="12"/>
              <w:bottom w:val="single" w:color="0EA5E9" w:sz="1"/>
              <w:right w:val="none" w:color="FFFFFF" w:sz="0"/>
            </w:tcBorders>
            <w:shd w:fill="F0F9FF" w:val="clear"/>
            <w:tcMar>
              <w:top w:type="dxa" w:w="120"/>
              <w:left w:type="dxa" w:w="200"/>
              <w:bottom w:type="dxa" w:w="80"/>
              <w:right w:type="dxa" w:w="200"/>
            </w:tcMar>
          </w:tcPr>
          <w:p>
            <w:r>
              <w:rPr>
                <w:rFonts w:ascii="Courier New" w:cs="Courier New" w:eastAsia="Courier New" w:hAnsi="Courier New"/>
                <w:color w:val="1E3A5F"/>
                <w:sz w:val="20"/>
                <w:szCs w:val="20"/>
              </w:rPr>
              <w:t xml:space="preserve">trigger = isWatched
       AND previousSignal ≠ red
       AND currentSignal = red
       AND alertSeverity ≥ 75
       AND evidenceConfidenceOverall ≥ 75</w:t>
            </w:r>
          </w:p>
          <w:p>
            <w:pPr>
              <w:spacing w:before="60"/>
            </w:pPr>
            <w:r>
              <w:rPr>
                <w:rFonts w:ascii="Arial" w:cs="Arial" w:eastAsia="Arial" w:hAnsi="Arial"/>
                <w:i/>
                <w:iCs/>
                <w:color w:val="6B7280"/>
                <w:sz w:val="20"/>
                <w:szCs w:val="20"/>
              </w:rPr>
              <w:t xml:space="preserve">Prevents low-confidence or already-red items from firing the main alert.</w:t>
            </w:r>
          </w:p>
        </w:tc>
      </w:tr>
    </w:tbl>
    <w:p>
      <w:pPr>
        <w:spacing w:after="0" w:before="120"/>
      </w:pPr>
      <w:r>
        <w:rPr>
          <w:rFonts w:ascii="Arial" w:cs="Arial" w:eastAsia="Arial" w:hAnsi="Arial"/>
          <w:color w:val="6B7280"/>
          <w:sz w:val="22"/>
          <w:szCs w:val="22"/>
        </w:rPr>
        <w:t xml:space="preserve"/>
      </w:r>
    </w:p>
    <w:p>
      <w:pPr>
        <w:pStyle w:val="Heading2"/>
        <w:spacing w:after="80" w:before="280"/>
      </w:pPr>
      <w:r>
        <w:rPr>
          <w:rFonts w:ascii="Arial" w:cs="Arial" w:eastAsia="Arial" w:hAnsi="Arial"/>
          <w:b/>
          <w:bCs/>
          <w:color w:val="1A6B3C"/>
          <w:sz w:val="26"/>
          <w:szCs w:val="26"/>
        </w:rPr>
        <w:t xml:space="preserve">6.2  Notification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6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Current Implementation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Alert creation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buildRedFlagAlert creates the notification text and links the first two evidence receipts.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Storage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Notifications are stored in an array so lock screen and banner can render multiple items.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Auto-hide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Banner auto-hides after 4,000 ms when the app is open, but notifications remain in state.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Dismiss single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Opening an alert navigates to the detail route and removes only that notification from the queue.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Lock screen actions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See Why opens the detail screen. Close dismisses the alert card.</w:t>
            </w:r>
          </w:p>
        </w:tc>
      </w:tr>
    </w:tbl>
    <w:p>
      <w:pPr>
        <w:pBdr>
          <w:bottom w:val="single" w:color="E5E7EB" w:sz="4" w:space="1"/>
        </w:pBdr>
        <w:spacing w:after="200" w:before="200"/>
      </w:pPr>
      <w:r>
        <w:rPr>
          <w:rFonts w:ascii="Arial" w:cs="Arial" w:eastAsia="Arial" w:hAnsi="Arial"/>
          <w:color w:val="6B7280"/>
          <w:sz w:val="22"/>
          <w:szCs w:val="22"/>
        </w:rPr>
        <w:t xml:space="preserve"/>
      </w:r>
    </w:p>
    <w:p>
      <w:pPr>
        <w:pStyle w:val="Heading1"/>
        <w:pBdr>
          <w:bottom w:val="single" w:color="1A6B3C" w:sz="8" w:space="4"/>
        </w:pBdr>
        <w:spacing w:after="120" w:before="400"/>
      </w:pPr>
      <w:r>
        <w:rPr>
          <w:rFonts w:ascii="Arial" w:cs="Arial" w:eastAsia="Arial" w:hAnsi="Arial"/>
          <w:b/>
          <w:bCs/>
          <w:color w:val="1E3A5F"/>
          <w:sz w:val="36"/>
          <w:szCs w:val="36"/>
        </w:rPr>
        <w:t xml:space="preserve">7   Friends and Leaderboard</w:t>
      </w:r>
    </w:p>
    <w:p>
      <w:pPr>
        <w:spacing w:after="60" w:before="60"/>
      </w:pPr>
      <w:r>
        <w:rPr>
          <w:rFonts w:ascii="Arial" w:cs="Arial" w:eastAsia="Arial" w:hAnsi="Arial"/>
          <w:color w:val="6B7280"/>
          <w:sz w:val="22"/>
          <w:szCs w:val="22"/>
        </w:rPr>
        <w:t xml:space="preserve">The social layer is demo-driven. Friends come from a hardcoded directory and the leaderboard only compares people inside that friend set.</w:t>
      </w:r>
    </w:p>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FRIEND_DIRECTORY</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Static list of possible friends, each with a name, handle, and portfolio health score.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INITIAL_FRIEND_IDS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Selects which friends are already connected when the app starts.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Friends screen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Filters the directory into current friends and suggestions, then narrows by search.</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Leaderboard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Creates a list of the current user plus connected friends, sorted by portfolioHealth descending.</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Self-comparison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The current user is always included as You so the leaderboard shows a self-ranking within the friend circle.</w:t>
            </w:r>
          </w:p>
        </w:tc>
      </w:tr>
    </w:tbl>
    <w:p>
      <w:pPr>
        <w:pBdr>
          <w:bottom w:val="single" w:color="E5E7EB" w:sz="4" w:space="1"/>
        </w:pBdr>
        <w:spacing w:after="200" w:before="200"/>
      </w:pPr>
      <w:r>
        <w:rPr>
          <w:rFonts w:ascii="Arial" w:cs="Arial" w:eastAsia="Arial" w:hAnsi="Arial"/>
          <w:color w:val="6B7280"/>
          <w:sz w:val="22"/>
          <w:szCs w:val="22"/>
        </w:rPr>
        <w:t xml:space="preserve"/>
      </w:r>
    </w:p>
    <w:p>
      <w:pPr>
        <w:pStyle w:val="Heading1"/>
        <w:pBdr>
          <w:bottom w:val="single" w:color="1A6B3C" w:sz="8" w:space="4"/>
        </w:pBdr>
        <w:spacing w:after="120" w:before="400"/>
      </w:pPr>
      <w:r>
        <w:rPr>
          <w:rFonts w:ascii="Arial" w:cs="Arial" w:eastAsia="Arial" w:hAnsi="Arial"/>
          <w:b/>
          <w:bCs/>
          <w:color w:val="1E3A5F"/>
          <w:sz w:val="36"/>
          <w:szCs w:val="36"/>
        </w:rPr>
        <w:t xml:space="preserve">8   Screen and Route Flow</w:t>
      </w:r>
    </w:p>
    <w:p>
      <w:pPr>
        <w:spacing w:after="60" w:before="60"/>
      </w:pPr>
      <w:r>
        <w:rPr>
          <w:rFonts w:ascii="Arial" w:cs="Arial" w:eastAsia="Arial" w:hAnsi="Arial"/>
          <w:color w:val="6B7280"/>
          <w:sz w:val="22"/>
          <w:szCs w:val="22"/>
        </w:rPr>
        <w:t xml:space="preserve">The app uses a small route map instead of a large router library. The active screen is controlled by appPhase and route in App.jsx.</w:t>
      </w:r>
    </w:p>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State / Route</w:t>
            </w:r>
          </w:p>
        </w:tc>
        <w:tc>
          <w:tcPr>
            <w:tcW w:type="dxa" w:w="6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the User Sees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closed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Click-to-start lock screen.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splash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Loading and checking companies screen.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prompt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Discovery feed plus a daily brief prompt overlay.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app + discovery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Main feed of company cards.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app + company</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Company detail page with evidence and why-this-flag logic.</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app + brief</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Daily brief summary page.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app + leaderboard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Friends-only portfolio health ranking.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app + friends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Friends directory and add-friend page.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app + account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Portfolio health, badges, settings, and friends shortcut.</w:t>
            </w:r>
          </w:p>
        </w:tc>
      </w:tr>
    </w:tbl>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r>
              <w:rPr>
                <w:rFonts w:ascii="Arial" w:cs="Arial" w:eastAsia="Arial" w:hAnsi="Arial"/>
                <w:b/>
                <w:bCs/>
                <w:color w:val="1E3A5F"/>
                <w:sz w:val="22"/>
                <w:szCs w:val="22"/>
              </w:rPr>
              <w:t xml:space="preserve">Navigation note:  </w:t>
            </w:r>
            <w:r>
              <w:rPr>
                <w:rFonts w:ascii="Arial" w:cs="Arial" w:eastAsia="Arial" w:hAnsi="Arial"/>
                <w:color w:val="0D1B2A"/>
                <w:sz w:val="22"/>
                <w:szCs w:val="22"/>
              </w:rPr>
              <w:t xml:space="preserve">The bottom navigation shows Discovery, Watchlist, Brief, and Account. Search and Leaderboard are top-right actions in the app header, not bottom tabs. Theme mode is stored in local storage and applied through the document body.</w:t>
            </w:r>
          </w:p>
        </w:tc>
      </w:tr>
    </w:tbl>
    <w:p>
      <w:pPr>
        <w:pBdr>
          <w:bottom w:val="single" w:color="E5E7EB" w:sz="4" w:space="1"/>
        </w:pBdr>
        <w:spacing w:after="200" w:before="200"/>
      </w:pPr>
      <w:r>
        <w:rPr>
          <w:rFonts w:ascii="Arial" w:cs="Arial" w:eastAsia="Arial" w:hAnsi="Arial"/>
          <w:color w:val="6B7280"/>
          <w:sz w:val="22"/>
          <w:szCs w:val="22"/>
        </w:rPr>
        <w:t xml:space="preserve"/>
      </w:r>
    </w:p>
    <w:p>
      <w:pPr>
        <w:pStyle w:val="Heading1"/>
        <w:pBdr>
          <w:bottom w:val="single" w:color="1A6B3C" w:sz="8" w:space="4"/>
        </w:pBdr>
        <w:spacing w:after="120" w:before="400"/>
      </w:pPr>
      <w:r>
        <w:rPr>
          <w:rFonts w:ascii="Arial" w:cs="Arial" w:eastAsia="Arial" w:hAnsi="Arial"/>
          <w:b/>
          <w:bCs/>
          <w:color w:val="1E3A5F"/>
          <w:sz w:val="36"/>
          <w:szCs w:val="36"/>
        </w:rPr>
        <w:t xml:space="preserve">9   Demo-Only Values</w:t>
      </w:r>
    </w:p>
    <w:p>
      <w:pPr>
        <w:spacing w:after="60" w:before="60"/>
      </w:pPr>
      <w:r>
        <w:rPr>
          <w:rFonts w:ascii="Arial" w:cs="Arial" w:eastAsia="Arial" w:hAnsi="Arial"/>
          <w:color w:val="6B7280"/>
          <w:sz w:val="22"/>
          <w:szCs w:val="22"/>
        </w:rPr>
        <w:t xml:space="preserve">These values are hardcoded because the app is a demo. They help the presenter show a realistic flow without needing a live backend.</w:t>
      </w:r>
    </w:p>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Demo Helper</w:t>
            </w:r>
          </w:p>
        </w:tc>
        <w:tc>
          <w:tcPr>
            <w:tcW w:type="dxa" w:w="6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Current Value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Closed-screen prompt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Click to start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Launch splash delay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900 ms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Banner auto-hide timer</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4,000 ms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Account streak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7 days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Green achievement badges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30-day and 60-day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Activity chart series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Hardcoded 12-week fake data</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Daily brief date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2026-06-10</w:t>
            </w:r>
          </w:p>
        </w:tc>
      </w:tr>
    </w:tbl>
    <w:p>
      <w:pPr>
        <w:pBdr>
          <w:bottom w:val="single" w:color="E5E7EB" w:sz="4" w:space="1"/>
        </w:pBdr>
        <w:spacing w:after="200" w:before="200"/>
      </w:pPr>
      <w:r>
        <w:rPr>
          <w:rFonts w:ascii="Arial" w:cs="Arial" w:eastAsia="Arial" w:hAnsi="Arial"/>
          <w:color w:val="6B7280"/>
          <w:sz w:val="22"/>
          <w:szCs w:val="22"/>
        </w:rPr>
        <w:t xml:space="preserve"/>
      </w:r>
    </w:p>
    <w:p>
      <w:pPr>
        <w:pStyle w:val="Heading1"/>
        <w:pBdr>
          <w:bottom w:val="single" w:color="1A6B3C" w:sz="8" w:space="4"/>
        </w:pBdr>
        <w:spacing w:after="120" w:before="400"/>
      </w:pPr>
      <w:r>
        <w:rPr>
          <w:rFonts w:ascii="Arial" w:cs="Arial" w:eastAsia="Arial" w:hAnsi="Arial"/>
          <w:b/>
          <w:bCs/>
          <w:color w:val="1E3A5F"/>
          <w:sz w:val="36"/>
          <w:szCs w:val="36"/>
        </w:rPr>
        <w:t xml:space="preserve">10   One-Sentence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2"/>
              <w:left w:val="none" w:color="FFFFFF" w:sz="0"/>
              <w:bottom w:val="single" w:color="1A6B3C" w:sz="12"/>
              <w:right w:val="none" w:color="FFFFFF" w:sz="0"/>
            </w:tcBorders>
            <w:shd w:fill="D6EFE0" w:val="clear"/>
            <w:tcMar>
              <w:top w:type="dxa" w:w="200"/>
              <w:left w:type="dxa" w:w="300"/>
              <w:bottom w:type="dxa" w:w="200"/>
              <w:right w:type="dxa" w:w="300"/>
            </w:tcMar>
          </w:tcPr>
          <w:p>
            <w:pPr>
              <w:jc w:val="center"/>
            </w:pPr>
            <w:r>
              <w:rPr>
                <w:rFonts w:ascii="Arial" w:cs="Arial" w:eastAsia="Arial" w:hAnsi="Arial"/>
                <w:b/>
                <w:bCs/>
                <w:i/>
                <w:iCs/>
                <w:color w:val="1A6B3C"/>
                <w:sz w:val="23"/>
                <w:szCs w:val="23"/>
              </w:rPr>
              <w:t xml:space="preserve">Green Radar takes hardcoded ESG company data, converts raw risk inputs into a single deterioration score, maps that score into green/watch/red states, ranks the feed with a weighted algorithm, and reuses the same state to power the portfolio donut, alerts, leaderboard, friends, and daily brief.</w:t>
            </w:r>
          </w:p>
        </w:tc>
      </w:tr>
    </w:tbl>
    <w:p>
      <w:pPr>
        <w:pBdr>
          <w:bottom w:val="single" w:color="E5E7EB" w:sz="4" w:space="1"/>
        </w:pBdr>
        <w:spacing w:after="200" w:before="200"/>
      </w:pPr>
      <w:r>
        <w:rPr>
          <w:rFonts w:ascii="Arial" w:cs="Arial" w:eastAsia="Arial" w:hAnsi="Arial"/>
          <w:color w:val="6B7280"/>
          <w:sz w:val="22"/>
          <w:szCs w:val="22"/>
        </w:rPr>
        <w:t xml:space="preserve"/>
      </w:r>
    </w:p>
    <w:p>
      <w:pPr>
        <w:pStyle w:val="Heading1"/>
        <w:pBdr>
          <w:bottom w:val="single" w:color="1A6B3C" w:sz="8" w:space="4"/>
        </w:pBdr>
        <w:spacing w:after="120" w:before="400"/>
      </w:pPr>
      <w:r>
        <w:rPr>
          <w:rFonts w:ascii="Arial" w:cs="Arial" w:eastAsia="Arial" w:hAnsi="Arial"/>
          <w:b/>
          <w:bCs/>
          <w:color w:val="1E3A5F"/>
          <w:sz w:val="36"/>
          <w:szCs w:val="36"/>
        </w:rPr>
        <w:t xml:space="preserve">11   AI Integration Plan</w:t>
      </w:r>
    </w:p>
    <w:p>
      <w:pPr>
        <w:spacing w:after="60" w:before="60"/>
      </w:pPr>
      <w:r>
        <w:t>The current app is fully deterministic - no AI is involved in final scoring or alert rules. This section defines a two-layer AI integration plan: AI helps judge whether evidence is trustworthy and helps explain the result, while fixed rules keep the final scores predictable and auditable.</w:t>
      </w:r>
    </w:p>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200"/>
              <w:bottom w:type="dxa" w:w="120"/>
              <w:right w:type="dxa" w:w="200"/>
            </w:tcMar>
          </w:tcPr>
          <w:p>
            <w:r>
              <w:t>Design principle:  AI should expand what the app can discover and how it explains findings. AI can assist source credibility checks, but it must never silently override the core ESG score. The scoring math stays in code. AI wraps around it.</w:t>
            </w:r>
          </w:p>
        </w:tc>
      </w:tr>
    </w:tbl>
    <w:p>
      <w:pPr>
        <w:spacing w:after="0" w:before="160"/>
      </w:pPr>
      <w:r>
        <w:rPr>
          <w:rFonts w:ascii="Arial" w:cs="Arial" w:eastAsia="Arial" w:hAnsi="Arial"/>
          <w:color w:val="6B7280"/>
          <w:sz w:val="22"/>
          <w:szCs w:val="22"/>
        </w:rPr>
        <w:t xml:space="preserve"/>
      </w:r>
    </w:p>
    <w:p>
      <w:pPr>
        <w:pStyle w:val="Heading2"/>
        <w:spacing w:after="80" w:before="280"/>
      </w:pPr>
      <w:r>
        <w:rPr>
          <w:rFonts w:ascii="Arial" w:cs="Arial" w:eastAsia="Arial" w:hAnsi="Arial"/>
          <w:b/>
          <w:bCs/>
          <w:color w:val="1A6B3C"/>
          <w:sz w:val="26"/>
          <w:szCs w:val="26"/>
        </w:rPr>
        <w:t xml:space="preserve">11.1  Architecture Overview</w:t>
      </w:r>
    </w:p>
    <w:p>
      <w:pPr>
        <w:spacing w:after="60" w:before="60"/>
      </w:pPr>
      <w:r>
        <w:t>The integration is split into two layers with clearly different responsibilities:</w:t>
      </w:r>
    </w:p>
    <w:p>
      <w:pPr>
        <w:spacing w:after="0" w:before="10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t>Layer</w:t>
            </w:r>
          </w:p>
        </w:tc>
        <w:tc>
          <w:tcPr>
            <w:tcW w:type="dxa" w:w="6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t>What It Does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t>Layer A - AI Evidence Intelligence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t>Connects to external sources, finds ESG evidence, checks source credibility, detects contradiction, and feeds normalised receipts back into the existing company model.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Layer B - Intelligent Explanation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Uses AI to translate deterministic score outputs into readable summaries, alert text, daily reports, and custom dashboard explanations.</w:t>
            </w:r>
          </w:p>
        </w:tc>
      </w:tr>
    </w:tbl>
    <w:p>
      <w:pPr>
        <w:spacing w:after="0" w:before="160"/>
      </w:pPr>
      <w:r>
        <w:rPr>
          <w:rFonts w:ascii="Arial" w:cs="Arial" w:eastAsia="Arial" w:hAnsi="Arial"/>
          <w:color w:val="6B7280"/>
          <w:sz w:val="22"/>
          <w:szCs w:val="22"/>
        </w:rPr>
        <w:t xml:space="preserve"/>
      </w:r>
    </w:p>
    <w:p>
      <w:pPr>
        <w:pStyle w:val="Heading2"/>
        <w:spacing w:after="80" w:before="280"/>
      </w:pPr>
      <w:r>
        <w:t>11.2  Layer A: AI Evidence Intelligence</w:t>
      </w:r>
    </w:p>
    <w:p>
      <w:pPr>
        <w:spacing w:after="60" w:before="60"/>
      </w:pPr>
      <w:r>
        <w:t>This layer connects the app to the outside world. Its job is to find ESG-relevant information, judge whether the source is trustworthy, and convert credible findings into evidence receipts for the existing scoring engine.</w:t>
      </w:r>
    </w:p>
    <w:p>
      <w:pPr>
        <w:spacing w:after="0" w:before="10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40"/>
              <w:left w:type="dxa" w:w="220"/>
              <w:bottom w:type="dxa" w:w="140"/>
              <w:right w:type="dxa" w:w="220"/>
            </w:tcMar>
          </w:tcPr>
          <w:p>
            <w:r>
              <w:t>What it monitors</w:t>
              <w:br/>
              <w:t>News feeds and ESG-specific publications for company mentions</w:t>
              <w:br/>
              <w:t>Regulatory filings, government permit databases, court records, and stock exchange announcements</w:t>
              <w:br/>
              <w:t>Company sustainability posts and disclosures, treated as claims rather than automatic proof</w:t>
              <w:br/>
              <w:t>NGO reports, watchdog research, local news, shipping data, and supplier-network signals</w:t>
              <w:br/>
              <w:t>Patent application databases and job posting platforms for clean-tech investment and green-role hiring trends</w:t>
            </w:r>
          </w:p>
        </w:tc>
      </w:tr>
    </w:tbl>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40"/>
              <w:left w:type="dxa" w:w="220"/>
              <w:bottom w:type="dxa" w:w="140"/>
              <w:right w:type="dxa" w:w="220"/>
            </w:tcMar>
          </w:tcPr>
          <w:p>
            <w:r>
              <w:t>How evidence confidence works</w:t>
              <w:br/>
              <w:t>A scheduled backend job pulls from permitted data sources and matches new mentions to existing company records</w:t>
              <w:br/>
              <w:t>AI reviews source type, independence, corroboration, contradiction with other sources, recency, and specificity</w:t>
              <w:br/>
              <w:t>The evidence confidence score is produced by an AI-assisted credibility check, then converted into a numeric score using fixed scoring rules</w:t>
              <w:br/>
              <w:t>A regulator notice starts with high confidence because it is official and independently verifiable</w:t>
              <w:br/>
              <w:t>A company ESG post starts lower because it is self-reported; if independent sources confirm the claim, confidence increases; if outside evidence contradicts the claim, confidence decreases</w:t>
              <w:br/>
              <w:t>Matched evidence is normalised into the same receipt format already used by the app, with source label, grade, confidence, date, summary, and affected ESG dimension</w:t>
            </w:r>
          </w:p>
        </w:tc>
      </w:tr>
    </w:tbl>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40"/>
              <w:left w:type="dxa" w:w="220"/>
              <w:bottom w:type="dxa" w:w="140"/>
              <w:right w:type="dxa" w:w="220"/>
            </w:tcMar>
          </w:tcPr>
          <w:p>
            <w:r>
              <w:t>Security and trust rules</w:t>
              <w:br/>
              <w:t>The AI API key lives on a backend or serverless function only - never in the frontend bundle</w:t>
              <w:br/>
              <w:t>The frontend calls our own endpoint, which then talks to the AI provider</w:t>
              <w:br/>
              <w:t>All fetched data is validated against the expected company schema before it enters the app state</w:t>
              <w:br/>
              <w:t>Company-owned posts, press releases, and sustainability marketing are treated as claims, not proof</w:t>
              <w:br/>
              <w:t>Weak or self-reported evidence cannot trigger a Red signal by itself; it needs stronger support or corroboration</w:t>
              <w:br/>
              <w:t>The live layer operates independently: if it fails or is unavailable, the demo falls back to hardcoded data with no visible crash</w:t>
            </w:r>
          </w:p>
        </w:tc>
      </w:tr>
    </w:tbl>
    <w:p>
      <w:pPr>
        <w:spacing w:after="0" w:before="160"/>
      </w:pPr>
      <w:r>
        <w:rPr>
          <w:rFonts w:ascii="Arial" w:cs="Arial" w:eastAsia="Arial" w:hAnsi="Arial"/>
          <w:color w:val="6B7280"/>
          <w:sz w:val="22"/>
          <w:szCs w:val="22"/>
        </w:rPr>
        <w:t xml:space="preserve"/>
      </w:r>
    </w:p>
    <w:p>
      <w:pPr>
        <w:pStyle w:val="Heading2"/>
        <w:spacing w:after="80" w:before="280"/>
      </w:pPr>
      <w:r>
        <w:t>11.3  Layer B: Intelligent Explanation</w:t>
      </w:r>
    </w:p>
    <w:p>
      <w:pPr>
        <w:spacing w:after="60" w:before="60"/>
      </w:pPr>
      <w:r>
        <w:t>This layer uses AI to make the app's output easier to understand. It does not change scores - it translates evidence, confidence, and signal changes into plain language.</w:t>
      </w:r>
    </w:p>
    <w:p>
      <w:pPr>
        <w:spacing w:after="0" w:before="10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40"/>
              <w:left w:type="dxa" w:w="220"/>
              <w:bottom w:type="dxa" w:w="140"/>
              <w:right w:type="dxa" w:w="220"/>
            </w:tcMar>
          </w:tcPr>
          <w:p>
            <w:r>
              <w:t>What AI can write</w:t>
              <w:br/>
              <w:t>Daily brief summaries: convert top signal changes into a paragraph a non-technical user can read</w:t>
              <w:br/>
              <w:t>Alert copy: rewrite why-this-flag text to be specific, clear, and appropriately urgent</w:t>
              <w:br/>
              <w:t>Evidence summaries: condense multiple receipt cards into one coherent explanation</w:t>
              <w:br/>
              <w:t>Score explanations: explain in plain English why a company moved from Watch to Red or improved from Watch to Green</w:t>
              <w:br/>
              <w:t>Dashboard explanations: describe the signal mix, top risk themes, confidence level, and recommended reading order for the user's watchlist</w:t>
              <w:br/>
              <w:t>Custom portfolio narrative: generate a weekly ESG summary tailored to the user's followed companies</w:t>
            </w:r>
          </w:p>
        </w:tc>
      </w:tr>
    </w:tbl>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40"/>
              <w:left w:type="dxa" w:w="220"/>
              <w:bottom w:type="dxa" w:w="140"/>
              <w:right w:type="dxa" w:w="220"/>
            </w:tcMar>
          </w:tcPr>
          <w:p>
            <w:r>
              <w:t>What AI must never do</w:t>
              <w:br/>
              <w:t>Override or modify the raw deterioration score or health score directly</w:t>
              <w:br/>
              <w:t>Decide alert severity by itself - alertSeverity and evidenceConfidenceOverall thresholds remain in code</w:t>
              <w:br/>
              <w:t>Treat company self-reporting as fully trusted proof without external checks</w:t>
              <w:br/>
              <w:t>Generate financial advice or recommend buying or selling any company</w:t>
              <w:br/>
              <w:t>Present its own judgment as the app's official ESG rating</w:t>
              <w:br/>
              <w:t>Operate without a fallback - if the AI service is unavailable, the app must still function using its hardcoded text</w:t>
            </w:r>
          </w:p>
        </w:tc>
      </w:tr>
    </w:tbl>
    <w:p>
      <w:pPr>
        <w:spacing w:after="0" w:before="160"/>
      </w:pPr>
      <w:r>
        <w:rPr>
          <w:rFonts w:ascii="Arial" w:cs="Arial" w:eastAsia="Arial" w:hAnsi="Arial"/>
          <w:color w:val="6B7280"/>
          <w:sz w:val="22"/>
          <w:szCs w:val="22"/>
        </w:rPr>
        <w:t xml:space="preserve"/>
      </w:r>
    </w:p>
    <w:p>
      <w:pPr>
        <w:pStyle w:val="Heading2"/>
        <w:spacing w:after="80" w:before="280"/>
      </w:pPr>
      <w:r>
        <w:t>11.4  Daily Report and Custom Dashboard Mode (Planned)</w:t>
      </w:r>
    </w:p>
    <w:p>
      <w:pPr>
        <w:spacing w:after="60" w:before="60"/>
      </w:pPr>
      <w:r>
        <w:t>Beyond in-app AI, a scheduled nightly pipeline can generate a morning ESG report and personalised dashboard automatically. This is the most concrete product use case for the hackathon demonstration.</w:t>
      </w:r>
    </w:p>
    <w:p>
      <w:pPr>
        <w:spacing w:after="0" w:before="80"/>
      </w:pPr>
      <w:r>
        <w:rPr>
          <w:rFonts w:ascii="Arial" w:cs="Arial" w:eastAsia="Arial" w:hAnsi="Arial"/>
          <w:color w:val="6B7280"/>
          <w:sz w:val="22"/>
          <w:szCs w:val="22"/>
        </w:rPr>
        <w:t xml:space="preserve"/>
      </w:r>
    </w:p>
    <w:p>
      <w:pPr>
        <w:spacing w:after="60" w:before="60"/>
      </w:pPr>
      <w:r>
        <w:t>The pipeline runs at a set time each night. By morning, a formatted report is ready for the user or fund manager showing:</w:t>
      </w:r>
    </w:p>
    <w:p>
      <w:pPr>
        <w:spacing w:after="0" w:before="60"/>
      </w:pPr>
      <w:r>
        <w:rPr>
          <w:rFonts w:ascii="Arial" w:cs="Arial" w:eastAsia="Arial" w:hAnsi="Arial"/>
          <w:color w:val="6B7280"/>
          <w:sz w:val="22"/>
          <w:szCs w:val="22"/>
        </w:rPr>
        <w:t xml:space="preserve"/>
      </w:r>
    </w:p>
    <w:p>
      <w:pPr>
        <w:pStyle w:val="ListParagraph"/>
        <w:numPr>
          <w:ilvl w:val="0"/>
          <w:numId w:val="2"/>
        </w:numPr>
        <w:spacing w:after="40" w:before="40"/>
      </w:pPr>
      <w:r>
        <w:rPr>
          <w:rFonts w:ascii="Arial" w:cs="Arial" w:eastAsia="Arial" w:hAnsi="Arial"/>
          <w:color w:val="6B7280"/>
          <w:sz w:val="22"/>
          <w:szCs w:val="22"/>
        </w:rPr>
        <w:t xml:space="preserve">Which watched companies had significant ESG signal changes overnight</w:t>
      </w:r>
    </w:p>
    <w:p>
      <w:pPr>
        <w:pStyle w:val="ListParagraph"/>
        <w:numPr>
          <w:ilvl w:val="0"/>
          <w:numId w:val="2"/>
        </w:numPr>
        <w:spacing w:after="40" w:before="40"/>
      </w:pPr>
      <w:r>
        <w:t>New evidence discovered across all signal sources with AI-assisted trust levels</w:t>
      </w:r>
    </w:p>
    <w:p>
      <w:pPr>
        <w:pStyle w:val="ListParagraph"/>
        <w:numPr>
          <w:ilvl w:val="0"/>
          <w:numId w:val="2"/>
        </w:numPr>
        <w:spacing w:after="40" w:before="40"/>
      </w:pPr>
      <w:r>
        <w:rPr>
          <w:rFonts w:ascii="Arial" w:cs="Arial" w:eastAsia="Arial" w:hAnsi="Arial"/>
          <w:color w:val="6B7280"/>
          <w:sz w:val="22"/>
          <w:szCs w:val="22"/>
        </w:rPr>
        <w:t xml:space="preserve">Promise tracking updates: which commitments are on pace or falling behind</w:t>
      </w:r>
    </w:p>
    <w:p>
      <w:pPr>
        <w:pStyle w:val="ListParagraph"/>
        <w:numPr>
          <w:ilvl w:val="0"/>
          <w:numId w:val="2"/>
        </w:numPr>
        <w:spacing w:after="40" w:before="40"/>
      </w:pPr>
      <w:r>
        <w:rPr>
          <w:rFonts w:ascii="Arial" w:cs="Arial" w:eastAsia="Arial" w:hAnsi="Arial"/>
          <w:color w:val="6B7280"/>
          <w:sz w:val="22"/>
          <w:szCs w:val="22"/>
        </w:rPr>
        <w:t xml:space="preserve">Supply chain flags: any negative signals from known supplier networks</w:t>
      </w:r>
    </w:p>
    <w:p>
      <w:pPr>
        <w:pStyle w:val="ListParagraph"/>
        <w:numPr>
          <w:ilvl w:val="0"/>
          <w:numId w:val="2"/>
        </w:numPr>
        <w:spacing w:after="40" w:before="40"/>
      </w:pPr>
      <w:r>
        <w:t>A one-paragraph AI-written narrative and custom dashboard summary of the most important finding</w:t>
      </w:r>
    </w:p>
    <w:p>
      <w:pPr>
        <w:spacing w:after="0" w:before="80"/>
      </w:pPr>
      <w:r>
        <w:rPr>
          <w:rFonts w:ascii="Arial" w:cs="Arial" w:eastAsia="Arial" w:hAnsi="Arial"/>
          <w:color w:val="6B728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0" w:val="clear"/>
            <w:tcMar>
              <w:top w:type="dxa" w:w="120"/>
              <w:left w:type="dxa" w:w="200"/>
              <w:bottom w:type="dxa" w:w="120"/>
              <w:right w:type="dxa" w:w="200"/>
            </w:tcMar>
          </w:tcPr>
          <w:p>
            <w:r>
              <w:t>Hackathon demo value:  This report is something a fund manager can actually use Monday morning - tangible, time-stamped, and explainable. The AI value is not just nicer wording: it checks whether evidence can be trusted, then turns the result into a custom dashboard and readable daily report.</w:t>
            </w:r>
          </w:p>
        </w:tc>
      </w:tr>
    </w:tbl>
    <w:p>
      <w:pPr>
        <w:spacing w:after="0" w:before="160"/>
      </w:pPr>
      <w:r>
        <w:rPr>
          <w:rFonts w:ascii="Arial" w:cs="Arial" w:eastAsia="Arial" w:hAnsi="Arial"/>
          <w:color w:val="6B7280"/>
          <w:sz w:val="22"/>
          <w:szCs w:val="22"/>
        </w:rPr>
        <w:t xml:space="preserve"/>
      </w:r>
    </w:p>
    <w:p>
      <w:pPr>
        <w:pStyle w:val="Heading2"/>
        <w:spacing w:after="80" w:before="280"/>
      </w:pPr>
      <w:r>
        <w:rPr>
          <w:rFonts w:ascii="Arial" w:cs="Arial" w:eastAsia="Arial" w:hAnsi="Arial"/>
          <w:b/>
          <w:bCs/>
          <w:color w:val="1A6B3C"/>
          <w:sz w:val="26"/>
          <w:szCs w:val="26"/>
        </w:rPr>
        <w:t xml:space="preserve">11.5  Implementation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t>Step</w:t>
            </w:r>
          </w:p>
        </w:tc>
        <w:tc>
          <w:tcPr>
            <w:tcW w:type="dxa" w:w="6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t>What to Build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t>1. Backend endpoint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t>Create a serverless function that accepts company names or watched tickers and returns AI-assisted evidence summaries.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2. Scheduled source job</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Set up a nightly or hourly job that checks permitted online sources for watched companies.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t>3. Credibility scoring layer</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t>Use AI to assess source type, independence, corroboration, contradiction, recency, and specificity, then apply fixed scoring rules to produce confidence.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4. Normalisation layer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Convert trusted findings into the existing receipt format with grade, confidence, date, summary, and affected ESG dimension.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t>5. Explanation prompt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t>Write reusable prompt templates that turn score changes and receipts into human-readable text without changing the score math.</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6. Dashboard/report generator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t>Build a daily brief formatter that creates a custom dashboard with priority company, signal mix, risk themes, changed companies, stable companies, and reading order.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t>7. Fallback and rate limiting</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t>Cache results, validate requests, and fall back to hardcoded text if the AI service is unavailable.</w:t>
            </w:r>
          </w:p>
        </w:tc>
      </w:tr>
    </w:tbl>
    <w:p>
      <w:pPr>
        <w:pBdr>
          <w:bottom w:val="single" w:color="E5E7EB" w:sz="4" w:space="1"/>
        </w:pBdr>
        <w:spacing w:after="200" w:before="200"/>
      </w:pPr>
      <w:r>
        <w:rPr>
          <w:rFonts w:ascii="Arial" w:cs="Arial" w:eastAsia="Arial" w:hAnsi="Arial"/>
          <w:color w:val="6B7280"/>
          <w:sz w:val="22"/>
          <w:szCs w:val="22"/>
        </w:rPr>
        <w:t xml:space="preserve"/>
      </w:r>
    </w:p>
    <w:p>
      <w:pPr>
        <w:pStyle w:val="Heading1"/>
        <w:pBdr>
          <w:bottom w:val="single" w:color="1A6B3C" w:sz="8" w:space="4"/>
        </w:pBdr>
        <w:spacing w:after="120" w:before="400"/>
      </w:pPr>
      <w:r>
        <w:rPr>
          <w:rFonts w:ascii="Arial" w:cs="Arial" w:eastAsia="Arial" w:hAnsi="Arial"/>
          <w:b/>
          <w:bCs/>
          <w:color w:val="1E3A5F"/>
          <w:sz w:val="36"/>
          <w:szCs w:val="36"/>
        </w:rPr>
        <w:t xml:space="preserve">Reference: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 / Area</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1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src/data/companies.js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Primary source of demo company records.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Defines the base inputs used everywhere else.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src/engine/signalEngine.js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Converts raw scores into a signal.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This is the core ESG math layer.</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src/engine/discoveryRanking.js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Ranks cards for the Discovery feed.</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Explains why some cards appear first.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src/app/App.jsx</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Owns global state and routing.</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Connects watchlist, alerts, theme, friends, and notifications.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src/screens/AccountScreen.jsx</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Shows portfolio health and account data.</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Uses watched companies to calculate the user summary.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src/utils/constants.js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Stores all scoring weights and thresholds.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Change weights here, not scattered through the codebase.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src/utils/formatters.js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Contains health band mapping logic.</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Keeps health labelling consistent across all screens.</w:t>
            </w:r>
          </w:p>
        </w:tc>
      </w:tr>
    </w:tbl>
    <w:p>
      <w:pPr>
        <w:spacing w:after="0" w:before="160"/>
      </w:pPr>
      <w:r>
        <w:rPr>
          <w:rFonts w:ascii="Arial" w:cs="Arial" w:eastAsia="Arial" w:hAnsi="Arial"/>
          <w:color w:val="6B7280"/>
          <w:sz w:val="22"/>
          <w:szCs w:val="22"/>
        </w:rPr>
        <w:t xml:space="preserve"/>
      </w:r>
    </w:p>
    <w:p>
      <w:pPr>
        <w:pStyle w:val="Heading1"/>
        <w:pBdr>
          <w:bottom w:val="single" w:color="1A6B3C" w:sz="8" w:space="4"/>
        </w:pBdr>
        <w:spacing w:after="120" w:before="400"/>
      </w:pPr>
      <w:r>
        <w:rPr>
          <w:rFonts w:ascii="Arial" w:cs="Arial" w:eastAsia="Arial" w:hAnsi="Arial"/>
          <w:b/>
          <w:bCs/>
          <w:color w:val="1E3A5F"/>
          <w:sz w:val="36"/>
          <w:szCs w:val="36"/>
        </w:rPr>
        <w:t xml:space="preserve">Reference: Scoring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8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 File</w:t>
            </w:r>
          </w:p>
        </w:tc>
        <w:tc>
          <w:tcPr>
            <w:tcW w:type="dxa" w:w="39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score ≤ 34 → green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signalEngine.js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Low deterioration risk.</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35 ≤ score ≤ 64 → watch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signalEngine.js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Moderate concern or uncertainty.</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score ≥ 65 → red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signalEngine.js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High-severity ESG deterioration.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health = 100 − risk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formatters.js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Turns risk into a positive health number.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health &gt; 70 → green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formatters.js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Strong portfolio health.</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3A5F"/>
                <w:sz w:val="22"/>
                <w:szCs w:val="22"/>
              </w:rPr>
              <w:t xml:space="preserve">40 ≤ health ≤ 70 → amber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formatters.js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7280"/>
                <w:sz w:val="22"/>
                <w:szCs w:val="22"/>
              </w:rPr>
              <w:t xml:space="preserve">Middle range portfolio health.</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E3A5F"/>
                <w:sz w:val="22"/>
                <w:szCs w:val="22"/>
              </w:rPr>
              <w:t xml:space="preserve">health &lt; 40 → red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formatters.js</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6B7280"/>
                <w:sz w:val="22"/>
                <w:szCs w:val="22"/>
              </w:rPr>
              <w:t xml:space="preserve">Weak portfolio health.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6B7280"/>
        <w:sz w:val="18"/>
        <w:szCs w:val="18"/>
      </w:rPr>
      <w:t xml:space="preserve">Green Radar  |  Demo Build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jc w:val="right"/>
    </w:pPr>
    <w:r>
      <w:rPr>
        <w:rFonts w:ascii="Arial" w:cs="Arial" w:eastAsia="Arial" w:hAnsi="Arial"/>
        <w:color w:val="6B7280"/>
        <w:sz w:val="18"/>
        <w:szCs w:val="18"/>
      </w:rPr>
      <w:t xml:space="preserve">Green Radar  |  Logic Build Document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6B728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6B3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2026-06-09T18:09:29.298Z</dcterms:created>
  <dcterms:modified xsi:type="dcterms:W3CDTF">2026-06-09T18:09:29.311Z</dcterms:modified>
</cp:coreProperties>
</file>

<file path=docProps/custom.xml><?xml version="1.0" encoding="utf-8"?>
<Properties xmlns="http://schemas.openxmlformats.org/officeDocument/2006/custom-properties" xmlns:vt="http://schemas.openxmlformats.org/officeDocument/2006/docPropsVTypes"/>
</file>