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06054"/>
          <w:sz w:val="52"/>
        </w:rPr>
        <w:t>ESG DEATHWATCH</w:t>
      </w:r>
    </w:p>
    <w:p>
      <w:pPr>
        <w:spacing w:after="80"/>
        <w:jc w:val="center"/>
      </w:pPr>
      <w:r>
        <w:rPr>
          <w:b/>
          <w:color w:val="1F4E79"/>
          <w:sz w:val="30"/>
        </w:rPr>
        <w:t>Detailed Prototype Build Document with Discovery Tab</w:t>
      </w:r>
    </w:p>
    <w:p>
      <w:pPr>
        <w:spacing w:after="80"/>
        <w:jc w:val="center"/>
      </w:pPr>
      <w:r>
        <w:rPr>
          <w:sz w:val="22"/>
        </w:rPr>
        <w:t>PolyFinTech Hackathon | ESG Intelligence Track</w:t>
      </w:r>
    </w:p>
    <w:p>
      <w:pPr>
        <w:spacing w:after="80"/>
        <w:jc w:val="center"/>
      </w:pPr>
      <w:r>
        <w:rPr>
          <w:i/>
          <w:sz w:val="20"/>
        </w:rPr>
        <w:t>Version 2.0 | Dev Team Build Specification</w:t>
      </w:r>
    </w:p>
    <w:tbl>
      <w:tblPr>
        <w:tblStyle w:val="TableGrid"/>
        <w:tblW w:type="auto" w:w="0"/>
        <w:tblLook w:firstColumn="1" w:firstRow="1" w:lastColumn="0" w:lastRow="0" w:noHBand="0" w:noVBand="1" w:val="04A0"/>
      </w:tblPr>
      <w:tblGrid>
        <w:gridCol w:w="10368"/>
      </w:tblGrid>
      <w:tr>
        <w:tc>
          <w:tcPr>
            <w:tcW w:type="dxa" w:w="10368"/>
            <w:shd w:fill="EAF4F1"/>
          </w:tcPr>
          <w:p>
            <w:r/>
            <w:r>
              <w:rPr>
                <w:rFonts w:ascii="Arial" w:hAnsi="Arial"/>
                <w:b/>
                <w:color w:val="005A50"/>
                <w:sz w:val="18"/>
              </w:rPr>
              <w:t>Build goal</w:t>
            </w:r>
            <w:r>
              <w:rPr>
                <w:sz w:val="18"/>
              </w:rPr>
              <w:br/>
              <w:t>Create a working prototype demo with 10 real stocks, a live-feeling ESG signal engine, evidence receipts, Watchlist monitoring, Daily Brief, Red Flag push alert simulation, and a Discovery tab that helps users find ESG changes without replacing the core Deathwatch flow.</w:t>
            </w:r>
          </w:p>
        </w:tc>
      </w:tr>
    </w:tbl>
    <w:p>
      <w:pPr>
        <w:spacing w:after="80"/>
      </w:pPr>
    </w:p>
    <w:p>
      <w:pPr>
        <w:spacing w:after="80"/>
        <w:jc w:val="center"/>
      </w:pPr>
      <w:r>
        <w:rPr>
          <w:b/>
          <w:sz w:val="20"/>
        </w:rPr>
        <w:t>Core principle: One product, one signal engine. Discovery is only a tab that surfaces meaningful ESG changes; the Deathwatch signal engine remains the source of truth.</w:t>
      </w:r>
    </w:p>
    <w:p>
      <w:pPr>
        <w:spacing w:after="80"/>
      </w:pPr>
      <w:r>
        <w:br w:type="page"/>
      </w:r>
    </w:p>
    <w:p>
      <w:pPr>
        <w:pStyle w:val="Heading1"/>
        <w:spacing w:after="80"/>
      </w:pPr>
      <w:r>
        <w:t>1. Product Definition</w:t>
      </w:r>
    </w:p>
    <w:p>
      <w:pPr>
        <w:pStyle w:val="Heading2"/>
        <w:spacing w:after="80"/>
      </w:pPr>
      <w:r>
        <w:t>1.1 One-line brief</w:t>
      </w:r>
    </w:p>
    <w:p>
      <w:pPr>
        <w:spacing w:after="80"/>
      </w:pPr>
      <w:r>
        <w:t>ESG Deathwatch tells investors when a company they follow is quietly becoming an ESG risk, before that risk becomes obvious to the wider market.</w:t>
      </w:r>
    </w:p>
    <w:p>
      <w:pPr>
        <w:pStyle w:val="Heading2"/>
        <w:spacing w:after="80"/>
      </w:pPr>
      <w:r>
        <w:t>1.2 Primary output</w:t>
      </w:r>
    </w:p>
    <w:p>
      <w:pPr>
        <w:spacing w:after="80"/>
      </w:pPr>
      <w:r>
        <w:t>Every company receives one simple ESG signal. This signal is the main product output. Everything else in the app exists to support, explain, or monitor that signal.</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007866"/>
          </w:tcPr>
          <w:p>
            <w:pPr>
              <w:spacing w:after="0"/>
            </w:pPr>
            <w:r/>
            <w:r>
              <w:rPr>
                <w:rFonts w:ascii="Arial" w:hAnsi="Arial" w:eastAsia="Arial"/>
                <w:b/>
                <w:color w:val="FFFFFF"/>
                <w:sz w:val="16"/>
              </w:rPr>
              <w:t>Signal</w:t>
            </w:r>
          </w:p>
        </w:tc>
        <w:tc>
          <w:tcPr>
            <w:tcW w:type="dxa" w:w="5904"/>
            <w:shd w:fill="007866"/>
          </w:tcPr>
          <w:p>
            <w:pPr>
              <w:spacing w:after="0"/>
            </w:pPr>
            <w:r/>
            <w:r>
              <w:rPr>
                <w:rFonts w:ascii="Arial" w:hAnsi="Arial" w:eastAsia="Arial"/>
                <w:b/>
                <w:color w:val="FFFFFF"/>
                <w:sz w:val="16"/>
              </w:rPr>
              <w:t>Meaning</w:t>
            </w:r>
          </w:p>
        </w:tc>
        <w:tc>
          <w:tcPr>
            <w:tcW w:type="dxa" w:w="3168"/>
            <w:shd w:fill="007866"/>
          </w:tcPr>
          <w:p>
            <w:pPr>
              <w:spacing w:after="0"/>
            </w:pPr>
            <w:r/>
            <w:r>
              <w:rPr>
                <w:rFonts w:ascii="Arial" w:hAnsi="Arial" w:eastAsia="Arial"/>
                <w:b/>
                <w:color w:val="FFFFFF"/>
                <w:sz w:val="16"/>
              </w:rPr>
              <w:t>Not Meaning</w:t>
            </w:r>
          </w:p>
        </w:tc>
      </w:tr>
      <w:tr>
        <w:tc>
          <w:tcPr>
            <w:tcW w:type="dxa" w:w="1728"/>
            <w:shd w:fill="EAF4F1"/>
            <w:vAlign w:val="top"/>
          </w:tcPr>
          <w:p>
            <w:pPr>
              <w:spacing w:after="0"/>
            </w:pPr>
            <w:r/>
            <w:r>
              <w:rPr>
                <w:rFonts w:ascii="Arial" w:hAnsi="Arial" w:eastAsia="Arial"/>
                <w:b w:val="0"/>
                <w:sz w:val="16"/>
              </w:rPr>
              <w:t>Green Flag</w:t>
            </w:r>
          </w:p>
        </w:tc>
        <w:tc>
          <w:tcPr>
            <w:tcW w:type="dxa" w:w="5904"/>
            <w:shd w:fill="EAF4F1"/>
            <w:vAlign w:val="top"/>
          </w:tcPr>
          <w:p>
            <w:pPr>
              <w:spacing w:after="0"/>
            </w:pPr>
            <w:r/>
            <w:r>
              <w:rPr>
                <w:rFonts w:ascii="Arial" w:hAnsi="Arial" w:eastAsia="Arial"/>
                <w:b w:val="0"/>
                <w:sz w:val="16"/>
              </w:rPr>
              <w:t>ESG evidence looks healthy or improving. No major deterioration detected.</w:t>
            </w:r>
          </w:p>
        </w:tc>
        <w:tc>
          <w:tcPr>
            <w:tcW w:type="dxa" w:w="3168"/>
            <w:shd w:fill="EAF4F1"/>
            <w:vAlign w:val="top"/>
          </w:tcPr>
          <w:p>
            <w:pPr>
              <w:spacing w:after="0"/>
            </w:pPr>
            <w:r/>
            <w:r>
              <w:rPr>
                <w:rFonts w:ascii="Arial" w:hAnsi="Arial" w:eastAsia="Arial"/>
                <w:b w:val="0"/>
                <w:sz w:val="16"/>
              </w:rPr>
              <w:t>Not a buy recommendation.</w:t>
            </w:r>
          </w:p>
        </w:tc>
      </w:tr>
      <w:tr>
        <w:tc>
          <w:tcPr>
            <w:tcW w:type="dxa" w:w="1728"/>
            <w:vAlign w:val="top"/>
          </w:tcPr>
          <w:p>
            <w:pPr>
              <w:spacing w:after="0"/>
            </w:pPr>
            <w:r/>
            <w:r>
              <w:rPr>
                <w:rFonts w:ascii="Arial" w:hAnsi="Arial" w:eastAsia="Arial"/>
                <w:b w:val="0"/>
                <w:sz w:val="16"/>
              </w:rPr>
              <w:t>Watch</w:t>
            </w:r>
          </w:p>
        </w:tc>
        <w:tc>
          <w:tcPr>
            <w:tcW w:type="dxa" w:w="5904"/>
            <w:vAlign w:val="top"/>
          </w:tcPr>
          <w:p>
            <w:pPr>
              <w:spacing w:after="0"/>
            </w:pPr>
            <w:r/>
            <w:r>
              <w:rPr>
                <w:rFonts w:ascii="Arial" w:hAnsi="Arial" w:eastAsia="Arial"/>
                <w:b w:val="0"/>
                <w:sz w:val="16"/>
              </w:rPr>
              <w:t>Early warning signs, missing evidence, or moderate uncertainty detected. Monitor before acting.</w:t>
            </w:r>
          </w:p>
        </w:tc>
        <w:tc>
          <w:tcPr>
            <w:tcW w:type="dxa" w:w="3168"/>
            <w:vAlign w:val="top"/>
          </w:tcPr>
          <w:p>
            <w:pPr>
              <w:spacing w:after="0"/>
            </w:pPr>
            <w:r/>
            <w:r>
              <w:rPr>
                <w:rFonts w:ascii="Arial" w:hAnsi="Arial" w:eastAsia="Arial"/>
                <w:b w:val="0"/>
                <w:sz w:val="16"/>
              </w:rPr>
              <w:t>Not a hold recommendation.</w:t>
            </w:r>
          </w:p>
        </w:tc>
      </w:tr>
      <w:tr>
        <w:tc>
          <w:tcPr>
            <w:tcW w:type="dxa" w:w="1728"/>
            <w:shd w:fill="EAF4F1"/>
            <w:vAlign w:val="top"/>
          </w:tcPr>
          <w:p>
            <w:pPr>
              <w:spacing w:after="0"/>
            </w:pPr>
            <w:r/>
            <w:r>
              <w:rPr>
                <w:rFonts w:ascii="Arial" w:hAnsi="Arial" w:eastAsia="Arial"/>
                <w:b w:val="0"/>
                <w:sz w:val="16"/>
              </w:rPr>
              <w:t>Red Flag</w:t>
            </w:r>
          </w:p>
        </w:tc>
        <w:tc>
          <w:tcPr>
            <w:tcW w:type="dxa" w:w="5904"/>
            <w:shd w:fill="EAF4F1"/>
            <w:vAlign w:val="top"/>
          </w:tcPr>
          <w:p>
            <w:pPr>
              <w:spacing w:after="0"/>
            </w:pPr>
            <w:r/>
            <w:r>
              <w:rPr>
                <w:rFonts w:ascii="Arial" w:hAnsi="Arial" w:eastAsia="Arial"/>
                <w:b w:val="0"/>
                <w:sz w:val="16"/>
              </w:rPr>
              <w:t>Serious ESG risk or verified deterioration detected.</w:t>
            </w:r>
          </w:p>
        </w:tc>
        <w:tc>
          <w:tcPr>
            <w:tcW w:type="dxa" w:w="3168"/>
            <w:shd w:fill="EAF4F1"/>
            <w:vAlign w:val="top"/>
          </w:tcPr>
          <w:p>
            <w:pPr>
              <w:spacing w:after="0"/>
            </w:pPr>
            <w:r/>
            <w:r>
              <w:rPr>
                <w:rFonts w:ascii="Arial" w:hAnsi="Arial" w:eastAsia="Arial"/>
                <w:b w:val="0"/>
                <w:sz w:val="16"/>
              </w:rPr>
              <w:t>Not an automatic sell instruction.</w:t>
            </w:r>
          </w:p>
        </w:tc>
      </w:tr>
    </w:tbl>
    <w:p>
      <w:pPr>
        <w:spacing w:after="80"/>
      </w:pPr>
    </w:p>
    <w:p>
      <w:pPr>
        <w:pStyle w:val="Heading2"/>
        <w:spacing w:after="80"/>
      </w:pPr>
      <w:r>
        <w:t>1.3 Product rule</w:t>
      </w:r>
    </w:p>
    <w:tbl>
      <w:tblPr>
        <w:tblStyle w:val="TableGrid"/>
        <w:tblW w:type="auto" w:w="0"/>
        <w:tblLook w:firstColumn="1" w:firstRow="1" w:lastColumn="0" w:lastRow="0" w:noHBand="0" w:noVBand="1" w:val="04A0"/>
      </w:tblPr>
      <w:tblGrid>
        <w:gridCol w:w="10368"/>
      </w:tblGrid>
      <w:tr>
        <w:tc>
          <w:tcPr>
            <w:tcW w:type="dxa" w:w="10368"/>
            <w:shd w:fill="FFF3CD"/>
          </w:tcPr>
          <w:p>
            <w:r/>
            <w:r>
              <w:rPr>
                <w:rFonts w:ascii="Arial" w:hAnsi="Arial"/>
                <w:b/>
                <w:color w:val="005A50"/>
                <w:sz w:val="18"/>
              </w:rPr>
              <w:t>Single source of truth</w:t>
            </w:r>
            <w:r>
              <w:rPr>
                <w:sz w:val="18"/>
              </w:rPr>
              <w:br/>
              <w:t>The signal engine is the source of truth. Search, Discovery, Company Detail, Watchlist, Daily Brief, Alerts, and Gamification must all read from the same signal data and evidence receipts. Do not create separate scoring logic for the Discovery tab.</w:t>
            </w:r>
          </w:p>
        </w:tc>
      </w:tr>
    </w:tbl>
    <w:p>
      <w:pPr>
        <w:spacing w:after="80"/>
      </w:pPr>
    </w:p>
    <w:p>
      <w:pPr>
        <w:pStyle w:val="Heading2"/>
        <w:spacing w:after="80"/>
      </w:pPr>
      <w:r>
        <w:t>1.4 Final user journey</w:t>
      </w:r>
    </w:p>
    <w:p>
      <w:pPr>
        <w:pStyle w:val="ListBullet"/>
        <w:spacing w:after="80"/>
      </w:pPr>
      <w:r>
        <w:t>Discover meaningful ESG changes in the Discovery tab.</w:t>
      </w:r>
    </w:p>
    <w:p>
      <w:pPr>
        <w:pStyle w:val="ListBullet"/>
        <w:spacing w:after="80"/>
      </w:pPr>
      <w:r>
        <w:t>Check the full Green / Watch / Red signal on the Company Detail screen.</w:t>
      </w:r>
    </w:p>
    <w:p>
      <w:pPr>
        <w:pStyle w:val="ListBullet"/>
        <w:spacing w:after="80"/>
      </w:pPr>
      <w:r>
        <w:t>Follow companies in the Watchlist.</w:t>
      </w:r>
    </w:p>
    <w:p>
      <w:pPr>
        <w:pStyle w:val="ListBullet"/>
        <w:spacing w:after="80"/>
      </w:pPr>
      <w:r>
        <w:t>Monitor meaningful changes through the Daily Brief.</w:t>
      </w:r>
    </w:p>
    <w:p>
      <w:pPr>
        <w:pStyle w:val="ListBullet"/>
        <w:spacing w:after="80"/>
      </w:pPr>
      <w:r>
        <w:t>Receive instant Red Flag Alerts when followed companies worsen to Red.</w:t>
      </w:r>
    </w:p>
    <w:p>
      <w:pPr>
        <w:pStyle w:val="ListBullet"/>
        <w:spacing w:after="80"/>
      </w:pPr>
      <w:r>
        <w:t>Understand the evidence through ESG receipts and plain-language signal explanations.</w:t>
      </w:r>
    </w:p>
    <w:p>
      <w:pPr>
        <w:pStyle w:val="Heading1"/>
        <w:spacing w:after="80"/>
      </w:pPr>
      <w:r>
        <w:t>2. User Types and Core Needs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07866"/>
          </w:tcPr>
          <w:p>
            <w:pPr>
              <w:spacing w:after="0"/>
            </w:pPr>
            <w:r/>
            <w:r>
              <w:rPr>
                <w:rFonts w:ascii="Arial" w:hAnsi="Arial" w:eastAsia="Arial"/>
                <w:b/>
                <w:color w:val="FFFFFF"/>
                <w:sz w:val="16"/>
              </w:rPr>
              <w:t>User Type</w:t>
            </w:r>
          </w:p>
        </w:tc>
        <w:tc>
          <w:tcPr>
            <w:tcW w:type="dxa" w:w="4032"/>
            <w:shd w:fill="007866"/>
          </w:tcPr>
          <w:p>
            <w:pPr>
              <w:spacing w:after="0"/>
            </w:pPr>
            <w:r/>
            <w:r>
              <w:rPr>
                <w:rFonts w:ascii="Arial" w:hAnsi="Arial" w:eastAsia="Arial"/>
                <w:b/>
                <w:color w:val="FFFFFF"/>
                <w:sz w:val="16"/>
              </w:rPr>
              <w:t>Primary Need</w:t>
            </w:r>
          </w:p>
        </w:tc>
        <w:tc>
          <w:tcPr>
            <w:tcW w:type="dxa" w:w="5040"/>
            <w:shd w:fill="007866"/>
          </w:tcPr>
          <w:p>
            <w:pPr>
              <w:spacing w:after="0"/>
            </w:pPr>
            <w:r/>
            <w:r>
              <w:rPr>
                <w:rFonts w:ascii="Arial" w:hAnsi="Arial" w:eastAsia="Arial"/>
                <w:b/>
                <w:color w:val="FFFFFF"/>
                <w:sz w:val="16"/>
              </w:rPr>
              <w:t>How ESG Deathwatch Serves Them</w:t>
            </w:r>
          </w:p>
        </w:tc>
      </w:tr>
      <w:tr>
        <w:tc>
          <w:tcPr>
            <w:tcW w:type="dxa" w:w="2592"/>
            <w:shd w:fill="EAF4F1"/>
            <w:vAlign w:val="top"/>
          </w:tcPr>
          <w:p>
            <w:pPr>
              <w:spacing w:after="0"/>
            </w:pPr>
            <w:r/>
            <w:r>
              <w:rPr>
                <w:rFonts w:ascii="Arial" w:hAnsi="Arial" w:eastAsia="Arial"/>
                <w:b w:val="0"/>
                <w:sz w:val="16"/>
              </w:rPr>
              <w:t>First-time / casual investor</w:t>
            </w:r>
          </w:p>
        </w:tc>
        <w:tc>
          <w:tcPr>
            <w:tcW w:type="dxa" w:w="4032"/>
            <w:shd w:fill="EAF4F1"/>
            <w:vAlign w:val="top"/>
          </w:tcPr>
          <w:p>
            <w:pPr>
              <w:spacing w:after="0"/>
            </w:pPr>
            <w:r/>
            <w:r>
              <w:rPr>
                <w:rFonts w:ascii="Arial" w:hAnsi="Arial" w:eastAsia="Arial"/>
                <w:b w:val="0"/>
                <w:sz w:val="16"/>
              </w:rPr>
              <w:t>Simple ESG check before researching a company.</w:t>
            </w:r>
          </w:p>
        </w:tc>
        <w:tc>
          <w:tcPr>
            <w:tcW w:type="dxa" w:w="5040"/>
            <w:shd w:fill="EAF4F1"/>
            <w:vAlign w:val="top"/>
          </w:tcPr>
          <w:p>
            <w:pPr>
              <w:spacing w:after="0"/>
            </w:pPr>
            <w:r/>
            <w:r>
              <w:rPr>
                <w:rFonts w:ascii="Arial" w:hAnsi="Arial" w:eastAsia="Arial"/>
                <w:b w:val="0"/>
                <w:sz w:val="16"/>
              </w:rPr>
              <w:t>Green / Watch / Red on any company in seconds, with simple explanation.</w:t>
            </w:r>
          </w:p>
        </w:tc>
      </w:tr>
      <w:tr>
        <w:tc>
          <w:tcPr>
            <w:tcW w:type="dxa" w:w="2592"/>
            <w:vAlign w:val="top"/>
          </w:tcPr>
          <w:p>
            <w:pPr>
              <w:spacing w:after="0"/>
            </w:pPr>
            <w:r/>
            <w:r>
              <w:rPr>
                <w:rFonts w:ascii="Arial" w:hAnsi="Arial" w:eastAsia="Arial"/>
                <w:b w:val="0"/>
                <w:sz w:val="16"/>
              </w:rPr>
              <w:t>ESG-conscious investor</w:t>
            </w:r>
          </w:p>
        </w:tc>
        <w:tc>
          <w:tcPr>
            <w:tcW w:type="dxa" w:w="4032"/>
            <w:vAlign w:val="top"/>
          </w:tcPr>
          <w:p>
            <w:pPr>
              <w:spacing w:after="0"/>
            </w:pPr>
            <w:r/>
            <w:r>
              <w:rPr>
                <w:rFonts w:ascii="Arial" w:hAnsi="Arial" w:eastAsia="Arial"/>
                <w:b w:val="0"/>
                <w:sz w:val="16"/>
              </w:rPr>
              <w:t>Verify whether a company matches sustainability values.</w:t>
            </w:r>
          </w:p>
        </w:tc>
        <w:tc>
          <w:tcPr>
            <w:tcW w:type="dxa" w:w="5040"/>
            <w:vAlign w:val="top"/>
          </w:tcPr>
          <w:p>
            <w:pPr>
              <w:spacing w:after="0"/>
            </w:pPr>
            <w:r/>
            <w:r>
              <w:rPr>
                <w:rFonts w:ascii="Arial" w:hAnsi="Arial" w:eastAsia="Arial"/>
                <w:b w:val="0"/>
                <w:sz w:val="16"/>
              </w:rPr>
              <w:t>Evidence receipts, Talk-vs-Action check, Promise Gap, Supply Chain Risk.</w:t>
            </w:r>
          </w:p>
        </w:tc>
      </w:tr>
      <w:tr>
        <w:tc>
          <w:tcPr>
            <w:tcW w:type="dxa" w:w="2592"/>
            <w:shd w:fill="EAF4F1"/>
            <w:vAlign w:val="top"/>
          </w:tcPr>
          <w:p>
            <w:pPr>
              <w:spacing w:after="0"/>
            </w:pPr>
            <w:r/>
            <w:r>
              <w:rPr>
                <w:rFonts w:ascii="Arial" w:hAnsi="Arial" w:eastAsia="Arial"/>
                <w:b w:val="0"/>
                <w:sz w:val="16"/>
              </w:rPr>
              <w:t>Long-term investor</w:t>
            </w:r>
          </w:p>
        </w:tc>
        <w:tc>
          <w:tcPr>
            <w:tcW w:type="dxa" w:w="4032"/>
            <w:shd w:fill="EAF4F1"/>
            <w:vAlign w:val="top"/>
          </w:tcPr>
          <w:p>
            <w:pPr>
              <w:spacing w:after="0"/>
            </w:pPr>
            <w:r/>
            <w:r>
              <w:rPr>
                <w:rFonts w:ascii="Arial" w:hAnsi="Arial" w:eastAsia="Arial"/>
                <w:b w:val="0"/>
                <w:sz w:val="16"/>
              </w:rPr>
              <w:t>Avoid ESG scandals and reputational risk in holdings.</w:t>
            </w:r>
          </w:p>
        </w:tc>
        <w:tc>
          <w:tcPr>
            <w:tcW w:type="dxa" w:w="5040"/>
            <w:shd w:fill="EAF4F1"/>
            <w:vAlign w:val="top"/>
          </w:tcPr>
          <w:p>
            <w:pPr>
              <w:spacing w:after="0"/>
            </w:pPr>
            <w:r/>
            <w:r>
              <w:rPr>
                <w:rFonts w:ascii="Arial" w:hAnsi="Arial" w:eastAsia="Arial"/>
                <w:b w:val="0"/>
                <w:sz w:val="16"/>
              </w:rPr>
              <w:t>Watchlist monitoring, Red Flag Alerts, Daily Brief.</w:t>
            </w:r>
          </w:p>
        </w:tc>
      </w:tr>
      <w:tr>
        <w:tc>
          <w:tcPr>
            <w:tcW w:type="dxa" w:w="2592"/>
            <w:vAlign w:val="top"/>
          </w:tcPr>
          <w:p>
            <w:pPr>
              <w:spacing w:after="0"/>
            </w:pPr>
            <w:r/>
            <w:r>
              <w:rPr>
                <w:rFonts w:ascii="Arial" w:hAnsi="Arial" w:eastAsia="Arial"/>
                <w:b w:val="0"/>
                <w:sz w:val="16"/>
              </w:rPr>
              <w:t>Active investor</w:t>
            </w:r>
          </w:p>
        </w:tc>
        <w:tc>
          <w:tcPr>
            <w:tcW w:type="dxa" w:w="4032"/>
            <w:vAlign w:val="top"/>
          </w:tcPr>
          <w:p>
            <w:pPr>
              <w:spacing w:after="0"/>
            </w:pPr>
            <w:r/>
            <w:r>
              <w:rPr>
                <w:rFonts w:ascii="Arial" w:hAnsi="Arial" w:eastAsia="Arial"/>
                <w:b w:val="0"/>
                <w:sz w:val="16"/>
              </w:rPr>
              <w:t>Know when ESG deterioration may affect market confidence.</w:t>
            </w:r>
          </w:p>
        </w:tc>
        <w:tc>
          <w:tcPr>
            <w:tcW w:type="dxa" w:w="5040"/>
            <w:vAlign w:val="top"/>
          </w:tcPr>
          <w:p>
            <w:pPr>
              <w:spacing w:after="0"/>
            </w:pPr>
            <w:r/>
            <w:r>
              <w:rPr>
                <w:rFonts w:ascii="Arial" w:hAnsi="Arial" w:eastAsia="Arial"/>
                <w:b w:val="0"/>
                <w:sz w:val="16"/>
              </w:rPr>
              <w:t>ESG Deterioration Score, Red Flag history, ESG Fund Selling Pressure callout.</w:t>
            </w:r>
          </w:p>
        </w:tc>
      </w:tr>
      <w:tr>
        <w:tc>
          <w:tcPr>
            <w:tcW w:type="dxa" w:w="2592"/>
            <w:shd w:fill="EAF4F1"/>
            <w:vAlign w:val="top"/>
          </w:tcPr>
          <w:p>
            <w:pPr>
              <w:spacing w:after="0"/>
            </w:pPr>
            <w:r/>
            <w:r>
              <w:rPr>
                <w:rFonts w:ascii="Arial" w:hAnsi="Arial" w:eastAsia="Arial"/>
                <w:b w:val="0"/>
                <w:sz w:val="16"/>
              </w:rPr>
              <w:t>Engaged app user</w:t>
            </w:r>
          </w:p>
        </w:tc>
        <w:tc>
          <w:tcPr>
            <w:tcW w:type="dxa" w:w="4032"/>
            <w:shd w:fill="EAF4F1"/>
            <w:vAlign w:val="top"/>
          </w:tcPr>
          <w:p>
            <w:pPr>
              <w:spacing w:after="0"/>
            </w:pPr>
            <w:r/>
            <w:r>
              <w:rPr>
                <w:rFonts w:ascii="Arial" w:hAnsi="Arial" w:eastAsia="Arial"/>
                <w:b w:val="0"/>
                <w:sz w:val="16"/>
              </w:rPr>
              <w:t>Find ESG stories without manually searching every company.</w:t>
            </w:r>
          </w:p>
        </w:tc>
        <w:tc>
          <w:tcPr>
            <w:tcW w:type="dxa" w:w="5040"/>
            <w:shd w:fill="EAF4F1"/>
            <w:vAlign w:val="top"/>
          </w:tcPr>
          <w:p>
            <w:pPr>
              <w:spacing w:after="0"/>
            </w:pPr>
            <w:r/>
            <w:r>
              <w:rPr>
                <w:rFonts w:ascii="Arial" w:hAnsi="Arial" w:eastAsia="Arial"/>
                <w:b w:val="0"/>
                <w:sz w:val="16"/>
              </w:rPr>
              <w:t>Discovery tab with swipeable ESG event cards.</w:t>
            </w:r>
          </w:p>
        </w:tc>
      </w:tr>
    </w:tbl>
    <w:p>
      <w:pPr>
        <w:spacing w:after="80"/>
      </w:pPr>
    </w:p>
    <w:p>
      <w:pPr>
        <w:pStyle w:val="Heading1"/>
        <w:spacing w:after="80"/>
      </w:pPr>
      <w:r>
        <w:t>3. Problem We Are Solving</w:t>
      </w:r>
    </w:p>
    <w:p>
      <w:pPr>
        <w:pStyle w:val="ListBullet"/>
        <w:spacing w:after="80"/>
      </w:pPr>
      <w:r>
        <w:t>ESG scores update slowly and often lag behind real-world controversies.</w:t>
      </w:r>
    </w:p>
    <w:p>
      <w:pPr>
        <w:pStyle w:val="ListBullet"/>
        <w:spacing w:after="80"/>
      </w:pPr>
      <w:r>
        <w:t>Many ESG tools are built for institutions, not everyday investors.</w:t>
      </w:r>
    </w:p>
    <w:p>
      <w:pPr>
        <w:pStyle w:val="ListBullet"/>
        <w:spacing w:after="80"/>
      </w:pPr>
      <w:r>
        <w:t>Companies can make sustainability claims that are difficult for investors to verify.</w:t>
      </w:r>
    </w:p>
    <w:p>
      <w:pPr>
        <w:pStyle w:val="ListBullet"/>
        <w:spacing w:after="80"/>
      </w:pPr>
      <w:r>
        <w:t>Retail investors can miss supplier controversies, broken promises, or regulatory issues until after wider market reaction.</w:t>
      </w:r>
    </w:p>
    <w:p>
      <w:pPr>
        <w:pStyle w:val="ListBullet"/>
        <w:spacing w:after="80"/>
      </w:pPr>
      <w:r>
        <w:t>Existing platforms are often static dashboards, which makes ESG monitoring less engaging and less habitual.</w:t>
      </w:r>
    </w:p>
    <w:p>
      <w:pPr>
        <w:pStyle w:val="Heading2"/>
        <w:spacing w:after="80"/>
      </w:pPr>
      <w:r>
        <w:t>3.1 Cold start credibility strategy</w:t>
      </w:r>
    </w:p>
    <w:p>
      <w:pPr>
        <w:pStyle w:val="ListBullet"/>
        <w:spacing w:after="80"/>
      </w:pPr>
      <w:r>
        <w:t>Backtesting: Run the signal model on historical ESG scandals and show when Red Flag would have triggered compared with when the market reacted.</w:t>
      </w:r>
    </w:p>
    <w:p>
      <w:pPr>
        <w:pStyle w:val="ListBullet"/>
        <w:spacing w:after="80"/>
      </w:pPr>
      <w:r>
        <w:t>Radical transparency: Every signal must show evidence receipts, source type, source date, and confidence level.</w:t>
      </w:r>
    </w:p>
    <w:p>
      <w:pPr>
        <w:pStyle w:val="ListBullet"/>
        <w:spacing w:after="80"/>
      </w:pPr>
      <w:r>
        <w:t>Methodology anchor: Explain that source categories are inspired by regulatory / disclosure logic, such as filings, stock exchange announcements, and audited reports being more reliable than company-controlled marketing pages.</w:t>
      </w:r>
    </w:p>
    <w:p>
      <w:pPr>
        <w:pStyle w:val="ListBullet"/>
        <w:spacing w:after="80"/>
      </w:pPr>
      <w:r>
        <w:t>Prototype honesty: For the hackathon, some data can be hardcoded or manually researched, but the scoring logic and data structure must reflect how the final product would automate it.</w:t>
      </w:r>
    </w:p>
    <w:p>
      <w:pPr>
        <w:pStyle w:val="Heading1"/>
        <w:spacing w:after="80"/>
      </w:pPr>
      <w:r>
        <w:t>4. App Structure</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07866"/>
          </w:tcPr>
          <w:p>
            <w:pPr>
              <w:spacing w:after="0"/>
            </w:pPr>
            <w:r/>
            <w:r>
              <w:rPr>
                <w:rFonts w:ascii="Arial" w:hAnsi="Arial" w:eastAsia="Arial"/>
                <w:b/>
                <w:color w:val="FFFFFF"/>
                <w:sz w:val="16"/>
              </w:rPr>
              <w:t>Tab / Screen</w:t>
            </w:r>
          </w:p>
        </w:tc>
        <w:tc>
          <w:tcPr>
            <w:tcW w:type="dxa" w:w="3744"/>
            <w:shd w:fill="007866"/>
          </w:tcPr>
          <w:p>
            <w:pPr>
              <w:spacing w:after="0"/>
            </w:pPr>
            <w:r/>
            <w:r>
              <w:rPr>
                <w:rFonts w:ascii="Arial" w:hAnsi="Arial" w:eastAsia="Arial"/>
                <w:b/>
                <w:color w:val="FFFFFF"/>
                <w:sz w:val="16"/>
              </w:rPr>
              <w:t>Purpose</w:t>
            </w:r>
          </w:p>
        </w:tc>
        <w:tc>
          <w:tcPr>
            <w:tcW w:type="dxa" w:w="6336"/>
            <w:shd w:fill="007866"/>
          </w:tcPr>
          <w:p>
            <w:pPr>
              <w:spacing w:after="0"/>
            </w:pPr>
            <w:r/>
            <w:r>
              <w:rPr>
                <w:rFonts w:ascii="Arial" w:hAnsi="Arial" w:eastAsia="Arial"/>
                <w:b/>
                <w:color w:val="FFFFFF"/>
                <w:sz w:val="16"/>
              </w:rPr>
              <w:t>Key Build Notes</w:t>
            </w:r>
          </w:p>
        </w:tc>
      </w:tr>
      <w:tr>
        <w:tc>
          <w:tcPr>
            <w:tcW w:type="dxa" w:w="2016"/>
            <w:shd w:fill="EAF4F1"/>
            <w:vAlign w:val="top"/>
          </w:tcPr>
          <w:p>
            <w:pPr>
              <w:spacing w:after="0"/>
            </w:pPr>
            <w:r/>
            <w:r>
              <w:rPr>
                <w:rFonts w:ascii="Arial" w:hAnsi="Arial" w:eastAsia="Arial"/>
                <w:b w:val="0"/>
                <w:sz w:val="16"/>
              </w:rPr>
              <w:t>Discovery</w:t>
            </w:r>
          </w:p>
        </w:tc>
        <w:tc>
          <w:tcPr>
            <w:tcW w:type="dxa" w:w="3744"/>
            <w:shd w:fill="EAF4F1"/>
            <w:vAlign w:val="top"/>
          </w:tcPr>
          <w:p>
            <w:pPr>
              <w:spacing w:after="0"/>
            </w:pPr>
            <w:r/>
            <w:r>
              <w:rPr>
                <w:rFonts w:ascii="Arial" w:hAnsi="Arial" w:eastAsia="Arial"/>
                <w:b w:val="0"/>
                <w:sz w:val="16"/>
              </w:rPr>
              <w:t>Swipeable feed for meaningful ESG changes.</w:t>
            </w:r>
          </w:p>
        </w:tc>
        <w:tc>
          <w:tcPr>
            <w:tcW w:type="dxa" w:w="6336"/>
            <w:shd w:fill="EAF4F1"/>
            <w:vAlign w:val="top"/>
          </w:tcPr>
          <w:p>
            <w:pPr>
              <w:spacing w:after="0"/>
            </w:pPr>
            <w:r/>
            <w:r>
              <w:rPr>
                <w:rFonts w:ascii="Arial" w:hAnsi="Arial" w:eastAsia="Arial"/>
                <w:b w:val="0"/>
                <w:sz w:val="16"/>
              </w:rPr>
              <w:t>Uses same signal data. Does not create separate scores. Leads to Company Detail.</w:t>
            </w:r>
          </w:p>
        </w:tc>
      </w:tr>
      <w:tr>
        <w:tc>
          <w:tcPr>
            <w:tcW w:type="dxa" w:w="2016"/>
            <w:vAlign w:val="top"/>
          </w:tcPr>
          <w:p>
            <w:pPr>
              <w:spacing w:after="0"/>
            </w:pPr>
            <w:r/>
            <w:r>
              <w:rPr>
                <w:rFonts w:ascii="Arial" w:hAnsi="Arial" w:eastAsia="Arial"/>
                <w:b w:val="0"/>
                <w:sz w:val="16"/>
              </w:rPr>
              <w:t>Search</w:t>
            </w:r>
          </w:p>
        </w:tc>
        <w:tc>
          <w:tcPr>
            <w:tcW w:type="dxa" w:w="3744"/>
            <w:vAlign w:val="top"/>
          </w:tcPr>
          <w:p>
            <w:pPr>
              <w:spacing w:after="0"/>
            </w:pPr>
            <w:r/>
            <w:r>
              <w:rPr>
                <w:rFonts w:ascii="Arial" w:hAnsi="Arial" w:eastAsia="Arial"/>
                <w:b w:val="0"/>
                <w:sz w:val="16"/>
              </w:rPr>
              <w:t>Direct company / ticker check.</w:t>
            </w:r>
          </w:p>
        </w:tc>
        <w:tc>
          <w:tcPr>
            <w:tcW w:type="dxa" w:w="6336"/>
            <w:vAlign w:val="top"/>
          </w:tcPr>
          <w:p>
            <w:pPr>
              <w:spacing w:after="0"/>
            </w:pPr>
            <w:r/>
            <w:r>
              <w:rPr>
                <w:rFonts w:ascii="Arial" w:hAnsi="Arial" w:eastAsia="Arial"/>
                <w:b w:val="0"/>
                <w:sz w:val="16"/>
              </w:rPr>
              <w:t>Preserves original Deathwatch check-any-stock flow.</w:t>
            </w:r>
          </w:p>
        </w:tc>
      </w:tr>
      <w:tr>
        <w:tc>
          <w:tcPr>
            <w:tcW w:type="dxa" w:w="2016"/>
            <w:shd w:fill="EAF4F1"/>
            <w:vAlign w:val="top"/>
          </w:tcPr>
          <w:p>
            <w:pPr>
              <w:spacing w:after="0"/>
            </w:pPr>
            <w:r/>
            <w:r>
              <w:rPr>
                <w:rFonts w:ascii="Arial" w:hAnsi="Arial" w:eastAsia="Arial"/>
                <w:b w:val="0"/>
                <w:sz w:val="16"/>
              </w:rPr>
              <w:t>Company Detail</w:t>
            </w:r>
          </w:p>
        </w:tc>
        <w:tc>
          <w:tcPr>
            <w:tcW w:type="dxa" w:w="3744"/>
            <w:shd w:fill="EAF4F1"/>
            <w:vAlign w:val="top"/>
          </w:tcPr>
          <w:p>
            <w:pPr>
              <w:spacing w:after="0"/>
            </w:pPr>
            <w:r/>
            <w:r>
              <w:rPr>
                <w:rFonts w:ascii="Arial" w:hAnsi="Arial" w:eastAsia="Arial"/>
                <w:b w:val="0"/>
                <w:sz w:val="16"/>
              </w:rPr>
              <w:t>Full signal, score, receipts, and explanation.</w:t>
            </w:r>
          </w:p>
        </w:tc>
        <w:tc>
          <w:tcPr>
            <w:tcW w:type="dxa" w:w="6336"/>
            <w:shd w:fill="EAF4F1"/>
            <w:vAlign w:val="top"/>
          </w:tcPr>
          <w:p>
            <w:pPr>
              <w:spacing w:after="0"/>
            </w:pPr>
            <w:r/>
            <w:r>
              <w:rPr>
                <w:rFonts w:ascii="Arial" w:hAnsi="Arial" w:eastAsia="Arial"/>
                <w:b w:val="0"/>
                <w:sz w:val="16"/>
              </w:rPr>
              <w:t>Core evidence page. Must be complete before polishing other screens.</w:t>
            </w:r>
          </w:p>
        </w:tc>
      </w:tr>
      <w:tr>
        <w:tc>
          <w:tcPr>
            <w:tcW w:type="dxa" w:w="2016"/>
            <w:vAlign w:val="top"/>
          </w:tcPr>
          <w:p>
            <w:pPr>
              <w:spacing w:after="0"/>
            </w:pPr>
            <w:r/>
            <w:r>
              <w:rPr>
                <w:rFonts w:ascii="Arial" w:hAnsi="Arial" w:eastAsia="Arial"/>
                <w:b w:val="0"/>
                <w:sz w:val="16"/>
              </w:rPr>
              <w:t>Watchlist</w:t>
            </w:r>
          </w:p>
        </w:tc>
        <w:tc>
          <w:tcPr>
            <w:tcW w:type="dxa" w:w="3744"/>
            <w:vAlign w:val="top"/>
          </w:tcPr>
          <w:p>
            <w:pPr>
              <w:spacing w:after="0"/>
            </w:pPr>
            <w:r/>
            <w:r>
              <w:rPr>
                <w:rFonts w:ascii="Arial" w:hAnsi="Arial" w:eastAsia="Arial"/>
                <w:b w:val="0"/>
                <w:sz w:val="16"/>
              </w:rPr>
              <w:t>Follow companies and monitor changes.</w:t>
            </w:r>
          </w:p>
        </w:tc>
        <w:tc>
          <w:tcPr>
            <w:tcW w:type="dxa" w:w="6336"/>
            <w:vAlign w:val="top"/>
          </w:tcPr>
          <w:p>
            <w:pPr>
              <w:spacing w:after="0"/>
            </w:pPr>
            <w:r/>
            <w:r>
              <w:rPr>
                <w:rFonts w:ascii="Arial" w:hAnsi="Arial" w:eastAsia="Arial"/>
                <w:b w:val="0"/>
                <w:sz w:val="16"/>
              </w:rPr>
              <w:t>Sort by worst ESG risk first. Shows last material update and alert settings.</w:t>
            </w:r>
          </w:p>
        </w:tc>
      </w:tr>
      <w:tr>
        <w:tc>
          <w:tcPr>
            <w:tcW w:type="dxa" w:w="2016"/>
            <w:shd w:fill="EAF4F1"/>
            <w:vAlign w:val="top"/>
          </w:tcPr>
          <w:p>
            <w:pPr>
              <w:spacing w:after="0"/>
            </w:pPr>
            <w:r/>
            <w:r>
              <w:rPr>
                <w:rFonts w:ascii="Arial" w:hAnsi="Arial" w:eastAsia="Arial"/>
                <w:b w:val="0"/>
                <w:sz w:val="16"/>
              </w:rPr>
              <w:t>Daily Brief</w:t>
            </w:r>
          </w:p>
        </w:tc>
        <w:tc>
          <w:tcPr>
            <w:tcW w:type="dxa" w:w="3744"/>
            <w:shd w:fill="EAF4F1"/>
            <w:vAlign w:val="top"/>
          </w:tcPr>
          <w:p>
            <w:pPr>
              <w:spacing w:after="0"/>
            </w:pPr>
            <w:r/>
            <w:r>
              <w:rPr>
                <w:rFonts w:ascii="Arial" w:hAnsi="Arial" w:eastAsia="Arial"/>
                <w:b w:val="0"/>
                <w:sz w:val="16"/>
              </w:rPr>
              <w:t>Calm personalised daily monitoring summary.</w:t>
            </w:r>
          </w:p>
        </w:tc>
        <w:tc>
          <w:tcPr>
            <w:tcW w:type="dxa" w:w="6336"/>
            <w:shd w:fill="EAF4F1"/>
            <w:vAlign w:val="top"/>
          </w:tcPr>
          <w:p>
            <w:pPr>
              <w:spacing w:after="0"/>
            </w:pPr>
            <w:r/>
            <w:r>
              <w:rPr>
                <w:rFonts w:ascii="Arial" w:hAnsi="Arial" w:eastAsia="Arial"/>
                <w:b w:val="0"/>
                <w:sz w:val="16"/>
              </w:rPr>
              <w:t>Shows meaningful changes and No Material Change summary.</w:t>
            </w:r>
          </w:p>
        </w:tc>
      </w:tr>
      <w:tr>
        <w:tc>
          <w:tcPr>
            <w:tcW w:type="dxa" w:w="2016"/>
            <w:vAlign w:val="top"/>
          </w:tcPr>
          <w:p>
            <w:pPr>
              <w:spacing w:after="0"/>
            </w:pPr>
            <w:r/>
            <w:r>
              <w:rPr>
                <w:rFonts w:ascii="Arial" w:hAnsi="Arial" w:eastAsia="Arial"/>
                <w:b w:val="0"/>
                <w:sz w:val="16"/>
              </w:rPr>
              <w:t>Alerts</w:t>
            </w:r>
          </w:p>
        </w:tc>
        <w:tc>
          <w:tcPr>
            <w:tcW w:type="dxa" w:w="3744"/>
            <w:vAlign w:val="top"/>
          </w:tcPr>
          <w:p>
            <w:pPr>
              <w:spacing w:after="0"/>
            </w:pPr>
            <w:r/>
            <w:r>
              <w:rPr>
                <w:rFonts w:ascii="Arial" w:hAnsi="Arial" w:eastAsia="Arial"/>
                <w:b w:val="0"/>
                <w:sz w:val="16"/>
              </w:rPr>
              <w:t>Instant Red Flag push notifications.</w:t>
            </w:r>
          </w:p>
        </w:tc>
        <w:tc>
          <w:tcPr>
            <w:tcW w:type="dxa" w:w="6336"/>
            <w:vAlign w:val="top"/>
          </w:tcPr>
          <w:p>
            <w:pPr>
              <w:spacing w:after="0"/>
            </w:pPr>
            <w:r/>
            <w:r>
              <w:rPr>
                <w:rFonts w:ascii="Arial" w:hAnsi="Arial" w:eastAsia="Arial"/>
                <w:b w:val="0"/>
                <w:sz w:val="16"/>
              </w:rPr>
              <w:t>Only for verified high-severity changes in followed companies.</w:t>
            </w:r>
          </w:p>
        </w:tc>
      </w:tr>
      <w:tr>
        <w:tc>
          <w:tcPr>
            <w:tcW w:type="dxa" w:w="2016"/>
            <w:shd w:fill="EAF4F1"/>
            <w:vAlign w:val="top"/>
          </w:tcPr>
          <w:p>
            <w:pPr>
              <w:spacing w:after="0"/>
            </w:pPr>
            <w:r/>
            <w:r>
              <w:rPr>
                <w:rFonts w:ascii="Arial" w:hAnsi="Arial" w:eastAsia="Arial"/>
                <w:b w:val="0"/>
                <w:sz w:val="16"/>
              </w:rPr>
              <w:t>Profile / Gamification</w:t>
            </w:r>
          </w:p>
        </w:tc>
        <w:tc>
          <w:tcPr>
            <w:tcW w:type="dxa" w:w="3744"/>
            <w:shd w:fill="EAF4F1"/>
            <w:vAlign w:val="top"/>
          </w:tcPr>
          <w:p>
            <w:pPr>
              <w:spacing w:after="0"/>
            </w:pPr>
            <w:r/>
            <w:r>
              <w:rPr>
                <w:rFonts w:ascii="Arial" w:hAnsi="Arial" w:eastAsia="Arial"/>
                <w:b w:val="0"/>
                <w:sz w:val="16"/>
              </w:rPr>
              <w:t>Streaks, badges, portfolio ESG health, friend comparison if time allows.</w:t>
            </w:r>
          </w:p>
        </w:tc>
        <w:tc>
          <w:tcPr>
            <w:tcW w:type="dxa" w:w="6336"/>
            <w:shd w:fill="EAF4F1"/>
            <w:vAlign w:val="top"/>
          </w:tcPr>
          <w:p>
            <w:pPr>
              <w:spacing w:after="0"/>
            </w:pPr>
            <w:r/>
            <w:r>
              <w:rPr>
                <w:rFonts w:ascii="Arial" w:hAnsi="Arial" w:eastAsia="Arial"/>
                <w:b w:val="0"/>
                <w:sz w:val="16"/>
              </w:rPr>
              <w:t>Rewards monitoring and learning, not returns.</w:t>
            </w:r>
          </w:p>
        </w:tc>
      </w:tr>
    </w:tbl>
    <w:p>
      <w:pPr>
        <w:spacing w:after="80"/>
      </w:pPr>
    </w:p>
    <w:p>
      <w:pPr>
        <w:pStyle w:val="Heading1"/>
        <w:spacing w:after="80"/>
      </w:pPr>
      <w:r>
        <w:t>5. Signal Engine Overview</w:t>
      </w:r>
    </w:p>
    <w:p>
      <w:pPr>
        <w:spacing w:after="80"/>
      </w:pPr>
      <w:r>
        <w:t>The signal engine produces the ESG Deterioration Score. Higher score means higher ESG deterioration risk. The score is then converted into Green / Watch / Red.</w:t>
      </w:r>
    </w:p>
    <w:tbl>
      <w:tblPr>
        <w:tblStyle w:val="TableGrid"/>
        <w:tblW w:type="auto" w:w="0"/>
        <w:tblLook w:firstColumn="1" w:firstRow="1" w:lastColumn="0" w:lastRow="0" w:noHBand="0" w:noVBand="1" w:val="04A0"/>
      </w:tblPr>
      <w:tblGrid>
        <w:gridCol w:w="10368"/>
      </w:tblGrid>
      <w:tr>
        <w:tc>
          <w:tcPr>
            <w:tcW w:type="dxa" w:w="10368"/>
            <w:shd w:fill="EAF4F1"/>
          </w:tcPr>
          <w:p>
            <w:r/>
            <w:r>
              <w:rPr>
                <w:rFonts w:ascii="Arial" w:hAnsi="Arial"/>
                <w:b/>
                <w:color w:val="005A50"/>
                <w:sz w:val="18"/>
              </w:rPr>
              <w:t>Prototype threshold</w:t>
            </w:r>
            <w:r>
              <w:rPr>
                <w:sz w:val="18"/>
              </w:rPr>
              <w:br/>
              <w:t>Use these default thresholds for the prototype: 0-34 = Green, 35-64 = Watch, 65-100 = Red. These can be adjusted after testing on the 10 demo stocks.</w:t>
            </w:r>
          </w:p>
        </w:tc>
      </w:tr>
    </w:tbl>
    <w:p>
      <w:pPr>
        <w:spacing w:after="80"/>
      </w:pPr>
    </w:p>
    <w:p>
      <w:pPr>
        <w:pStyle w:val="Heading2"/>
        <w:spacing w:after="80"/>
      </w:pPr>
      <w:r>
        <w:t>5.1 Final weighted scoring model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007866"/>
          </w:tcPr>
          <w:p>
            <w:pPr>
              <w:spacing w:after="0"/>
            </w:pPr>
            <w:r/>
            <w:r>
              <w:rPr>
                <w:rFonts w:ascii="Arial" w:hAnsi="Arial" w:eastAsia="Arial"/>
                <w:b/>
                <w:color w:val="FFFFFF"/>
                <w:sz w:val="15"/>
              </w:rPr>
              <w:t>Signal Input</w:t>
            </w:r>
          </w:p>
        </w:tc>
        <w:tc>
          <w:tcPr>
            <w:tcW w:type="dxa" w:w="4608"/>
            <w:shd w:fill="007866"/>
          </w:tcPr>
          <w:p>
            <w:pPr>
              <w:spacing w:after="0"/>
            </w:pPr>
            <w:r/>
            <w:r>
              <w:rPr>
                <w:rFonts w:ascii="Arial" w:hAnsi="Arial" w:eastAsia="Arial"/>
                <w:b/>
                <w:color w:val="FFFFFF"/>
                <w:sz w:val="15"/>
              </w:rPr>
              <w:t>What It Measures</w:t>
            </w:r>
          </w:p>
        </w:tc>
        <w:tc>
          <w:tcPr>
            <w:tcW w:type="dxa" w:w="1152"/>
            <w:shd w:fill="007866"/>
          </w:tcPr>
          <w:p>
            <w:pPr>
              <w:spacing w:after="0"/>
            </w:pPr>
            <w:r/>
            <w:r>
              <w:rPr>
                <w:rFonts w:ascii="Arial" w:hAnsi="Arial" w:eastAsia="Arial"/>
                <w:b/>
                <w:color w:val="FFFFFF"/>
                <w:sz w:val="15"/>
              </w:rPr>
              <w:t>Weight</w:t>
            </w:r>
          </w:p>
        </w:tc>
        <w:tc>
          <w:tcPr>
            <w:tcW w:type="dxa" w:w="4320"/>
            <w:shd w:fill="007866"/>
          </w:tcPr>
          <w:p>
            <w:pPr>
              <w:spacing w:after="0"/>
            </w:pPr>
            <w:r/>
            <w:r>
              <w:rPr>
                <w:rFonts w:ascii="Arial" w:hAnsi="Arial" w:eastAsia="Arial"/>
                <w:b/>
                <w:color w:val="FFFFFF"/>
                <w:sz w:val="15"/>
              </w:rPr>
              <w:t>Typical Sources</w:t>
            </w:r>
          </w:p>
        </w:tc>
      </w:tr>
      <w:tr>
        <w:tc>
          <w:tcPr>
            <w:tcW w:type="dxa" w:w="2592"/>
            <w:shd w:fill="EAF4F1"/>
            <w:vAlign w:val="top"/>
          </w:tcPr>
          <w:p>
            <w:pPr>
              <w:spacing w:after="0"/>
            </w:pPr>
            <w:r/>
            <w:r>
              <w:rPr>
                <w:rFonts w:ascii="Arial" w:hAnsi="Arial" w:eastAsia="Arial"/>
                <w:b w:val="0"/>
                <w:sz w:val="15"/>
              </w:rPr>
              <w:t>News Risk</w:t>
            </w:r>
          </w:p>
        </w:tc>
        <w:tc>
          <w:tcPr>
            <w:tcW w:type="dxa" w:w="4608"/>
            <w:shd w:fill="EAF4F1"/>
            <w:vAlign w:val="top"/>
          </w:tcPr>
          <w:p>
            <w:pPr>
              <w:spacing w:after="0"/>
            </w:pPr>
            <w:r/>
            <w:r>
              <w:rPr>
                <w:rFonts w:ascii="Arial" w:hAnsi="Arial" w:eastAsia="Arial"/>
                <w:b w:val="0"/>
                <w:sz w:val="15"/>
              </w:rPr>
              <w:t>Negative ESG events, controversies, lawsuits, labour issues, pollution incidents in recent news.</w:t>
            </w:r>
          </w:p>
        </w:tc>
        <w:tc>
          <w:tcPr>
            <w:tcW w:type="dxa" w:w="1152"/>
            <w:shd w:fill="EAF4F1"/>
            <w:vAlign w:val="top"/>
          </w:tcPr>
          <w:p>
            <w:pPr>
              <w:spacing w:after="0"/>
            </w:pPr>
            <w:r/>
            <w:r>
              <w:rPr>
                <w:rFonts w:ascii="Arial" w:hAnsi="Arial" w:eastAsia="Arial"/>
                <w:b w:val="0"/>
                <w:sz w:val="15"/>
              </w:rPr>
              <w:t>25%</w:t>
            </w:r>
          </w:p>
        </w:tc>
        <w:tc>
          <w:tcPr>
            <w:tcW w:type="dxa" w:w="4320"/>
            <w:shd w:fill="EAF4F1"/>
            <w:vAlign w:val="top"/>
          </w:tcPr>
          <w:p>
            <w:pPr>
              <w:spacing w:after="0"/>
            </w:pPr>
            <w:r/>
            <w:r>
              <w:rPr>
                <w:rFonts w:ascii="Arial" w:hAnsi="Arial" w:eastAsia="Arial"/>
                <w:b w:val="0"/>
                <w:sz w:val="15"/>
              </w:rPr>
              <w:t>NewsAPI, Google News RSS, reputable news sources.</w:t>
            </w:r>
          </w:p>
        </w:tc>
      </w:tr>
      <w:tr>
        <w:tc>
          <w:tcPr>
            <w:tcW w:type="dxa" w:w="2592"/>
            <w:vAlign w:val="top"/>
          </w:tcPr>
          <w:p>
            <w:pPr>
              <w:spacing w:after="0"/>
            </w:pPr>
            <w:r/>
            <w:r>
              <w:rPr>
                <w:rFonts w:ascii="Arial" w:hAnsi="Arial" w:eastAsia="Arial"/>
                <w:b w:val="0"/>
                <w:sz w:val="15"/>
              </w:rPr>
              <w:t>Promise Gap</w:t>
            </w:r>
          </w:p>
        </w:tc>
        <w:tc>
          <w:tcPr>
            <w:tcW w:type="dxa" w:w="4608"/>
            <w:vAlign w:val="top"/>
          </w:tcPr>
          <w:p>
            <w:pPr>
              <w:spacing w:after="0"/>
            </w:pPr>
            <w:r/>
            <w:r>
              <w:rPr>
                <w:rFonts w:ascii="Arial" w:hAnsi="Arial" w:eastAsia="Arial"/>
                <w:b w:val="0"/>
                <w:sz w:val="15"/>
              </w:rPr>
              <w:t>Whether ESG commitments are on track, at risk, broken, or silent.</w:t>
            </w:r>
          </w:p>
        </w:tc>
        <w:tc>
          <w:tcPr>
            <w:tcW w:type="dxa" w:w="1152"/>
            <w:vAlign w:val="top"/>
          </w:tcPr>
          <w:p>
            <w:pPr>
              <w:spacing w:after="0"/>
            </w:pPr>
            <w:r/>
            <w:r>
              <w:rPr>
                <w:rFonts w:ascii="Arial" w:hAnsi="Arial" w:eastAsia="Arial"/>
                <w:b w:val="0"/>
                <w:sz w:val="15"/>
              </w:rPr>
              <w:t>20%</w:t>
            </w:r>
          </w:p>
        </w:tc>
        <w:tc>
          <w:tcPr>
            <w:tcW w:type="dxa" w:w="4320"/>
            <w:vAlign w:val="top"/>
          </w:tcPr>
          <w:p>
            <w:pPr>
              <w:spacing w:after="0"/>
            </w:pPr>
            <w:r/>
            <w:r>
              <w:rPr>
                <w:rFonts w:ascii="Arial" w:hAnsi="Arial" w:eastAsia="Arial"/>
                <w:b w:val="0"/>
                <w:sz w:val="15"/>
              </w:rPr>
              <w:t>Annual reports, ESG filings, sustainability reports, company commitments.</w:t>
            </w:r>
          </w:p>
        </w:tc>
      </w:tr>
      <w:tr>
        <w:tc>
          <w:tcPr>
            <w:tcW w:type="dxa" w:w="2592"/>
            <w:shd w:fill="EAF4F1"/>
            <w:vAlign w:val="top"/>
          </w:tcPr>
          <w:p>
            <w:pPr>
              <w:spacing w:after="0"/>
            </w:pPr>
            <w:r/>
            <w:r>
              <w:rPr>
                <w:rFonts w:ascii="Arial" w:hAnsi="Arial" w:eastAsia="Arial"/>
                <w:b w:val="0"/>
                <w:sz w:val="15"/>
              </w:rPr>
              <w:t>Regulatory Flag</w:t>
            </w:r>
          </w:p>
        </w:tc>
        <w:tc>
          <w:tcPr>
            <w:tcW w:type="dxa" w:w="4608"/>
            <w:shd w:fill="EAF4F1"/>
            <w:vAlign w:val="top"/>
          </w:tcPr>
          <w:p>
            <w:pPr>
              <w:spacing w:after="0"/>
            </w:pPr>
            <w:r/>
            <w:r>
              <w:rPr>
                <w:rFonts w:ascii="Arial" w:hAnsi="Arial" w:eastAsia="Arial"/>
                <w:b w:val="0"/>
                <w:sz w:val="15"/>
              </w:rPr>
              <w:t>Fines, enforcement actions, legal issues, disclosure problems.</w:t>
            </w:r>
          </w:p>
        </w:tc>
        <w:tc>
          <w:tcPr>
            <w:tcW w:type="dxa" w:w="1152"/>
            <w:shd w:fill="EAF4F1"/>
            <w:vAlign w:val="top"/>
          </w:tcPr>
          <w:p>
            <w:pPr>
              <w:spacing w:after="0"/>
            </w:pPr>
            <w:r/>
            <w:r>
              <w:rPr>
                <w:rFonts w:ascii="Arial" w:hAnsi="Arial" w:eastAsia="Arial"/>
                <w:b w:val="0"/>
                <w:sz w:val="15"/>
              </w:rPr>
              <w:t>20%</w:t>
            </w:r>
          </w:p>
        </w:tc>
        <w:tc>
          <w:tcPr>
            <w:tcW w:type="dxa" w:w="4320"/>
            <w:shd w:fill="EAF4F1"/>
            <w:vAlign w:val="top"/>
          </w:tcPr>
          <w:p>
            <w:pPr>
              <w:spacing w:after="0"/>
            </w:pPr>
            <w:r/>
            <w:r>
              <w:rPr>
                <w:rFonts w:ascii="Arial" w:hAnsi="Arial" w:eastAsia="Arial"/>
                <w:b w:val="0"/>
                <w:sz w:val="15"/>
              </w:rPr>
              <w:t>MAS, SGX, SEC, regulators, stock exchange filings, court/enforcement releases.</w:t>
            </w:r>
          </w:p>
        </w:tc>
      </w:tr>
      <w:tr>
        <w:tc>
          <w:tcPr>
            <w:tcW w:type="dxa" w:w="2592"/>
            <w:vAlign w:val="top"/>
          </w:tcPr>
          <w:p>
            <w:pPr>
              <w:spacing w:after="0"/>
            </w:pPr>
            <w:r/>
            <w:r>
              <w:rPr>
                <w:rFonts w:ascii="Arial" w:hAnsi="Arial" w:eastAsia="Arial"/>
                <w:b w:val="0"/>
                <w:sz w:val="15"/>
              </w:rPr>
              <w:t>Sentiment Drift</w:t>
            </w:r>
          </w:p>
        </w:tc>
        <w:tc>
          <w:tcPr>
            <w:tcW w:type="dxa" w:w="4608"/>
            <w:vAlign w:val="top"/>
          </w:tcPr>
          <w:p>
            <w:pPr>
              <w:spacing w:after="0"/>
            </w:pPr>
            <w:r/>
            <w:r>
              <w:rPr>
                <w:rFonts w:ascii="Arial" w:hAnsi="Arial" w:eastAsia="Arial"/>
                <w:b w:val="0"/>
                <w:sz w:val="15"/>
              </w:rPr>
              <w:t>Employee or stakeholder signals turning negative around ESG-related issues.</w:t>
            </w:r>
          </w:p>
        </w:tc>
        <w:tc>
          <w:tcPr>
            <w:tcW w:type="dxa" w:w="1152"/>
            <w:vAlign w:val="top"/>
          </w:tcPr>
          <w:p>
            <w:pPr>
              <w:spacing w:after="0"/>
            </w:pPr>
            <w:r/>
            <w:r>
              <w:rPr>
                <w:rFonts w:ascii="Arial" w:hAnsi="Arial" w:eastAsia="Arial"/>
                <w:b w:val="0"/>
                <w:sz w:val="15"/>
              </w:rPr>
              <w:t>10%</w:t>
            </w:r>
          </w:p>
        </w:tc>
        <w:tc>
          <w:tcPr>
            <w:tcW w:type="dxa" w:w="4320"/>
            <w:vAlign w:val="top"/>
          </w:tcPr>
          <w:p>
            <w:pPr>
              <w:spacing w:after="0"/>
            </w:pPr>
            <w:r/>
            <w:r>
              <w:rPr>
                <w:rFonts w:ascii="Arial" w:hAnsi="Arial" w:eastAsia="Arial"/>
                <w:b w:val="0"/>
                <w:sz w:val="15"/>
              </w:rPr>
              <w:t>Glassdoor, Indeed, employee reviews, social listening for prototype.</w:t>
            </w:r>
          </w:p>
        </w:tc>
      </w:tr>
      <w:tr>
        <w:tc>
          <w:tcPr>
            <w:tcW w:type="dxa" w:w="2592"/>
            <w:shd w:fill="EAF4F1"/>
            <w:vAlign w:val="top"/>
          </w:tcPr>
          <w:p>
            <w:pPr>
              <w:spacing w:after="0"/>
            </w:pPr>
            <w:r/>
            <w:r>
              <w:rPr>
                <w:rFonts w:ascii="Arial" w:hAnsi="Arial" w:eastAsia="Arial"/>
                <w:b w:val="0"/>
                <w:sz w:val="15"/>
              </w:rPr>
              <w:t>Talk-vs-Action Gap</w:t>
            </w:r>
          </w:p>
        </w:tc>
        <w:tc>
          <w:tcPr>
            <w:tcW w:type="dxa" w:w="4608"/>
            <w:shd w:fill="EAF4F1"/>
            <w:vAlign w:val="top"/>
          </w:tcPr>
          <w:p>
            <w:pPr>
              <w:spacing w:after="0"/>
            </w:pPr>
            <w:r/>
            <w:r>
              <w:rPr>
                <w:rFonts w:ascii="Arial" w:hAnsi="Arial" w:eastAsia="Arial"/>
                <w:b w:val="0"/>
                <w:sz w:val="15"/>
              </w:rPr>
              <w:t>Whether company ESG claims are supported by external action evidence.</w:t>
            </w:r>
          </w:p>
        </w:tc>
        <w:tc>
          <w:tcPr>
            <w:tcW w:type="dxa" w:w="1152"/>
            <w:shd w:fill="EAF4F1"/>
            <w:vAlign w:val="top"/>
          </w:tcPr>
          <w:p>
            <w:pPr>
              <w:spacing w:after="0"/>
            </w:pPr>
            <w:r/>
            <w:r>
              <w:rPr>
                <w:rFonts w:ascii="Arial" w:hAnsi="Arial" w:eastAsia="Arial"/>
                <w:b w:val="0"/>
                <w:sz w:val="15"/>
              </w:rPr>
              <w:t>10%</w:t>
            </w:r>
          </w:p>
        </w:tc>
        <w:tc>
          <w:tcPr>
            <w:tcW w:type="dxa" w:w="4320"/>
            <w:shd w:fill="EAF4F1"/>
            <w:vAlign w:val="top"/>
          </w:tcPr>
          <w:p>
            <w:pPr>
              <w:spacing w:after="0"/>
            </w:pPr>
            <w:r/>
            <w:r>
              <w:rPr>
                <w:rFonts w:ascii="Arial" w:hAnsi="Arial" w:eastAsia="Arial"/>
                <w:b w:val="0"/>
                <w:sz w:val="15"/>
              </w:rPr>
              <w:t>Company claims compared with filings, news, jobs, patents, suppliers.</w:t>
            </w:r>
          </w:p>
        </w:tc>
      </w:tr>
      <w:tr>
        <w:tc>
          <w:tcPr>
            <w:tcW w:type="dxa" w:w="2592"/>
            <w:vAlign w:val="top"/>
          </w:tcPr>
          <w:p>
            <w:pPr>
              <w:spacing w:after="0"/>
            </w:pPr>
            <w:r/>
            <w:r>
              <w:rPr>
                <w:rFonts w:ascii="Arial" w:hAnsi="Arial" w:eastAsia="Arial"/>
                <w:b w:val="0"/>
                <w:sz w:val="15"/>
              </w:rPr>
              <w:t>Supply Chain Risk</w:t>
            </w:r>
          </w:p>
        </w:tc>
        <w:tc>
          <w:tcPr>
            <w:tcW w:type="dxa" w:w="4608"/>
            <w:vAlign w:val="top"/>
          </w:tcPr>
          <w:p>
            <w:pPr>
              <w:spacing w:after="0"/>
            </w:pPr>
            <w:r/>
            <w:r>
              <w:rPr>
                <w:rFonts w:ascii="Arial" w:hAnsi="Arial" w:eastAsia="Arial"/>
                <w:b w:val="0"/>
                <w:sz w:val="15"/>
              </w:rPr>
              <w:t>Whether supplier issues contradict company ESG claims.</w:t>
            </w:r>
          </w:p>
        </w:tc>
        <w:tc>
          <w:tcPr>
            <w:tcW w:type="dxa" w:w="1152"/>
            <w:vAlign w:val="top"/>
          </w:tcPr>
          <w:p>
            <w:pPr>
              <w:spacing w:after="0"/>
            </w:pPr>
            <w:r/>
            <w:r>
              <w:rPr>
                <w:rFonts w:ascii="Arial" w:hAnsi="Arial" w:eastAsia="Arial"/>
                <w:b w:val="0"/>
                <w:sz w:val="15"/>
              </w:rPr>
              <w:t>10%</w:t>
            </w:r>
          </w:p>
        </w:tc>
        <w:tc>
          <w:tcPr>
            <w:tcW w:type="dxa" w:w="4320"/>
            <w:vAlign w:val="top"/>
          </w:tcPr>
          <w:p>
            <w:pPr>
              <w:spacing w:after="0"/>
            </w:pPr>
            <w:r/>
            <w:r>
              <w:rPr>
                <w:rFonts w:ascii="Arial" w:hAnsi="Arial" w:eastAsia="Arial"/>
                <w:b w:val="0"/>
                <w:sz w:val="15"/>
              </w:rPr>
              <w:t>Supplier news, enforcement records, NGO reports, procurement disclosures.</w:t>
            </w:r>
          </w:p>
        </w:tc>
      </w:tr>
      <w:tr>
        <w:tc>
          <w:tcPr>
            <w:tcW w:type="dxa" w:w="2592"/>
            <w:shd w:fill="EAF4F1"/>
            <w:vAlign w:val="top"/>
          </w:tcPr>
          <w:p>
            <w:pPr>
              <w:spacing w:after="0"/>
            </w:pPr>
            <w:r/>
            <w:r>
              <w:rPr>
                <w:rFonts w:ascii="Arial" w:hAnsi="Arial" w:eastAsia="Arial"/>
                <w:b w:val="0"/>
                <w:sz w:val="15"/>
              </w:rPr>
              <w:t>Evidence Confidence Penalty</w:t>
            </w:r>
          </w:p>
        </w:tc>
        <w:tc>
          <w:tcPr>
            <w:tcW w:type="dxa" w:w="4608"/>
            <w:shd w:fill="EAF4F1"/>
            <w:vAlign w:val="top"/>
          </w:tcPr>
          <w:p>
            <w:pPr>
              <w:spacing w:after="0"/>
            </w:pPr>
            <w:r/>
            <w:r>
              <w:rPr>
                <w:rFonts w:ascii="Arial" w:hAnsi="Arial" w:eastAsia="Arial"/>
                <w:b w:val="0"/>
                <w:sz w:val="15"/>
              </w:rPr>
              <w:t>Penalty applied when evidence is weak, company-controlled, old, or unverified.</w:t>
            </w:r>
          </w:p>
        </w:tc>
        <w:tc>
          <w:tcPr>
            <w:tcW w:type="dxa" w:w="1152"/>
            <w:shd w:fill="EAF4F1"/>
            <w:vAlign w:val="top"/>
          </w:tcPr>
          <w:p>
            <w:pPr>
              <w:spacing w:after="0"/>
            </w:pPr>
            <w:r/>
            <w:r>
              <w:rPr>
                <w:rFonts w:ascii="Arial" w:hAnsi="Arial" w:eastAsia="Arial"/>
                <w:b w:val="0"/>
                <w:sz w:val="15"/>
              </w:rPr>
              <w:t>5%</w:t>
            </w:r>
          </w:p>
        </w:tc>
        <w:tc>
          <w:tcPr>
            <w:tcW w:type="dxa" w:w="4320"/>
            <w:shd w:fill="EAF4F1"/>
            <w:vAlign w:val="top"/>
          </w:tcPr>
          <w:p>
            <w:pPr>
              <w:spacing w:after="0"/>
            </w:pPr>
            <w:r/>
            <w:r>
              <w:rPr>
                <w:rFonts w:ascii="Arial" w:hAnsi="Arial" w:eastAsia="Arial"/>
                <w:b w:val="0"/>
                <w:sz w:val="15"/>
              </w:rPr>
              <w:t>Source ranking model.</w:t>
            </w:r>
          </w:p>
        </w:tc>
      </w:tr>
    </w:tbl>
    <w:p>
      <w:pPr>
        <w:spacing w:after="80"/>
      </w:pPr>
    </w:p>
    <w:p>
      <w:pPr>
        <w:pStyle w:val="Heading2"/>
        <w:spacing w:after="80"/>
      </w:pPr>
      <w:r>
        <w:t>5.2 Score formula</w:t>
      </w:r>
    </w:p>
    <w:p>
      <w:pPr>
        <w:pStyle w:val="CodeBlock"/>
        <w:spacing w:after="80"/>
      </w:pPr>
      <w:r>
        <w:t>raw_score = (</w:t>
      </w:r>
    </w:p>
    <w:p>
      <w:pPr>
        <w:pStyle w:val="CodeBlock"/>
        <w:spacing w:after="80"/>
      </w:pPr>
      <w:r>
        <w:t xml:space="preserve">  news_risk_score * 0.25 +</w:t>
      </w:r>
    </w:p>
    <w:p>
      <w:pPr>
        <w:pStyle w:val="CodeBlock"/>
        <w:spacing w:after="80"/>
      </w:pPr>
      <w:r>
        <w:t xml:space="preserve">  promise_gap_score * 0.20 +</w:t>
      </w:r>
    </w:p>
    <w:p>
      <w:pPr>
        <w:pStyle w:val="CodeBlock"/>
        <w:spacing w:after="80"/>
      </w:pPr>
      <w:r>
        <w:t xml:space="preserve">  regulatory_flag_score * 0.20 +</w:t>
      </w:r>
    </w:p>
    <w:p>
      <w:pPr>
        <w:pStyle w:val="CodeBlock"/>
        <w:spacing w:after="80"/>
      </w:pPr>
      <w:r>
        <w:t xml:space="preserve">  sentiment_drift_score * 0.10 +</w:t>
      </w:r>
    </w:p>
    <w:p>
      <w:pPr>
        <w:pStyle w:val="CodeBlock"/>
        <w:spacing w:after="80"/>
      </w:pPr>
      <w:r>
        <w:t xml:space="preserve">  talk_vs_action_gap_score * 0.10 +</w:t>
      </w:r>
    </w:p>
    <w:p>
      <w:pPr>
        <w:pStyle w:val="CodeBlock"/>
        <w:spacing w:after="80"/>
      </w:pPr>
      <w:r>
        <w:t xml:space="preserve">  supply_chain_risk_score * 0.10 +</w:t>
      </w:r>
    </w:p>
    <w:p>
      <w:pPr>
        <w:pStyle w:val="CodeBlock"/>
        <w:spacing w:after="80"/>
      </w:pPr>
      <w:r>
        <w:t xml:space="preserve">  evidence_confidence_penalty * 0.05</w:t>
      </w:r>
    </w:p>
    <w:p>
      <w:pPr>
        <w:pStyle w:val="CodeBlock"/>
        <w:spacing w:after="80"/>
      </w:pPr>
      <w:r>
        <w:t>)</w:t>
      </w:r>
    </w:p>
    <w:p>
      <w:pPr>
        <w:pStyle w:val="CodeBlock"/>
        <w:spacing w:after="80"/>
      </w:pPr>
      <w:r/>
    </w:p>
    <w:p>
      <w:pPr>
        <w:pStyle w:val="CodeBlock"/>
        <w:spacing w:after="80"/>
      </w:pPr>
      <w:r>
        <w:t>final_score = clamp(raw_score + override_adjustments, 0, 100)</w:t>
      </w:r>
    </w:p>
    <w:p>
      <w:pPr>
        <w:pStyle w:val="CodeBlock"/>
        <w:spacing w:after="80"/>
      </w:pPr>
      <w:r/>
    </w:p>
    <w:p>
      <w:pPr>
        <w:pStyle w:val="CodeBlock"/>
        <w:spacing w:after="80"/>
      </w:pPr>
      <w:r>
        <w:t>if final_score &lt;= 34: signal = "green"</w:t>
      </w:r>
    </w:p>
    <w:p>
      <w:pPr>
        <w:pStyle w:val="CodeBlock"/>
        <w:spacing w:after="80"/>
      </w:pPr>
      <w:r>
        <w:t>elif final_score &lt;= 64: signal = "watch"</w:t>
      </w:r>
    </w:p>
    <w:p>
      <w:pPr>
        <w:pStyle w:val="CodeBlock"/>
        <w:spacing w:after="80"/>
      </w:pPr>
      <w:r>
        <w:t>else: signal = "red"</w:t>
      </w:r>
    </w:p>
    <w:tbl>
      <w:tblPr>
        <w:tblStyle w:val="TableGrid"/>
        <w:tblW w:type="auto" w:w="0"/>
        <w:tblLook w:firstColumn="1" w:firstRow="1" w:lastColumn="0" w:lastRow="0" w:noHBand="0" w:noVBand="1" w:val="04A0"/>
      </w:tblPr>
      <w:tblGrid>
        <w:gridCol w:w="10368"/>
      </w:tblGrid>
      <w:tr>
        <w:tc>
          <w:tcPr>
            <w:tcW w:type="dxa" w:w="10368"/>
            <w:shd w:fill="FFF3CD"/>
          </w:tcPr>
          <w:p>
            <w:r/>
            <w:r>
              <w:rPr>
                <w:rFonts w:ascii="Arial" w:hAnsi="Arial"/>
                <w:b/>
                <w:color w:val="005A50"/>
                <w:sz w:val="18"/>
              </w:rPr>
              <w:t>Why include Evidence Confidence as a penalty?</w:t>
            </w:r>
            <w:r>
              <w:rPr>
                <w:sz w:val="18"/>
              </w:rPr>
              <w:br/>
              <w:t>If the evidence is weak or mostly company-controlled, the app should not treat the signal as fully reliable. For negative risk, weak evidence should stop over-alerting. For positive ESG claims, weak evidence should reduce confidence and may keep a company at Watch instead of Green.</w:t>
            </w:r>
          </w:p>
        </w:tc>
      </w:tr>
    </w:tbl>
    <w:p>
      <w:pPr>
        <w:spacing w:after="80"/>
      </w:pPr>
    </w:p>
    <w:p>
      <w:pPr>
        <w:pStyle w:val="Heading1"/>
        <w:spacing w:after="80"/>
      </w:pPr>
      <w:r>
        <w:t>6. Detailed Logic Behind Each Score</w:t>
      </w:r>
    </w:p>
    <w:p>
      <w:pPr>
        <w:pStyle w:val="Heading2"/>
        <w:spacing w:after="80"/>
      </w:pPr>
      <w:r>
        <w:t>6.1 News Risk Score</w:t>
      </w:r>
    </w:p>
    <w:p>
      <w:pPr>
        <w:spacing w:after="80"/>
      </w:pPr>
      <w:r>
        <w:t>Measures negative ESG events reported by trusted news or public sources. It focuses on the last 90 days for current risk, while still storing older issues for trend history and backtesting.</w:t>
      </w:r>
    </w:p>
    <w:tbl>
      <w:tblPr>
        <w:tblStyle w:val="TableGrid"/>
        <w:tblW w:type="auto" w:w="0"/>
        <w:jc w:val="center"/>
        <w:tblLook w:firstColumn="1" w:firstRow="1" w:lastColumn="0" w:lastRow="0" w:noHBand="0" w:noVBand="1" w:val="04A0"/>
      </w:tblPr>
      <w:tblGrid>
        <w:gridCol w:w="5184"/>
        <w:gridCol w:w="5184"/>
      </w:tblGrid>
      <w:tr>
        <w:tc>
          <w:tcPr>
            <w:tcW w:type="dxa" w:w="2304"/>
            <w:shd w:fill="007866"/>
          </w:tcPr>
          <w:p>
            <w:pPr>
              <w:spacing w:after="0"/>
            </w:pPr>
            <w:r/>
            <w:r>
              <w:rPr>
                <w:rFonts w:ascii="Arial" w:hAnsi="Arial" w:eastAsia="Arial"/>
                <w:b/>
                <w:color w:val="FFFFFF"/>
                <w:sz w:val="16"/>
              </w:rPr>
              <w:t>Component</w:t>
            </w:r>
          </w:p>
        </w:tc>
        <w:tc>
          <w:tcPr>
            <w:tcW w:type="dxa" w:w="8640"/>
            <w:shd w:fill="007866"/>
          </w:tcPr>
          <w:p>
            <w:pPr>
              <w:spacing w:after="0"/>
            </w:pPr>
            <w:r/>
            <w:r>
              <w:rPr>
                <w:rFonts w:ascii="Arial" w:hAnsi="Arial" w:eastAsia="Arial"/>
                <w:b/>
                <w:color w:val="FFFFFF"/>
                <w:sz w:val="16"/>
              </w:rPr>
              <w:t>Scoring Rule</w:t>
            </w:r>
          </w:p>
        </w:tc>
      </w:tr>
      <w:tr>
        <w:tc>
          <w:tcPr>
            <w:tcW w:type="dxa" w:w="2304"/>
            <w:shd w:fill="EAF4F1"/>
            <w:vAlign w:val="top"/>
          </w:tcPr>
          <w:p>
            <w:pPr>
              <w:spacing w:after="0"/>
            </w:pPr>
            <w:r/>
            <w:r>
              <w:rPr>
                <w:rFonts w:ascii="Arial" w:hAnsi="Arial" w:eastAsia="Arial"/>
                <w:b w:val="0"/>
                <w:sz w:val="16"/>
              </w:rPr>
              <w:t>Severity</w:t>
            </w:r>
          </w:p>
        </w:tc>
        <w:tc>
          <w:tcPr>
            <w:tcW w:type="dxa" w:w="8640"/>
            <w:shd w:fill="EAF4F1"/>
            <w:vAlign w:val="top"/>
          </w:tcPr>
          <w:p>
            <w:pPr>
              <w:spacing w:after="0"/>
            </w:pPr>
            <w:r/>
            <w:r>
              <w:rPr>
                <w:rFonts w:ascii="Arial" w:hAnsi="Arial" w:eastAsia="Arial"/>
                <w:b w:val="0"/>
                <w:sz w:val="16"/>
              </w:rPr>
              <w:t>Low issue = 10-25, medium issue = 30-55, high issue = 60-85, severe crisis = 86-100.</w:t>
            </w:r>
          </w:p>
        </w:tc>
      </w:tr>
      <w:tr>
        <w:tc>
          <w:tcPr>
            <w:tcW w:type="dxa" w:w="2304"/>
            <w:vAlign w:val="top"/>
          </w:tcPr>
          <w:p>
            <w:pPr>
              <w:spacing w:after="0"/>
            </w:pPr>
            <w:r/>
            <w:r>
              <w:rPr>
                <w:rFonts w:ascii="Arial" w:hAnsi="Arial" w:eastAsia="Arial"/>
                <w:b w:val="0"/>
                <w:sz w:val="16"/>
              </w:rPr>
              <w:t>Recency</w:t>
            </w:r>
          </w:p>
        </w:tc>
        <w:tc>
          <w:tcPr>
            <w:tcW w:type="dxa" w:w="8640"/>
            <w:vAlign w:val="top"/>
          </w:tcPr>
          <w:p>
            <w:pPr>
              <w:spacing w:after="0"/>
            </w:pPr>
            <w:r/>
            <w:r>
              <w:rPr>
                <w:rFonts w:ascii="Arial" w:hAnsi="Arial" w:eastAsia="Arial"/>
                <w:b w:val="0"/>
                <w:sz w:val="16"/>
              </w:rPr>
              <w:t>Newer events weigh more. Within 7 days = full weight; 8-30 days = 0.8; 31-90 days = 0.5; older = stored but not central unless repeated.</w:t>
            </w:r>
          </w:p>
        </w:tc>
      </w:tr>
      <w:tr>
        <w:tc>
          <w:tcPr>
            <w:tcW w:type="dxa" w:w="2304"/>
            <w:shd w:fill="EAF4F1"/>
            <w:vAlign w:val="top"/>
          </w:tcPr>
          <w:p>
            <w:pPr>
              <w:spacing w:after="0"/>
            </w:pPr>
            <w:r/>
            <w:r>
              <w:rPr>
                <w:rFonts w:ascii="Arial" w:hAnsi="Arial" w:eastAsia="Arial"/>
                <w:b w:val="0"/>
                <w:sz w:val="16"/>
              </w:rPr>
              <w:t>Source confidence</w:t>
            </w:r>
          </w:p>
        </w:tc>
        <w:tc>
          <w:tcPr>
            <w:tcW w:type="dxa" w:w="8640"/>
            <w:shd w:fill="EAF4F1"/>
            <w:vAlign w:val="top"/>
          </w:tcPr>
          <w:p>
            <w:pPr>
              <w:spacing w:after="0"/>
            </w:pPr>
            <w:r/>
            <w:r>
              <w:rPr>
                <w:rFonts w:ascii="Arial" w:hAnsi="Arial" w:eastAsia="Arial"/>
                <w:b w:val="0"/>
                <w:sz w:val="16"/>
              </w:rPr>
              <w:t>High-confidence sources increase reliability. Low-confidence sources require corroboration before score impact.</w:t>
            </w:r>
          </w:p>
        </w:tc>
      </w:tr>
      <w:tr>
        <w:tc>
          <w:tcPr>
            <w:tcW w:type="dxa" w:w="2304"/>
            <w:vAlign w:val="top"/>
          </w:tcPr>
          <w:p>
            <w:pPr>
              <w:spacing w:after="0"/>
            </w:pPr>
            <w:r/>
            <w:r>
              <w:rPr>
                <w:rFonts w:ascii="Arial" w:hAnsi="Arial" w:eastAsia="Arial"/>
                <w:b w:val="0"/>
                <w:sz w:val="16"/>
              </w:rPr>
              <w:t>Repetition</w:t>
            </w:r>
          </w:p>
        </w:tc>
        <w:tc>
          <w:tcPr>
            <w:tcW w:type="dxa" w:w="8640"/>
            <w:vAlign w:val="top"/>
          </w:tcPr>
          <w:p>
            <w:pPr>
              <w:spacing w:after="0"/>
            </w:pPr>
            <w:r/>
            <w:r>
              <w:rPr>
                <w:rFonts w:ascii="Arial" w:hAnsi="Arial" w:eastAsia="Arial"/>
                <w:b w:val="0"/>
                <w:sz w:val="16"/>
              </w:rPr>
              <w:t>Multiple similar events increase the score, especially if they show a pattern.</w:t>
            </w:r>
          </w:p>
        </w:tc>
      </w:tr>
      <w:tr>
        <w:tc>
          <w:tcPr>
            <w:tcW w:type="dxa" w:w="2304"/>
            <w:shd w:fill="EAF4F1"/>
            <w:vAlign w:val="top"/>
          </w:tcPr>
          <w:p>
            <w:pPr>
              <w:spacing w:after="0"/>
            </w:pPr>
            <w:r/>
            <w:r>
              <w:rPr>
                <w:rFonts w:ascii="Arial" w:hAnsi="Arial" w:eastAsia="Arial"/>
                <w:b w:val="0"/>
                <w:sz w:val="16"/>
              </w:rPr>
              <w:t>Company response</w:t>
            </w:r>
          </w:p>
        </w:tc>
        <w:tc>
          <w:tcPr>
            <w:tcW w:type="dxa" w:w="8640"/>
            <w:shd w:fill="EAF4F1"/>
            <w:vAlign w:val="top"/>
          </w:tcPr>
          <w:p>
            <w:pPr>
              <w:spacing w:after="0"/>
            </w:pPr>
            <w:r/>
            <w:r>
              <w:rPr>
                <w:rFonts w:ascii="Arial" w:hAnsi="Arial" w:eastAsia="Arial"/>
                <w:b w:val="0"/>
                <w:sz w:val="16"/>
              </w:rPr>
              <w:t>Credible remediation can reduce score; vague response or silence can increase score.</w:t>
            </w:r>
          </w:p>
        </w:tc>
      </w:tr>
    </w:tbl>
    <w:p>
      <w:pPr>
        <w:spacing w:after="80"/>
      </w:pPr>
    </w:p>
    <w:p>
      <w:pPr>
        <w:pStyle w:val="CodeBlock"/>
        <w:spacing w:after="80"/>
      </w:pPr>
      <w:r>
        <w:t>news_risk_score = severity_score * recency_factor * source_confidence_factor</w:t>
      </w:r>
    </w:p>
    <w:p>
      <w:pPr>
        <w:pStyle w:val="CodeBlock"/>
        <w:spacing w:after="80"/>
      </w:pPr>
      <w:r>
        <w:t>if repeated_issue_count &gt;= 3: news_risk_score += 10</w:t>
      </w:r>
    </w:p>
    <w:p>
      <w:pPr>
        <w:pStyle w:val="CodeBlock"/>
        <w:spacing w:after="80"/>
      </w:pPr>
      <w:r>
        <w:t>if credible_remediation_found: news_risk_score -= 10</w:t>
      </w:r>
    </w:p>
    <w:p>
      <w:pPr>
        <w:pStyle w:val="CodeBlock"/>
        <w:spacing w:after="80"/>
      </w:pPr>
      <w:r>
        <w:t>news_risk_score = clamp(news_risk_score, 0, 100)</w:t>
      </w:r>
    </w:p>
    <w:p>
      <w:pPr>
        <w:pStyle w:val="Heading2"/>
        <w:spacing w:after="80"/>
      </w:pPr>
      <w:r>
        <w:t>6.2 Promise Gap Score</w:t>
      </w:r>
    </w:p>
    <w:p>
      <w:pPr>
        <w:spacing w:after="80"/>
      </w:pPr>
      <w:r>
        <w:t>Tracks whether public ESG commitments are on track. A promise only matters if it is specific, time-bound, measurable, and still relevant.</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07866"/>
          </w:tcPr>
          <w:p>
            <w:pPr>
              <w:spacing w:after="0"/>
            </w:pPr>
            <w:r/>
            <w:r>
              <w:rPr>
                <w:rFonts w:ascii="Arial" w:hAnsi="Arial" w:eastAsia="Arial"/>
                <w:b/>
                <w:color w:val="FFFFFF"/>
                <w:sz w:val="16"/>
              </w:rPr>
              <w:t>Promise Status</w:t>
            </w:r>
          </w:p>
        </w:tc>
        <w:tc>
          <w:tcPr>
            <w:tcW w:type="dxa" w:w="6480"/>
            <w:shd w:fill="007866"/>
          </w:tcPr>
          <w:p>
            <w:pPr>
              <w:spacing w:after="0"/>
            </w:pPr>
            <w:r/>
            <w:r>
              <w:rPr>
                <w:rFonts w:ascii="Arial" w:hAnsi="Arial" w:eastAsia="Arial"/>
                <w:b/>
                <w:color w:val="FFFFFF"/>
                <w:sz w:val="16"/>
              </w:rPr>
              <w:t>Meaning</w:t>
            </w:r>
          </w:p>
        </w:tc>
        <w:tc>
          <w:tcPr>
            <w:tcW w:type="dxa" w:w="1584"/>
            <w:shd w:fill="007866"/>
          </w:tcPr>
          <w:p>
            <w:pPr>
              <w:spacing w:after="0"/>
            </w:pPr>
            <w:r/>
            <w:r>
              <w:rPr>
                <w:rFonts w:ascii="Arial" w:hAnsi="Arial" w:eastAsia="Arial"/>
                <w:b/>
                <w:color w:val="FFFFFF"/>
                <w:sz w:val="16"/>
              </w:rPr>
              <w:t>Score Range</w:t>
            </w:r>
          </w:p>
        </w:tc>
      </w:tr>
      <w:tr>
        <w:tc>
          <w:tcPr>
            <w:tcW w:type="dxa" w:w="2160"/>
            <w:shd w:fill="EAF4F1"/>
            <w:vAlign w:val="top"/>
          </w:tcPr>
          <w:p>
            <w:pPr>
              <w:spacing w:after="0"/>
            </w:pPr>
            <w:r/>
            <w:r>
              <w:rPr>
                <w:rFonts w:ascii="Arial" w:hAnsi="Arial" w:eastAsia="Arial"/>
                <w:b w:val="0"/>
                <w:sz w:val="16"/>
              </w:rPr>
              <w:t>On Track</w:t>
            </w:r>
          </w:p>
        </w:tc>
        <w:tc>
          <w:tcPr>
            <w:tcW w:type="dxa" w:w="6480"/>
            <w:shd w:fill="EAF4F1"/>
            <w:vAlign w:val="top"/>
          </w:tcPr>
          <w:p>
            <w:pPr>
              <w:spacing w:after="0"/>
            </w:pPr>
            <w:r/>
            <w:r>
              <w:rPr>
                <w:rFonts w:ascii="Arial" w:hAnsi="Arial" w:eastAsia="Arial"/>
                <w:b w:val="0"/>
                <w:sz w:val="16"/>
              </w:rPr>
              <w:t>Verified progress matches or exceeds required trajectory.</w:t>
            </w:r>
          </w:p>
        </w:tc>
        <w:tc>
          <w:tcPr>
            <w:tcW w:type="dxa" w:w="1584"/>
            <w:shd w:fill="EAF4F1"/>
            <w:vAlign w:val="top"/>
          </w:tcPr>
          <w:p>
            <w:pPr>
              <w:spacing w:after="0"/>
            </w:pPr>
            <w:r/>
            <w:r>
              <w:rPr>
                <w:rFonts w:ascii="Arial" w:hAnsi="Arial" w:eastAsia="Arial"/>
                <w:b w:val="0"/>
                <w:sz w:val="16"/>
              </w:rPr>
              <w:t>0-20</w:t>
            </w:r>
          </w:p>
        </w:tc>
      </w:tr>
      <w:tr>
        <w:tc>
          <w:tcPr>
            <w:tcW w:type="dxa" w:w="2160"/>
            <w:vAlign w:val="top"/>
          </w:tcPr>
          <w:p>
            <w:pPr>
              <w:spacing w:after="0"/>
            </w:pPr>
            <w:r/>
            <w:r>
              <w:rPr>
                <w:rFonts w:ascii="Arial" w:hAnsi="Arial" w:eastAsia="Arial"/>
                <w:b w:val="0"/>
                <w:sz w:val="16"/>
              </w:rPr>
              <w:t>Slightly Behind</w:t>
            </w:r>
          </w:p>
        </w:tc>
        <w:tc>
          <w:tcPr>
            <w:tcW w:type="dxa" w:w="6480"/>
            <w:vAlign w:val="top"/>
          </w:tcPr>
          <w:p>
            <w:pPr>
              <w:spacing w:after="0"/>
            </w:pPr>
            <w:r/>
            <w:r>
              <w:rPr>
                <w:rFonts w:ascii="Arial" w:hAnsi="Arial" w:eastAsia="Arial"/>
                <w:b w:val="0"/>
                <w:sz w:val="16"/>
              </w:rPr>
              <w:t>Some progress exists but pace is below target.</w:t>
            </w:r>
          </w:p>
        </w:tc>
        <w:tc>
          <w:tcPr>
            <w:tcW w:type="dxa" w:w="1584"/>
            <w:vAlign w:val="top"/>
          </w:tcPr>
          <w:p>
            <w:pPr>
              <w:spacing w:after="0"/>
            </w:pPr>
            <w:r/>
            <w:r>
              <w:rPr>
                <w:rFonts w:ascii="Arial" w:hAnsi="Arial" w:eastAsia="Arial"/>
                <w:b w:val="0"/>
                <w:sz w:val="16"/>
              </w:rPr>
              <w:t>25-45</w:t>
            </w:r>
          </w:p>
        </w:tc>
      </w:tr>
      <w:tr>
        <w:tc>
          <w:tcPr>
            <w:tcW w:type="dxa" w:w="2160"/>
            <w:shd w:fill="EAF4F1"/>
            <w:vAlign w:val="top"/>
          </w:tcPr>
          <w:p>
            <w:pPr>
              <w:spacing w:after="0"/>
            </w:pPr>
            <w:r/>
            <w:r>
              <w:rPr>
                <w:rFonts w:ascii="Arial" w:hAnsi="Arial" w:eastAsia="Arial"/>
                <w:b w:val="0"/>
                <w:sz w:val="16"/>
              </w:rPr>
              <w:t>At Risk</w:t>
            </w:r>
          </w:p>
        </w:tc>
        <w:tc>
          <w:tcPr>
            <w:tcW w:type="dxa" w:w="6480"/>
            <w:shd w:fill="EAF4F1"/>
            <w:vAlign w:val="top"/>
          </w:tcPr>
          <w:p>
            <w:pPr>
              <w:spacing w:after="0"/>
            </w:pPr>
            <w:r/>
            <w:r>
              <w:rPr>
                <w:rFonts w:ascii="Arial" w:hAnsi="Arial" w:eastAsia="Arial"/>
                <w:b w:val="0"/>
                <w:sz w:val="16"/>
              </w:rPr>
              <w:t>Progress is meaningfully behind required trajectory or evidence is limited.</w:t>
            </w:r>
          </w:p>
        </w:tc>
        <w:tc>
          <w:tcPr>
            <w:tcW w:type="dxa" w:w="1584"/>
            <w:shd w:fill="EAF4F1"/>
            <w:vAlign w:val="top"/>
          </w:tcPr>
          <w:p>
            <w:pPr>
              <w:spacing w:after="0"/>
            </w:pPr>
            <w:r/>
            <w:r>
              <w:rPr>
                <w:rFonts w:ascii="Arial" w:hAnsi="Arial" w:eastAsia="Arial"/>
                <w:b w:val="0"/>
                <w:sz w:val="16"/>
              </w:rPr>
              <w:t>50-70</w:t>
            </w:r>
          </w:p>
        </w:tc>
      </w:tr>
      <w:tr>
        <w:tc>
          <w:tcPr>
            <w:tcW w:type="dxa" w:w="2160"/>
            <w:vAlign w:val="top"/>
          </w:tcPr>
          <w:p>
            <w:pPr>
              <w:spacing w:after="0"/>
            </w:pPr>
            <w:r/>
            <w:r>
              <w:rPr>
                <w:rFonts w:ascii="Arial" w:hAnsi="Arial" w:eastAsia="Arial"/>
                <w:b w:val="0"/>
                <w:sz w:val="16"/>
              </w:rPr>
              <w:t>Broken</w:t>
            </w:r>
          </w:p>
        </w:tc>
        <w:tc>
          <w:tcPr>
            <w:tcW w:type="dxa" w:w="6480"/>
            <w:vAlign w:val="top"/>
          </w:tcPr>
          <w:p>
            <w:pPr>
              <w:spacing w:after="0"/>
            </w:pPr>
            <w:r/>
            <w:r>
              <w:rPr>
                <w:rFonts w:ascii="Arial" w:hAnsi="Arial" w:eastAsia="Arial"/>
                <w:b w:val="0"/>
                <w:sz w:val="16"/>
              </w:rPr>
              <w:t>Deadline passed without verified achievement.</w:t>
            </w:r>
          </w:p>
        </w:tc>
        <w:tc>
          <w:tcPr>
            <w:tcW w:type="dxa" w:w="1584"/>
            <w:vAlign w:val="top"/>
          </w:tcPr>
          <w:p>
            <w:pPr>
              <w:spacing w:after="0"/>
            </w:pPr>
            <w:r/>
            <w:r>
              <w:rPr>
                <w:rFonts w:ascii="Arial" w:hAnsi="Arial" w:eastAsia="Arial"/>
                <w:b w:val="0"/>
                <w:sz w:val="16"/>
              </w:rPr>
              <w:t>75-95</w:t>
            </w:r>
          </w:p>
        </w:tc>
      </w:tr>
      <w:tr>
        <w:tc>
          <w:tcPr>
            <w:tcW w:type="dxa" w:w="2160"/>
            <w:shd w:fill="EAF4F1"/>
            <w:vAlign w:val="top"/>
          </w:tcPr>
          <w:p>
            <w:pPr>
              <w:spacing w:after="0"/>
            </w:pPr>
            <w:r/>
            <w:r>
              <w:rPr>
                <w:rFonts w:ascii="Arial" w:hAnsi="Arial" w:eastAsia="Arial"/>
                <w:b w:val="0"/>
                <w:sz w:val="16"/>
              </w:rPr>
              <w:t>Gone Silent</w:t>
            </w:r>
          </w:p>
        </w:tc>
        <w:tc>
          <w:tcPr>
            <w:tcW w:type="dxa" w:w="6480"/>
            <w:shd w:fill="EAF4F1"/>
            <w:vAlign w:val="top"/>
          </w:tcPr>
          <w:p>
            <w:pPr>
              <w:spacing w:after="0"/>
            </w:pPr>
            <w:r/>
            <w:r>
              <w:rPr>
                <w:rFonts w:ascii="Arial" w:hAnsi="Arial" w:eastAsia="Arial"/>
                <w:b w:val="0"/>
                <w:sz w:val="16"/>
              </w:rPr>
              <w:t>Company made promise but no follow-up evidence found after expected update period.</w:t>
            </w:r>
          </w:p>
        </w:tc>
        <w:tc>
          <w:tcPr>
            <w:tcW w:type="dxa" w:w="1584"/>
            <w:shd w:fill="EAF4F1"/>
            <w:vAlign w:val="top"/>
          </w:tcPr>
          <w:p>
            <w:pPr>
              <w:spacing w:after="0"/>
            </w:pPr>
            <w:r/>
            <w:r>
              <w:rPr>
                <w:rFonts w:ascii="Arial" w:hAnsi="Arial" w:eastAsia="Arial"/>
                <w:b w:val="0"/>
                <w:sz w:val="16"/>
              </w:rPr>
              <w:t>55-85</w:t>
            </w:r>
          </w:p>
        </w:tc>
      </w:tr>
    </w:tbl>
    <w:p>
      <w:pPr>
        <w:spacing w:after="80"/>
      </w:pPr>
    </w:p>
    <w:p>
      <w:pPr>
        <w:pStyle w:val="CodeBlock"/>
        <w:spacing w:after="80"/>
      </w:pPr>
      <w:r>
        <w:t>required_progress = months_elapsed / total_months_to_target</w:t>
      </w:r>
    </w:p>
    <w:p>
      <w:pPr>
        <w:pStyle w:val="CodeBlock"/>
        <w:spacing w:after="80"/>
      </w:pPr>
      <w:r>
        <w:t>actual_progress = verified_current_progress / target_value</w:t>
      </w:r>
    </w:p>
    <w:p>
      <w:pPr>
        <w:pStyle w:val="CodeBlock"/>
        <w:spacing w:after="80"/>
      </w:pPr>
      <w:r>
        <w:t>promise_gap = required_progress - actual_progress</w:t>
      </w:r>
    </w:p>
    <w:p>
      <w:pPr>
        <w:pStyle w:val="CodeBlock"/>
        <w:spacing w:after="80"/>
      </w:pPr>
      <w:r/>
    </w:p>
    <w:p>
      <w:pPr>
        <w:pStyle w:val="CodeBlock"/>
        <w:spacing w:after="80"/>
      </w:pPr>
      <w:r>
        <w:t>if deadline_passed and not achieved: status = "broken"</w:t>
      </w:r>
    </w:p>
    <w:p>
      <w:pPr>
        <w:pStyle w:val="CodeBlock"/>
        <w:spacing w:after="80"/>
      </w:pPr>
      <w:r>
        <w:t>elif no_update_months &gt;= 12: status = "gone_silent"</w:t>
      </w:r>
    </w:p>
    <w:p>
      <w:pPr>
        <w:pStyle w:val="CodeBlock"/>
        <w:spacing w:after="80"/>
      </w:pPr>
      <w:r>
        <w:t>elif promise_gap &gt;= 0.25: status = "at_risk"</w:t>
      </w:r>
    </w:p>
    <w:p>
      <w:pPr>
        <w:pStyle w:val="CodeBlock"/>
        <w:spacing w:after="80"/>
      </w:pPr>
      <w:r>
        <w:t>elif promise_gap &gt;= 0.10: status = "slightly_behind"</w:t>
      </w:r>
    </w:p>
    <w:p>
      <w:pPr>
        <w:pStyle w:val="CodeBlock"/>
        <w:spacing w:after="80"/>
      </w:pPr>
      <w:r>
        <w:t>else: status = "on_track"</w:t>
      </w:r>
    </w:p>
    <w:p>
      <w:pPr>
        <w:pStyle w:val="Heading2"/>
        <w:spacing w:after="80"/>
      </w:pPr>
      <w:r>
        <w:t>6.3 Regulatory Flag Score</w:t>
      </w:r>
    </w:p>
    <w:p>
      <w:pPr>
        <w:spacing w:after="80"/>
      </w:pPr>
      <w:r>
        <w:t>Measures formal enforcement, fines, legal actions, or disclosure issues. Regulatory sources usually carry high evidence confidence because they are official.</w:t>
      </w:r>
    </w:p>
    <w:tbl>
      <w:tblPr>
        <w:tblStyle w:val="TableGrid"/>
        <w:tblW w:type="auto" w:w="0"/>
        <w:jc w:val="center"/>
        <w:tblLook w:firstColumn="1" w:firstRow="1" w:lastColumn="0" w:lastRow="0" w:noHBand="0" w:noVBand="1" w:val="04A0"/>
      </w:tblPr>
      <w:tblGrid>
        <w:gridCol w:w="5184"/>
        <w:gridCol w:w="5184"/>
      </w:tblGrid>
      <w:tr>
        <w:tc>
          <w:tcPr>
            <w:tcW w:type="dxa" w:w="4608"/>
            <w:shd w:fill="007866"/>
          </w:tcPr>
          <w:p>
            <w:pPr>
              <w:spacing w:after="0"/>
            </w:pPr>
            <w:r/>
            <w:r>
              <w:rPr>
                <w:rFonts w:ascii="Arial" w:hAnsi="Arial" w:eastAsia="Arial"/>
                <w:b/>
                <w:color w:val="FFFFFF"/>
                <w:sz w:val="16"/>
              </w:rPr>
              <w:t>Event Type</w:t>
            </w:r>
          </w:p>
        </w:tc>
        <w:tc>
          <w:tcPr>
            <w:tcW w:type="dxa" w:w="4320"/>
            <w:shd w:fill="007866"/>
          </w:tcPr>
          <w:p>
            <w:pPr>
              <w:spacing w:after="0"/>
            </w:pPr>
            <w:r/>
            <w:r>
              <w:rPr>
                <w:rFonts w:ascii="Arial" w:hAnsi="Arial" w:eastAsia="Arial"/>
                <w:b/>
                <w:color w:val="FFFFFF"/>
                <w:sz w:val="16"/>
              </w:rPr>
              <w:t>Default Score Impact</w:t>
            </w:r>
          </w:p>
        </w:tc>
      </w:tr>
      <w:tr>
        <w:tc>
          <w:tcPr>
            <w:tcW w:type="dxa" w:w="4608"/>
            <w:shd w:fill="EAF4F1"/>
            <w:vAlign w:val="top"/>
          </w:tcPr>
          <w:p>
            <w:pPr>
              <w:spacing w:after="0"/>
            </w:pPr>
            <w:r/>
            <w:r>
              <w:rPr>
                <w:rFonts w:ascii="Arial" w:hAnsi="Arial" w:eastAsia="Arial"/>
                <w:b w:val="0"/>
                <w:sz w:val="16"/>
              </w:rPr>
              <w:t>Minor disclosure warning</w:t>
            </w:r>
          </w:p>
        </w:tc>
        <w:tc>
          <w:tcPr>
            <w:tcW w:type="dxa" w:w="4320"/>
            <w:shd w:fill="EAF4F1"/>
            <w:vAlign w:val="top"/>
          </w:tcPr>
          <w:p>
            <w:pPr>
              <w:spacing w:after="0"/>
            </w:pPr>
            <w:r/>
            <w:r>
              <w:rPr>
                <w:rFonts w:ascii="Arial" w:hAnsi="Arial" w:eastAsia="Arial"/>
                <w:b w:val="0"/>
                <w:sz w:val="16"/>
              </w:rPr>
              <w:t>15-30</w:t>
            </w:r>
          </w:p>
        </w:tc>
      </w:tr>
      <w:tr>
        <w:tc>
          <w:tcPr>
            <w:tcW w:type="dxa" w:w="4608"/>
            <w:vAlign w:val="top"/>
          </w:tcPr>
          <w:p>
            <w:pPr>
              <w:spacing w:after="0"/>
            </w:pPr>
            <w:r/>
            <w:r>
              <w:rPr>
                <w:rFonts w:ascii="Arial" w:hAnsi="Arial" w:eastAsia="Arial"/>
                <w:b w:val="0"/>
                <w:sz w:val="16"/>
              </w:rPr>
              <w:t>Moderate fine or enforcement notice</w:t>
            </w:r>
          </w:p>
        </w:tc>
        <w:tc>
          <w:tcPr>
            <w:tcW w:type="dxa" w:w="4320"/>
            <w:vAlign w:val="top"/>
          </w:tcPr>
          <w:p>
            <w:pPr>
              <w:spacing w:after="0"/>
            </w:pPr>
            <w:r/>
            <w:r>
              <w:rPr>
                <w:rFonts w:ascii="Arial" w:hAnsi="Arial" w:eastAsia="Arial"/>
                <w:b w:val="0"/>
                <w:sz w:val="16"/>
              </w:rPr>
              <w:t>35-60</w:t>
            </w:r>
          </w:p>
        </w:tc>
      </w:tr>
      <w:tr>
        <w:tc>
          <w:tcPr>
            <w:tcW w:type="dxa" w:w="4608"/>
            <w:shd w:fill="EAF4F1"/>
            <w:vAlign w:val="top"/>
          </w:tcPr>
          <w:p>
            <w:pPr>
              <w:spacing w:after="0"/>
            </w:pPr>
            <w:r/>
            <w:r>
              <w:rPr>
                <w:rFonts w:ascii="Arial" w:hAnsi="Arial" w:eastAsia="Arial"/>
                <w:b w:val="0"/>
                <w:sz w:val="16"/>
              </w:rPr>
              <w:t>Major environmental / labour / governance fine</w:t>
            </w:r>
          </w:p>
        </w:tc>
        <w:tc>
          <w:tcPr>
            <w:tcW w:type="dxa" w:w="4320"/>
            <w:shd w:fill="EAF4F1"/>
            <w:vAlign w:val="top"/>
          </w:tcPr>
          <w:p>
            <w:pPr>
              <w:spacing w:after="0"/>
            </w:pPr>
            <w:r/>
            <w:r>
              <w:rPr>
                <w:rFonts w:ascii="Arial" w:hAnsi="Arial" w:eastAsia="Arial"/>
                <w:b w:val="0"/>
                <w:sz w:val="16"/>
              </w:rPr>
              <w:t>60-85</w:t>
            </w:r>
          </w:p>
        </w:tc>
      </w:tr>
      <w:tr>
        <w:tc>
          <w:tcPr>
            <w:tcW w:type="dxa" w:w="4608"/>
            <w:vAlign w:val="top"/>
          </w:tcPr>
          <w:p>
            <w:pPr>
              <w:spacing w:after="0"/>
            </w:pPr>
            <w:r/>
            <w:r>
              <w:rPr>
                <w:rFonts w:ascii="Arial" w:hAnsi="Arial" w:eastAsia="Arial"/>
                <w:b w:val="0"/>
                <w:sz w:val="16"/>
              </w:rPr>
              <w:t>Repeated enforcement across multiple jurisdictions</w:t>
            </w:r>
          </w:p>
        </w:tc>
        <w:tc>
          <w:tcPr>
            <w:tcW w:type="dxa" w:w="4320"/>
            <w:vAlign w:val="top"/>
          </w:tcPr>
          <w:p>
            <w:pPr>
              <w:spacing w:after="0"/>
            </w:pPr>
            <w:r/>
            <w:r>
              <w:rPr>
                <w:rFonts w:ascii="Arial" w:hAnsi="Arial" w:eastAsia="Arial"/>
                <w:b w:val="0"/>
                <w:sz w:val="16"/>
              </w:rPr>
              <w:t>75-95</w:t>
            </w:r>
          </w:p>
        </w:tc>
      </w:tr>
      <w:tr>
        <w:tc>
          <w:tcPr>
            <w:tcW w:type="dxa" w:w="4608"/>
            <w:shd w:fill="EAF4F1"/>
            <w:vAlign w:val="top"/>
          </w:tcPr>
          <w:p>
            <w:pPr>
              <w:spacing w:after="0"/>
            </w:pPr>
            <w:r/>
            <w:r>
              <w:rPr>
                <w:rFonts w:ascii="Arial" w:hAnsi="Arial" w:eastAsia="Arial"/>
                <w:b w:val="0"/>
                <w:sz w:val="16"/>
              </w:rPr>
              <w:t>Criminal investigation / severe governance failure</w:t>
            </w:r>
          </w:p>
        </w:tc>
        <w:tc>
          <w:tcPr>
            <w:tcW w:type="dxa" w:w="4320"/>
            <w:shd w:fill="EAF4F1"/>
            <w:vAlign w:val="top"/>
          </w:tcPr>
          <w:p>
            <w:pPr>
              <w:spacing w:after="0"/>
            </w:pPr>
            <w:r/>
            <w:r>
              <w:rPr>
                <w:rFonts w:ascii="Arial" w:hAnsi="Arial" w:eastAsia="Arial"/>
                <w:b w:val="0"/>
                <w:sz w:val="16"/>
              </w:rPr>
              <w:t>85-100</w:t>
            </w:r>
          </w:p>
        </w:tc>
      </w:tr>
    </w:tbl>
    <w:p>
      <w:pPr>
        <w:spacing w:after="80"/>
      </w:pPr>
    </w:p>
    <w:p>
      <w:pPr>
        <w:pStyle w:val="Heading2"/>
        <w:spacing w:after="80"/>
      </w:pPr>
      <w:r>
        <w:t>6.4 Sentiment Drift Score</w:t>
      </w:r>
    </w:p>
    <w:p>
      <w:pPr>
        <w:spacing w:after="80"/>
      </w:pPr>
      <w:r>
        <w:t>Measures whether employee or stakeholder commentary is worsening around ESG-relevant topics. This signal should not trigger Red by itself; it is a weak signal that supports other evidence.</w:t>
      </w:r>
    </w:p>
    <w:tbl>
      <w:tblPr>
        <w:tblStyle w:val="TableGrid"/>
        <w:tblW w:type="auto" w:w="0"/>
        <w:jc w:val="center"/>
        <w:tblLook w:firstColumn="1" w:firstRow="1" w:lastColumn="0" w:lastRow="0" w:noHBand="0" w:noVBand="1" w:val="04A0"/>
      </w:tblPr>
      <w:tblGrid>
        <w:gridCol w:w="5184"/>
        <w:gridCol w:w="5184"/>
      </w:tblGrid>
      <w:tr>
        <w:tc>
          <w:tcPr>
            <w:tcW w:type="dxa" w:w="2592"/>
            <w:shd w:fill="007866"/>
          </w:tcPr>
          <w:p>
            <w:pPr>
              <w:spacing w:after="0"/>
            </w:pPr>
            <w:r/>
            <w:r>
              <w:rPr>
                <w:rFonts w:ascii="Arial" w:hAnsi="Arial" w:eastAsia="Arial"/>
                <w:b/>
                <w:color w:val="FFFFFF"/>
                <w:sz w:val="16"/>
              </w:rPr>
              <w:t>Input</w:t>
            </w:r>
          </w:p>
        </w:tc>
        <w:tc>
          <w:tcPr>
            <w:tcW w:type="dxa" w:w="7920"/>
            <w:shd w:fill="007866"/>
          </w:tcPr>
          <w:p>
            <w:pPr>
              <w:spacing w:after="0"/>
            </w:pPr>
            <w:r/>
            <w:r>
              <w:rPr>
                <w:rFonts w:ascii="Arial" w:hAnsi="Arial" w:eastAsia="Arial"/>
                <w:b/>
                <w:color w:val="FFFFFF"/>
                <w:sz w:val="16"/>
              </w:rPr>
              <w:t>Logic</w:t>
            </w:r>
          </w:p>
        </w:tc>
      </w:tr>
      <w:tr>
        <w:tc>
          <w:tcPr>
            <w:tcW w:type="dxa" w:w="2592"/>
            <w:shd w:fill="EAF4F1"/>
            <w:vAlign w:val="top"/>
          </w:tcPr>
          <w:p>
            <w:pPr>
              <w:spacing w:after="0"/>
            </w:pPr>
            <w:r/>
            <w:r>
              <w:rPr>
                <w:rFonts w:ascii="Arial" w:hAnsi="Arial" w:eastAsia="Arial"/>
                <w:b w:val="0"/>
                <w:sz w:val="16"/>
              </w:rPr>
              <w:t>Employee reviews</w:t>
            </w:r>
          </w:p>
        </w:tc>
        <w:tc>
          <w:tcPr>
            <w:tcW w:type="dxa" w:w="7920"/>
            <w:shd w:fill="EAF4F1"/>
            <w:vAlign w:val="top"/>
          </w:tcPr>
          <w:p>
            <w:pPr>
              <w:spacing w:after="0"/>
            </w:pPr>
            <w:r/>
            <w:r>
              <w:rPr>
                <w:rFonts w:ascii="Arial" w:hAnsi="Arial" w:eastAsia="Arial"/>
                <w:b w:val="0"/>
                <w:sz w:val="16"/>
              </w:rPr>
              <w:t>Look for repeated themes: safety, discrimination, labour conditions, ethics, harassment, unrealistic sustainability claims.</w:t>
            </w:r>
          </w:p>
        </w:tc>
      </w:tr>
      <w:tr>
        <w:tc>
          <w:tcPr>
            <w:tcW w:type="dxa" w:w="2592"/>
            <w:vAlign w:val="top"/>
          </w:tcPr>
          <w:p>
            <w:pPr>
              <w:spacing w:after="0"/>
            </w:pPr>
            <w:r/>
            <w:r>
              <w:rPr>
                <w:rFonts w:ascii="Arial" w:hAnsi="Arial" w:eastAsia="Arial"/>
                <w:b w:val="0"/>
                <w:sz w:val="16"/>
              </w:rPr>
              <w:t>Trend</w:t>
            </w:r>
          </w:p>
        </w:tc>
        <w:tc>
          <w:tcPr>
            <w:tcW w:type="dxa" w:w="7920"/>
            <w:vAlign w:val="top"/>
          </w:tcPr>
          <w:p>
            <w:pPr>
              <w:spacing w:after="0"/>
            </w:pPr>
            <w:r/>
            <w:r>
              <w:rPr>
                <w:rFonts w:ascii="Arial" w:hAnsi="Arial" w:eastAsia="Arial"/>
                <w:b w:val="0"/>
                <w:sz w:val="16"/>
              </w:rPr>
              <w:t>Compare current 30-90 day sentiment with previous period.</w:t>
            </w:r>
          </w:p>
        </w:tc>
      </w:tr>
      <w:tr>
        <w:tc>
          <w:tcPr>
            <w:tcW w:type="dxa" w:w="2592"/>
            <w:shd w:fill="EAF4F1"/>
            <w:vAlign w:val="top"/>
          </w:tcPr>
          <w:p>
            <w:pPr>
              <w:spacing w:after="0"/>
            </w:pPr>
            <w:r/>
            <w:r>
              <w:rPr>
                <w:rFonts w:ascii="Arial" w:hAnsi="Arial" w:eastAsia="Arial"/>
                <w:b w:val="0"/>
                <w:sz w:val="16"/>
              </w:rPr>
              <w:t>Volume</w:t>
            </w:r>
          </w:p>
        </w:tc>
        <w:tc>
          <w:tcPr>
            <w:tcW w:type="dxa" w:w="7920"/>
            <w:shd w:fill="EAF4F1"/>
            <w:vAlign w:val="top"/>
          </w:tcPr>
          <w:p>
            <w:pPr>
              <w:spacing w:after="0"/>
            </w:pPr>
            <w:r/>
            <w:r>
              <w:rPr>
                <w:rFonts w:ascii="Arial" w:hAnsi="Arial" w:eastAsia="Arial"/>
                <w:b w:val="0"/>
                <w:sz w:val="16"/>
              </w:rPr>
              <w:t>Ignore very small sample sizes unless supported by external evidence.</w:t>
            </w:r>
          </w:p>
        </w:tc>
      </w:tr>
      <w:tr>
        <w:tc>
          <w:tcPr>
            <w:tcW w:type="dxa" w:w="2592"/>
            <w:vAlign w:val="top"/>
          </w:tcPr>
          <w:p>
            <w:pPr>
              <w:spacing w:after="0"/>
            </w:pPr>
            <w:r/>
            <w:r>
              <w:rPr>
                <w:rFonts w:ascii="Arial" w:hAnsi="Arial" w:eastAsia="Arial"/>
                <w:b w:val="0"/>
                <w:sz w:val="16"/>
              </w:rPr>
              <w:t>Corroboration</w:t>
            </w:r>
          </w:p>
        </w:tc>
        <w:tc>
          <w:tcPr>
            <w:tcW w:type="dxa" w:w="7920"/>
            <w:vAlign w:val="top"/>
          </w:tcPr>
          <w:p>
            <w:pPr>
              <w:spacing w:after="0"/>
            </w:pPr>
            <w:r/>
            <w:r>
              <w:rPr>
                <w:rFonts w:ascii="Arial" w:hAnsi="Arial" w:eastAsia="Arial"/>
                <w:b w:val="0"/>
                <w:sz w:val="16"/>
              </w:rPr>
              <w:t>Raise impact only if sentiment aligns with news, regulatory, or supply chain signals.</w:t>
            </w:r>
          </w:p>
        </w:tc>
      </w:tr>
    </w:tbl>
    <w:p>
      <w:pPr>
        <w:spacing w:after="80"/>
      </w:pPr>
    </w:p>
    <w:p>
      <w:pPr>
        <w:pStyle w:val="Heading2"/>
        <w:spacing w:after="80"/>
      </w:pPr>
      <w:r>
        <w:t>6.5 Talk-vs-Action Gap Score</w:t>
      </w:r>
    </w:p>
    <w:p>
      <w:pPr>
        <w:spacing w:after="80"/>
      </w:pPr>
      <w:r>
        <w:t>Checks whether company ESG language is backed by external evidence. This is a greenwashing detection layer.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584"/>
            <w:shd w:fill="007866"/>
          </w:tcPr>
          <w:p>
            <w:pPr>
              <w:spacing w:after="0"/>
            </w:pPr>
            <w:r/>
            <w:r>
              <w:rPr>
                <w:rFonts w:ascii="Arial" w:hAnsi="Arial" w:eastAsia="Arial"/>
                <w:b/>
                <w:color w:val="FFFFFF"/>
                <w:sz w:val="16"/>
              </w:rPr>
              <w:t>Talk Level</w:t>
            </w:r>
          </w:p>
        </w:tc>
        <w:tc>
          <w:tcPr>
            <w:tcW w:type="dxa" w:w="2016"/>
            <w:shd w:fill="007866"/>
          </w:tcPr>
          <w:p>
            <w:pPr>
              <w:spacing w:after="0"/>
            </w:pPr>
            <w:r/>
            <w:r>
              <w:rPr>
                <w:rFonts w:ascii="Arial" w:hAnsi="Arial" w:eastAsia="Arial"/>
                <w:b/>
                <w:color w:val="FFFFFF"/>
                <w:sz w:val="16"/>
              </w:rPr>
              <w:t>Action Evidence</w:t>
            </w:r>
          </w:p>
        </w:tc>
        <w:tc>
          <w:tcPr>
            <w:tcW w:type="dxa" w:w="5472"/>
            <w:shd w:fill="007866"/>
          </w:tcPr>
          <w:p>
            <w:pPr>
              <w:spacing w:after="0"/>
            </w:pPr>
            <w:r/>
            <w:r>
              <w:rPr>
                <w:rFonts w:ascii="Arial" w:hAnsi="Arial" w:eastAsia="Arial"/>
                <w:b/>
                <w:color w:val="FFFFFF"/>
                <w:sz w:val="16"/>
              </w:rPr>
              <w:t>Result</w:t>
            </w:r>
          </w:p>
        </w:tc>
        <w:tc>
          <w:tcPr>
            <w:tcW w:type="dxa" w:w="1584"/>
            <w:shd w:fill="007866"/>
          </w:tcPr>
          <w:p>
            <w:pPr>
              <w:spacing w:after="0"/>
            </w:pPr>
            <w:r/>
            <w:r>
              <w:rPr>
                <w:rFonts w:ascii="Arial" w:hAnsi="Arial" w:eastAsia="Arial"/>
                <w:b/>
                <w:color w:val="FFFFFF"/>
                <w:sz w:val="16"/>
              </w:rPr>
              <w:t>Typical Score</w:t>
            </w:r>
          </w:p>
        </w:tc>
      </w:tr>
      <w:tr>
        <w:tc>
          <w:tcPr>
            <w:tcW w:type="dxa" w:w="1584"/>
            <w:shd w:fill="EAF4F1"/>
            <w:vAlign w:val="top"/>
          </w:tcPr>
          <w:p>
            <w:pPr>
              <w:spacing w:after="0"/>
            </w:pPr>
            <w:r/>
            <w:r>
              <w:rPr>
                <w:rFonts w:ascii="Arial" w:hAnsi="Arial" w:eastAsia="Arial"/>
                <w:b w:val="0"/>
                <w:sz w:val="16"/>
              </w:rPr>
              <w:t>High</w:t>
            </w:r>
          </w:p>
        </w:tc>
        <w:tc>
          <w:tcPr>
            <w:tcW w:type="dxa" w:w="2016"/>
            <w:shd w:fill="EAF4F1"/>
            <w:vAlign w:val="top"/>
          </w:tcPr>
          <w:p>
            <w:pPr>
              <w:spacing w:after="0"/>
            </w:pPr>
            <w:r/>
            <w:r>
              <w:rPr>
                <w:rFonts w:ascii="Arial" w:hAnsi="Arial" w:eastAsia="Arial"/>
                <w:b w:val="0"/>
                <w:sz w:val="16"/>
              </w:rPr>
              <w:t>High</w:t>
            </w:r>
          </w:p>
        </w:tc>
        <w:tc>
          <w:tcPr>
            <w:tcW w:type="dxa" w:w="5472"/>
            <w:shd w:fill="EAF4F1"/>
            <w:vAlign w:val="top"/>
          </w:tcPr>
          <w:p>
            <w:pPr>
              <w:spacing w:after="0"/>
            </w:pPr>
            <w:r/>
            <w:r>
              <w:rPr>
                <w:rFonts w:ascii="Arial" w:hAnsi="Arial" w:eastAsia="Arial"/>
                <w:b w:val="0"/>
                <w:sz w:val="16"/>
              </w:rPr>
              <w:t>Claims appear supported. Low greenwashing risk.</w:t>
            </w:r>
          </w:p>
        </w:tc>
        <w:tc>
          <w:tcPr>
            <w:tcW w:type="dxa" w:w="1584"/>
            <w:shd w:fill="EAF4F1"/>
            <w:vAlign w:val="top"/>
          </w:tcPr>
          <w:p>
            <w:pPr>
              <w:spacing w:after="0"/>
            </w:pPr>
            <w:r/>
            <w:r>
              <w:rPr>
                <w:rFonts w:ascii="Arial" w:hAnsi="Arial" w:eastAsia="Arial"/>
                <w:b w:val="0"/>
                <w:sz w:val="16"/>
              </w:rPr>
              <w:t>0-25</w:t>
            </w:r>
          </w:p>
        </w:tc>
      </w:tr>
      <w:tr>
        <w:tc>
          <w:tcPr>
            <w:tcW w:type="dxa" w:w="1584"/>
            <w:vAlign w:val="top"/>
          </w:tcPr>
          <w:p>
            <w:pPr>
              <w:spacing w:after="0"/>
            </w:pPr>
            <w:r/>
            <w:r>
              <w:rPr>
                <w:rFonts w:ascii="Arial" w:hAnsi="Arial" w:eastAsia="Arial"/>
                <w:b w:val="0"/>
                <w:sz w:val="16"/>
              </w:rPr>
              <w:t>High</w:t>
            </w:r>
          </w:p>
        </w:tc>
        <w:tc>
          <w:tcPr>
            <w:tcW w:type="dxa" w:w="2016"/>
            <w:vAlign w:val="top"/>
          </w:tcPr>
          <w:p>
            <w:pPr>
              <w:spacing w:after="0"/>
            </w:pPr>
            <w:r/>
            <w:r>
              <w:rPr>
                <w:rFonts w:ascii="Arial" w:hAnsi="Arial" w:eastAsia="Arial"/>
                <w:b w:val="0"/>
                <w:sz w:val="16"/>
              </w:rPr>
              <w:t>Medium</w:t>
            </w:r>
          </w:p>
        </w:tc>
        <w:tc>
          <w:tcPr>
            <w:tcW w:type="dxa" w:w="5472"/>
            <w:vAlign w:val="top"/>
          </w:tcPr>
          <w:p>
            <w:pPr>
              <w:spacing w:after="0"/>
            </w:pPr>
            <w:r/>
            <w:r>
              <w:rPr>
                <w:rFonts w:ascii="Arial" w:hAnsi="Arial" w:eastAsia="Arial"/>
                <w:b w:val="0"/>
                <w:sz w:val="16"/>
              </w:rPr>
              <w:t>Claims partly supported. Monitor evidence quality.</w:t>
            </w:r>
          </w:p>
        </w:tc>
        <w:tc>
          <w:tcPr>
            <w:tcW w:type="dxa" w:w="1584"/>
            <w:vAlign w:val="top"/>
          </w:tcPr>
          <w:p>
            <w:pPr>
              <w:spacing w:after="0"/>
            </w:pPr>
            <w:r/>
            <w:r>
              <w:rPr>
                <w:rFonts w:ascii="Arial" w:hAnsi="Arial" w:eastAsia="Arial"/>
                <w:b w:val="0"/>
                <w:sz w:val="16"/>
              </w:rPr>
              <w:t>25-50</w:t>
            </w:r>
          </w:p>
        </w:tc>
      </w:tr>
      <w:tr>
        <w:tc>
          <w:tcPr>
            <w:tcW w:type="dxa" w:w="1584"/>
            <w:shd w:fill="EAF4F1"/>
            <w:vAlign w:val="top"/>
          </w:tcPr>
          <w:p>
            <w:pPr>
              <w:spacing w:after="0"/>
            </w:pPr>
            <w:r/>
            <w:r>
              <w:rPr>
                <w:rFonts w:ascii="Arial" w:hAnsi="Arial" w:eastAsia="Arial"/>
                <w:b w:val="0"/>
                <w:sz w:val="16"/>
              </w:rPr>
              <w:t>High</w:t>
            </w:r>
          </w:p>
        </w:tc>
        <w:tc>
          <w:tcPr>
            <w:tcW w:type="dxa" w:w="2016"/>
            <w:shd w:fill="EAF4F1"/>
            <w:vAlign w:val="top"/>
          </w:tcPr>
          <w:p>
            <w:pPr>
              <w:spacing w:after="0"/>
            </w:pPr>
            <w:r/>
            <w:r>
              <w:rPr>
                <w:rFonts w:ascii="Arial" w:hAnsi="Arial" w:eastAsia="Arial"/>
                <w:b w:val="0"/>
                <w:sz w:val="16"/>
              </w:rPr>
              <w:t>Low</w:t>
            </w:r>
          </w:p>
        </w:tc>
        <w:tc>
          <w:tcPr>
            <w:tcW w:type="dxa" w:w="5472"/>
            <w:shd w:fill="EAF4F1"/>
            <w:vAlign w:val="top"/>
          </w:tcPr>
          <w:p>
            <w:pPr>
              <w:spacing w:after="0"/>
            </w:pPr>
            <w:r/>
            <w:r>
              <w:rPr>
                <w:rFonts w:ascii="Arial" w:hAnsi="Arial" w:eastAsia="Arial"/>
                <w:b w:val="0"/>
                <w:sz w:val="16"/>
              </w:rPr>
              <w:t>Possible greenwashing risk.</w:t>
            </w:r>
          </w:p>
        </w:tc>
        <w:tc>
          <w:tcPr>
            <w:tcW w:type="dxa" w:w="1584"/>
            <w:shd w:fill="EAF4F1"/>
            <w:vAlign w:val="top"/>
          </w:tcPr>
          <w:p>
            <w:pPr>
              <w:spacing w:after="0"/>
            </w:pPr>
            <w:r/>
            <w:r>
              <w:rPr>
                <w:rFonts w:ascii="Arial" w:hAnsi="Arial" w:eastAsia="Arial"/>
                <w:b w:val="0"/>
                <w:sz w:val="16"/>
              </w:rPr>
              <w:t>55-85</w:t>
            </w:r>
          </w:p>
        </w:tc>
      </w:tr>
      <w:tr>
        <w:tc>
          <w:tcPr>
            <w:tcW w:type="dxa" w:w="1584"/>
            <w:vAlign w:val="top"/>
          </w:tcPr>
          <w:p>
            <w:pPr>
              <w:spacing w:after="0"/>
            </w:pPr>
            <w:r/>
            <w:r>
              <w:rPr>
                <w:rFonts w:ascii="Arial" w:hAnsi="Arial" w:eastAsia="Arial"/>
                <w:b w:val="0"/>
                <w:sz w:val="16"/>
              </w:rPr>
              <w:t>Low</w:t>
            </w:r>
          </w:p>
        </w:tc>
        <w:tc>
          <w:tcPr>
            <w:tcW w:type="dxa" w:w="2016"/>
            <w:vAlign w:val="top"/>
          </w:tcPr>
          <w:p>
            <w:pPr>
              <w:spacing w:after="0"/>
            </w:pPr>
            <w:r/>
            <w:r>
              <w:rPr>
                <w:rFonts w:ascii="Arial" w:hAnsi="Arial" w:eastAsia="Arial"/>
                <w:b w:val="0"/>
                <w:sz w:val="16"/>
              </w:rPr>
              <w:t>High</w:t>
            </w:r>
          </w:p>
        </w:tc>
        <w:tc>
          <w:tcPr>
            <w:tcW w:type="dxa" w:w="5472"/>
            <w:vAlign w:val="top"/>
          </w:tcPr>
          <w:p>
            <w:pPr>
              <w:spacing w:after="0"/>
            </w:pPr>
            <w:r/>
            <w:r>
              <w:rPr>
                <w:rFonts w:ascii="Arial" w:hAnsi="Arial" w:eastAsia="Arial"/>
                <w:b w:val="0"/>
                <w:sz w:val="16"/>
              </w:rPr>
              <w:t>Quiet ESG improvement; not a risk by itself.</w:t>
            </w:r>
          </w:p>
        </w:tc>
        <w:tc>
          <w:tcPr>
            <w:tcW w:type="dxa" w:w="1584"/>
            <w:vAlign w:val="top"/>
          </w:tcPr>
          <w:p>
            <w:pPr>
              <w:spacing w:after="0"/>
            </w:pPr>
            <w:r/>
            <w:r>
              <w:rPr>
                <w:rFonts w:ascii="Arial" w:hAnsi="Arial" w:eastAsia="Arial"/>
                <w:b w:val="0"/>
                <w:sz w:val="16"/>
              </w:rPr>
              <w:t>0-20</w:t>
            </w:r>
          </w:p>
        </w:tc>
      </w:tr>
      <w:tr>
        <w:tc>
          <w:tcPr>
            <w:tcW w:type="dxa" w:w="1584"/>
            <w:shd w:fill="EAF4F1"/>
            <w:vAlign w:val="top"/>
          </w:tcPr>
          <w:p>
            <w:pPr>
              <w:spacing w:after="0"/>
            </w:pPr>
            <w:r/>
            <w:r>
              <w:rPr>
                <w:rFonts w:ascii="Arial" w:hAnsi="Arial" w:eastAsia="Arial"/>
                <w:b w:val="0"/>
                <w:sz w:val="16"/>
              </w:rPr>
              <w:t>Low</w:t>
            </w:r>
          </w:p>
        </w:tc>
        <w:tc>
          <w:tcPr>
            <w:tcW w:type="dxa" w:w="2016"/>
            <w:shd w:fill="EAF4F1"/>
            <w:vAlign w:val="top"/>
          </w:tcPr>
          <w:p>
            <w:pPr>
              <w:spacing w:after="0"/>
            </w:pPr>
            <w:r/>
            <w:r>
              <w:rPr>
                <w:rFonts w:ascii="Arial" w:hAnsi="Arial" w:eastAsia="Arial"/>
                <w:b w:val="0"/>
                <w:sz w:val="16"/>
              </w:rPr>
              <w:t>Low</w:t>
            </w:r>
          </w:p>
        </w:tc>
        <w:tc>
          <w:tcPr>
            <w:tcW w:type="dxa" w:w="5472"/>
            <w:shd w:fill="EAF4F1"/>
            <w:vAlign w:val="top"/>
          </w:tcPr>
          <w:p>
            <w:pPr>
              <w:spacing w:after="0"/>
            </w:pPr>
            <w:r/>
            <w:r>
              <w:rPr>
                <w:rFonts w:ascii="Arial" w:hAnsi="Arial" w:eastAsia="Arial"/>
                <w:b w:val="0"/>
                <w:sz w:val="16"/>
              </w:rPr>
              <w:t>Weak ESG activity but not necessarily greenwashing.</w:t>
            </w:r>
          </w:p>
        </w:tc>
        <w:tc>
          <w:tcPr>
            <w:tcW w:type="dxa" w:w="1584"/>
            <w:shd w:fill="EAF4F1"/>
            <w:vAlign w:val="top"/>
          </w:tcPr>
          <w:p>
            <w:pPr>
              <w:spacing w:after="0"/>
            </w:pPr>
            <w:r/>
            <w:r>
              <w:rPr>
                <w:rFonts w:ascii="Arial" w:hAnsi="Arial" w:eastAsia="Arial"/>
                <w:b w:val="0"/>
                <w:sz w:val="16"/>
              </w:rPr>
              <w:t>30-55</w:t>
            </w:r>
          </w:p>
        </w:tc>
      </w:tr>
    </w:tbl>
    <w:p>
      <w:pPr>
        <w:spacing w:after="80"/>
      </w:pPr>
    </w:p>
    <w:p>
      <w:pPr>
        <w:pStyle w:val="CodeBlock"/>
        <w:spacing w:after="80"/>
      </w:pPr>
      <w:r>
        <w:t>talk_score = NLP_specificity_score(company_reports + press_releases)</w:t>
      </w:r>
    </w:p>
    <w:p>
      <w:pPr>
        <w:pStyle w:val="CodeBlock"/>
        <w:spacing w:after="80"/>
      </w:pPr>
      <w:r>
        <w:t>action_score = verified_action_score(filings + news + jobs + patents + suppliers)</w:t>
      </w:r>
    </w:p>
    <w:p>
      <w:pPr>
        <w:pStyle w:val="CodeBlock"/>
        <w:spacing w:after="80"/>
      </w:pPr>
      <w:r/>
    </w:p>
    <w:p>
      <w:pPr>
        <w:pStyle w:val="CodeBlock"/>
        <w:spacing w:after="80"/>
      </w:pPr>
      <w:r>
        <w:t>gap = talk_score - action_score</w:t>
      </w:r>
    </w:p>
    <w:p>
      <w:pPr>
        <w:pStyle w:val="CodeBlock"/>
        <w:spacing w:after="80"/>
      </w:pPr>
      <w:r>
        <w:t>if gap &gt; 50 and talk_score &gt; 70: talk_vs_action_gap_score = 80</w:t>
      </w:r>
    </w:p>
    <w:p>
      <w:pPr>
        <w:pStyle w:val="CodeBlock"/>
        <w:spacing w:after="80"/>
      </w:pPr>
      <w:r>
        <w:t>elif gap &gt; 30: talk_vs_action_gap_score = 60</w:t>
      </w:r>
    </w:p>
    <w:p>
      <w:pPr>
        <w:pStyle w:val="CodeBlock"/>
        <w:spacing w:after="80"/>
      </w:pPr>
      <w:r>
        <w:t>elif gap &gt; 15: talk_vs_action_gap_score = 40</w:t>
      </w:r>
    </w:p>
    <w:p>
      <w:pPr>
        <w:pStyle w:val="CodeBlock"/>
        <w:spacing w:after="80"/>
      </w:pPr>
      <w:r>
        <w:t>else: talk_vs_action_gap_score = 15</w:t>
      </w:r>
    </w:p>
    <w:p>
      <w:pPr>
        <w:pStyle w:val="Heading2"/>
        <w:spacing w:after="80"/>
      </w:pPr>
      <w:r>
        <w:t>6.6 Supply Chain Risk Score</w:t>
      </w:r>
    </w:p>
    <w:p>
      <w:pPr>
        <w:spacing w:after="80"/>
      </w:pPr>
      <w:r>
        <w:t>Detects whether supplier ESG issues contradict the parent company’s sustainability image. This helps prevent surface-level ESG scoring.</w:t>
      </w:r>
    </w:p>
    <w:tbl>
      <w:tblPr>
        <w:tblStyle w:val="TableGrid"/>
        <w:tblW w:type="auto" w:w="0"/>
        <w:jc w:val="center"/>
        <w:tblLook w:firstColumn="1" w:firstRow="1" w:lastColumn="0" w:lastRow="0" w:noHBand="0" w:noVBand="1" w:val="04A0"/>
      </w:tblPr>
      <w:tblGrid>
        <w:gridCol w:w="5184"/>
        <w:gridCol w:w="5184"/>
      </w:tblGrid>
      <w:tr>
        <w:tc>
          <w:tcPr>
            <w:tcW w:type="dxa" w:w="4896"/>
            <w:shd w:fill="007866"/>
          </w:tcPr>
          <w:p>
            <w:pPr>
              <w:spacing w:after="0"/>
            </w:pPr>
            <w:r/>
            <w:r>
              <w:rPr>
                <w:rFonts w:ascii="Arial" w:hAnsi="Arial" w:eastAsia="Arial"/>
                <w:b/>
                <w:color w:val="FFFFFF"/>
                <w:sz w:val="16"/>
              </w:rPr>
              <w:t>Supplier Evidence</w:t>
            </w:r>
          </w:p>
        </w:tc>
        <w:tc>
          <w:tcPr>
            <w:tcW w:type="dxa" w:w="5760"/>
            <w:shd w:fill="007866"/>
          </w:tcPr>
          <w:p>
            <w:pPr>
              <w:spacing w:after="0"/>
            </w:pPr>
            <w:r/>
            <w:r>
              <w:rPr>
                <w:rFonts w:ascii="Arial" w:hAnsi="Arial" w:eastAsia="Arial"/>
                <w:b/>
                <w:color w:val="FFFFFF"/>
                <w:sz w:val="16"/>
              </w:rPr>
              <w:t>Impact</w:t>
            </w:r>
          </w:p>
        </w:tc>
      </w:tr>
      <w:tr>
        <w:tc>
          <w:tcPr>
            <w:tcW w:type="dxa" w:w="4896"/>
            <w:shd w:fill="EAF4F1"/>
            <w:vAlign w:val="top"/>
          </w:tcPr>
          <w:p>
            <w:pPr>
              <w:spacing w:after="0"/>
            </w:pPr>
            <w:r/>
            <w:r>
              <w:rPr>
                <w:rFonts w:ascii="Arial" w:hAnsi="Arial" w:eastAsia="Arial"/>
                <w:b w:val="0"/>
                <w:sz w:val="16"/>
              </w:rPr>
              <w:t>Supplier named in official filing or verified procurement disclosure</w:t>
            </w:r>
          </w:p>
        </w:tc>
        <w:tc>
          <w:tcPr>
            <w:tcW w:type="dxa" w:w="5760"/>
            <w:shd w:fill="EAF4F1"/>
            <w:vAlign w:val="top"/>
          </w:tcPr>
          <w:p>
            <w:pPr>
              <w:spacing w:after="0"/>
            </w:pPr>
            <w:r/>
            <w:r>
              <w:rPr>
                <w:rFonts w:ascii="Arial" w:hAnsi="Arial" w:eastAsia="Arial"/>
                <w:b w:val="0"/>
                <w:sz w:val="16"/>
              </w:rPr>
              <w:t>High confidence supplier relationship.</w:t>
            </w:r>
          </w:p>
        </w:tc>
      </w:tr>
      <w:tr>
        <w:tc>
          <w:tcPr>
            <w:tcW w:type="dxa" w:w="4896"/>
            <w:vAlign w:val="top"/>
          </w:tcPr>
          <w:p>
            <w:pPr>
              <w:spacing w:after="0"/>
            </w:pPr>
            <w:r/>
            <w:r>
              <w:rPr>
                <w:rFonts w:ascii="Arial" w:hAnsi="Arial" w:eastAsia="Arial"/>
                <w:b w:val="0"/>
                <w:sz w:val="16"/>
              </w:rPr>
              <w:t>Supplier controversy appears in reputable news or regulator source</w:t>
            </w:r>
          </w:p>
        </w:tc>
        <w:tc>
          <w:tcPr>
            <w:tcW w:type="dxa" w:w="5760"/>
            <w:vAlign w:val="top"/>
          </w:tcPr>
          <w:p>
            <w:pPr>
              <w:spacing w:after="0"/>
            </w:pPr>
            <w:r/>
            <w:r>
              <w:rPr>
                <w:rFonts w:ascii="Arial" w:hAnsi="Arial" w:eastAsia="Arial"/>
                <w:b w:val="0"/>
                <w:sz w:val="16"/>
              </w:rPr>
              <w:t>High risk impact if supplier is material.</w:t>
            </w:r>
          </w:p>
        </w:tc>
      </w:tr>
      <w:tr>
        <w:tc>
          <w:tcPr>
            <w:tcW w:type="dxa" w:w="4896"/>
            <w:shd w:fill="EAF4F1"/>
            <w:vAlign w:val="top"/>
          </w:tcPr>
          <w:p>
            <w:pPr>
              <w:spacing w:after="0"/>
            </w:pPr>
            <w:r/>
            <w:r>
              <w:rPr>
                <w:rFonts w:ascii="Arial" w:hAnsi="Arial" w:eastAsia="Arial"/>
                <w:b w:val="0"/>
                <w:sz w:val="16"/>
              </w:rPr>
              <w:t>Supplier controversy appears only in weak source</w:t>
            </w:r>
          </w:p>
        </w:tc>
        <w:tc>
          <w:tcPr>
            <w:tcW w:type="dxa" w:w="5760"/>
            <w:shd w:fill="EAF4F1"/>
            <w:vAlign w:val="top"/>
          </w:tcPr>
          <w:p>
            <w:pPr>
              <w:spacing w:after="0"/>
            </w:pPr>
            <w:r/>
            <w:r>
              <w:rPr>
                <w:rFonts w:ascii="Arial" w:hAnsi="Arial" w:eastAsia="Arial"/>
                <w:b w:val="0"/>
                <w:sz w:val="16"/>
              </w:rPr>
              <w:t>Store as low confidence; do not trigger Red without confirmation.</w:t>
            </w:r>
          </w:p>
        </w:tc>
      </w:tr>
      <w:tr>
        <w:tc>
          <w:tcPr>
            <w:tcW w:type="dxa" w:w="4896"/>
            <w:vAlign w:val="top"/>
          </w:tcPr>
          <w:p>
            <w:pPr>
              <w:spacing w:after="0"/>
            </w:pPr>
            <w:r/>
            <w:r>
              <w:rPr>
                <w:rFonts w:ascii="Arial" w:hAnsi="Arial" w:eastAsia="Arial"/>
                <w:b w:val="0"/>
                <w:sz w:val="16"/>
              </w:rPr>
              <w:t>Parent company claims sustainable supply chain while supplier has verified controversy</w:t>
            </w:r>
          </w:p>
        </w:tc>
        <w:tc>
          <w:tcPr>
            <w:tcW w:type="dxa" w:w="5760"/>
            <w:vAlign w:val="top"/>
          </w:tcPr>
          <w:p>
            <w:pPr>
              <w:spacing w:after="0"/>
            </w:pPr>
            <w:r/>
            <w:r>
              <w:rPr>
                <w:rFonts w:ascii="Arial" w:hAnsi="Arial" w:eastAsia="Arial"/>
                <w:b w:val="0"/>
                <w:sz w:val="16"/>
              </w:rPr>
              <w:t>Increase Talk-vs-Action Gap and Supply Chain Risk.</w:t>
            </w:r>
          </w:p>
        </w:tc>
      </w:tr>
    </w:tbl>
    <w:p>
      <w:pPr>
        <w:spacing w:after="80"/>
      </w:pPr>
    </w:p>
    <w:p>
      <w:pPr>
        <w:pStyle w:val="Heading1"/>
        <w:spacing w:after="80"/>
      </w:pPr>
      <w:r>
        <w:t>7. Source Grading and Evidence Validity</w:t>
      </w:r>
    </w:p>
    <w:p>
      <w:pPr>
        <w:spacing w:after="80"/>
      </w:pPr>
      <w:r>
        <w:t>ESG Deathwatch must prove why information is valid. The app should never treat all web results equally. Every evidence item must receive a source grade, confidence score, timestamp, and reason.</w:t>
      </w:r>
    </w:p>
    <w:p>
      <w:pPr>
        <w:pStyle w:val="Heading2"/>
        <w:spacing w:after="80"/>
      </w:pPr>
      <w:r>
        <w:t>7.1 Source reliability grade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shd w:fill="007866"/>
          </w:tcPr>
          <w:p>
            <w:pPr>
              <w:spacing w:after="0"/>
            </w:pPr>
            <w:r/>
            <w:r>
              <w:rPr>
                <w:rFonts w:ascii="Arial" w:hAnsi="Arial" w:eastAsia="Arial"/>
                <w:b/>
                <w:color w:val="FFFFFF"/>
                <w:sz w:val="15"/>
              </w:rPr>
              <w:t>Grade</w:t>
            </w:r>
          </w:p>
        </w:tc>
        <w:tc>
          <w:tcPr>
            <w:tcW w:type="dxa" w:w="5040"/>
            <w:shd w:fill="007866"/>
          </w:tcPr>
          <w:p>
            <w:pPr>
              <w:spacing w:after="0"/>
            </w:pPr>
            <w:r/>
            <w:r>
              <w:rPr>
                <w:rFonts w:ascii="Arial" w:hAnsi="Arial" w:eastAsia="Arial"/>
                <w:b/>
                <w:color w:val="FFFFFF"/>
                <w:sz w:val="15"/>
              </w:rPr>
              <w:t>Source Type</w:t>
            </w:r>
          </w:p>
        </w:tc>
        <w:tc>
          <w:tcPr>
            <w:tcW w:type="dxa" w:w="1728"/>
            <w:shd w:fill="007866"/>
          </w:tcPr>
          <w:p>
            <w:pPr>
              <w:spacing w:after="0"/>
            </w:pPr>
            <w:r/>
            <w:r>
              <w:rPr>
                <w:rFonts w:ascii="Arial" w:hAnsi="Arial" w:eastAsia="Arial"/>
                <w:b/>
                <w:color w:val="FFFFFF"/>
                <w:sz w:val="15"/>
              </w:rPr>
              <w:t>Default Confidence</w:t>
            </w:r>
          </w:p>
        </w:tc>
        <w:tc>
          <w:tcPr>
            <w:tcW w:type="dxa" w:w="4464"/>
            <w:shd w:fill="007866"/>
          </w:tcPr>
          <w:p>
            <w:pPr>
              <w:spacing w:after="0"/>
            </w:pPr>
            <w:r/>
            <w:r>
              <w:rPr>
                <w:rFonts w:ascii="Arial" w:hAnsi="Arial" w:eastAsia="Arial"/>
                <w:b/>
                <w:color w:val="FFFFFF"/>
                <w:sz w:val="15"/>
              </w:rPr>
              <w:t>How to Use</w:t>
            </w:r>
          </w:p>
        </w:tc>
      </w:tr>
      <w:tr>
        <w:tc>
          <w:tcPr>
            <w:tcW w:type="dxa" w:w="1008"/>
            <w:shd w:fill="EAF4F1"/>
            <w:vAlign w:val="top"/>
          </w:tcPr>
          <w:p>
            <w:pPr>
              <w:spacing w:after="0"/>
            </w:pPr>
            <w:r/>
            <w:r>
              <w:rPr>
                <w:rFonts w:ascii="Arial" w:hAnsi="Arial" w:eastAsia="Arial"/>
                <w:b w:val="0"/>
                <w:sz w:val="15"/>
              </w:rPr>
              <w:t>A</w:t>
            </w:r>
          </w:p>
        </w:tc>
        <w:tc>
          <w:tcPr>
            <w:tcW w:type="dxa" w:w="5040"/>
            <w:shd w:fill="EAF4F1"/>
            <w:vAlign w:val="top"/>
          </w:tcPr>
          <w:p>
            <w:pPr>
              <w:spacing w:after="0"/>
            </w:pPr>
            <w:r/>
            <w:r>
              <w:rPr>
                <w:rFonts w:ascii="Arial" w:hAnsi="Arial" w:eastAsia="Arial"/>
                <w:b w:val="0"/>
                <w:sz w:val="15"/>
              </w:rPr>
              <w:t>Regulator, court filing, stock exchange announcement, government enforcement record, official patent database.</w:t>
            </w:r>
          </w:p>
        </w:tc>
        <w:tc>
          <w:tcPr>
            <w:tcW w:type="dxa" w:w="1728"/>
            <w:shd w:fill="EAF4F1"/>
            <w:vAlign w:val="top"/>
          </w:tcPr>
          <w:p>
            <w:pPr>
              <w:spacing w:after="0"/>
            </w:pPr>
            <w:r/>
            <w:r>
              <w:rPr>
                <w:rFonts w:ascii="Arial" w:hAnsi="Arial" w:eastAsia="Arial"/>
                <w:b w:val="0"/>
                <w:sz w:val="15"/>
              </w:rPr>
              <w:t>90-100</w:t>
            </w:r>
          </w:p>
        </w:tc>
        <w:tc>
          <w:tcPr>
            <w:tcW w:type="dxa" w:w="4464"/>
            <w:shd w:fill="EAF4F1"/>
            <w:vAlign w:val="top"/>
          </w:tcPr>
          <w:p>
            <w:pPr>
              <w:spacing w:after="0"/>
            </w:pPr>
            <w:r/>
            <w:r>
              <w:rPr>
                <w:rFonts w:ascii="Arial" w:hAnsi="Arial" w:eastAsia="Arial"/>
                <w:b w:val="0"/>
                <w:sz w:val="15"/>
              </w:rPr>
              <w:t>Can support major score changes if event is relevant and recent.</w:t>
            </w:r>
          </w:p>
        </w:tc>
      </w:tr>
      <w:tr>
        <w:tc>
          <w:tcPr>
            <w:tcW w:type="dxa" w:w="1008"/>
            <w:vAlign w:val="top"/>
          </w:tcPr>
          <w:p>
            <w:pPr>
              <w:spacing w:after="0"/>
            </w:pPr>
            <w:r/>
            <w:r>
              <w:rPr>
                <w:rFonts w:ascii="Arial" w:hAnsi="Arial" w:eastAsia="Arial"/>
                <w:b w:val="0"/>
                <w:sz w:val="15"/>
              </w:rPr>
              <w:t>B</w:t>
            </w:r>
          </w:p>
        </w:tc>
        <w:tc>
          <w:tcPr>
            <w:tcW w:type="dxa" w:w="5040"/>
            <w:vAlign w:val="top"/>
          </w:tcPr>
          <w:p>
            <w:pPr>
              <w:spacing w:after="0"/>
            </w:pPr>
            <w:r/>
            <w:r>
              <w:rPr>
                <w:rFonts w:ascii="Arial" w:hAnsi="Arial" w:eastAsia="Arial"/>
                <w:b w:val="0"/>
                <w:sz w:val="15"/>
              </w:rPr>
              <w:t>Audited annual report, sustainability report with measurable data, reputable financial/business news, recognised NGO/watchdog report.</w:t>
            </w:r>
          </w:p>
        </w:tc>
        <w:tc>
          <w:tcPr>
            <w:tcW w:type="dxa" w:w="1728"/>
            <w:vAlign w:val="top"/>
          </w:tcPr>
          <w:p>
            <w:pPr>
              <w:spacing w:after="0"/>
            </w:pPr>
            <w:r/>
            <w:r>
              <w:rPr>
                <w:rFonts w:ascii="Arial" w:hAnsi="Arial" w:eastAsia="Arial"/>
                <w:b w:val="0"/>
                <w:sz w:val="15"/>
              </w:rPr>
              <w:t>75-89</w:t>
            </w:r>
          </w:p>
        </w:tc>
        <w:tc>
          <w:tcPr>
            <w:tcW w:type="dxa" w:w="4464"/>
            <w:vAlign w:val="top"/>
          </w:tcPr>
          <w:p>
            <w:pPr>
              <w:spacing w:after="0"/>
            </w:pPr>
            <w:r/>
            <w:r>
              <w:rPr>
                <w:rFonts w:ascii="Arial" w:hAnsi="Arial" w:eastAsia="Arial"/>
                <w:b w:val="0"/>
                <w:sz w:val="15"/>
              </w:rPr>
              <w:t>Strong evidence, but still check recency and whether it is independent.</w:t>
            </w:r>
          </w:p>
        </w:tc>
      </w:tr>
      <w:tr>
        <w:tc>
          <w:tcPr>
            <w:tcW w:type="dxa" w:w="1008"/>
            <w:shd w:fill="EAF4F1"/>
            <w:vAlign w:val="top"/>
          </w:tcPr>
          <w:p>
            <w:pPr>
              <w:spacing w:after="0"/>
            </w:pPr>
            <w:r/>
            <w:r>
              <w:rPr>
                <w:rFonts w:ascii="Arial" w:hAnsi="Arial" w:eastAsia="Arial"/>
                <w:b w:val="0"/>
                <w:sz w:val="15"/>
              </w:rPr>
              <w:t>C</w:t>
            </w:r>
          </w:p>
        </w:tc>
        <w:tc>
          <w:tcPr>
            <w:tcW w:type="dxa" w:w="5040"/>
            <w:shd w:fill="EAF4F1"/>
            <w:vAlign w:val="top"/>
          </w:tcPr>
          <w:p>
            <w:pPr>
              <w:spacing w:after="0"/>
            </w:pPr>
            <w:r/>
            <w:r>
              <w:rPr>
                <w:rFonts w:ascii="Arial" w:hAnsi="Arial" w:eastAsia="Arial"/>
                <w:b w:val="0"/>
                <w:sz w:val="15"/>
              </w:rPr>
              <w:t>Company press release, company website, job postings, employee review platform, industry blog with identifiable author.</w:t>
            </w:r>
          </w:p>
        </w:tc>
        <w:tc>
          <w:tcPr>
            <w:tcW w:type="dxa" w:w="1728"/>
            <w:shd w:fill="EAF4F1"/>
            <w:vAlign w:val="top"/>
          </w:tcPr>
          <w:p>
            <w:pPr>
              <w:spacing w:after="0"/>
            </w:pPr>
            <w:r/>
            <w:r>
              <w:rPr>
                <w:rFonts w:ascii="Arial" w:hAnsi="Arial" w:eastAsia="Arial"/>
                <w:b w:val="0"/>
                <w:sz w:val="15"/>
              </w:rPr>
              <w:t>50-74</w:t>
            </w:r>
          </w:p>
        </w:tc>
        <w:tc>
          <w:tcPr>
            <w:tcW w:type="dxa" w:w="4464"/>
            <w:shd w:fill="EAF4F1"/>
            <w:vAlign w:val="top"/>
          </w:tcPr>
          <w:p>
            <w:pPr>
              <w:spacing w:after="0"/>
            </w:pPr>
            <w:r/>
            <w:r>
              <w:rPr>
                <w:rFonts w:ascii="Arial" w:hAnsi="Arial" w:eastAsia="Arial"/>
                <w:b w:val="0"/>
                <w:sz w:val="15"/>
              </w:rPr>
              <w:t>Useful but not enough alone for Red. Needs corroboration for major changes.</w:t>
            </w:r>
          </w:p>
        </w:tc>
      </w:tr>
      <w:tr>
        <w:tc>
          <w:tcPr>
            <w:tcW w:type="dxa" w:w="1008"/>
            <w:vAlign w:val="top"/>
          </w:tcPr>
          <w:p>
            <w:pPr>
              <w:spacing w:after="0"/>
            </w:pPr>
            <w:r/>
            <w:r>
              <w:rPr>
                <w:rFonts w:ascii="Arial" w:hAnsi="Arial" w:eastAsia="Arial"/>
                <w:b w:val="0"/>
                <w:sz w:val="15"/>
              </w:rPr>
              <w:t>D</w:t>
            </w:r>
          </w:p>
        </w:tc>
        <w:tc>
          <w:tcPr>
            <w:tcW w:type="dxa" w:w="5040"/>
            <w:vAlign w:val="top"/>
          </w:tcPr>
          <w:p>
            <w:pPr>
              <w:spacing w:after="0"/>
            </w:pPr>
            <w:r/>
            <w:r>
              <w:rPr>
                <w:rFonts w:ascii="Arial" w:hAnsi="Arial" w:eastAsia="Arial"/>
                <w:b w:val="0"/>
                <w:sz w:val="15"/>
              </w:rPr>
              <w:t>Social media post, anonymous blog, forum, duplicate press release repost, unknown website.</w:t>
            </w:r>
          </w:p>
        </w:tc>
        <w:tc>
          <w:tcPr>
            <w:tcW w:type="dxa" w:w="1728"/>
            <w:vAlign w:val="top"/>
          </w:tcPr>
          <w:p>
            <w:pPr>
              <w:spacing w:after="0"/>
            </w:pPr>
            <w:r/>
            <w:r>
              <w:rPr>
                <w:rFonts w:ascii="Arial" w:hAnsi="Arial" w:eastAsia="Arial"/>
                <w:b w:val="0"/>
                <w:sz w:val="15"/>
              </w:rPr>
              <w:t>25-49</w:t>
            </w:r>
          </w:p>
        </w:tc>
        <w:tc>
          <w:tcPr>
            <w:tcW w:type="dxa" w:w="4464"/>
            <w:vAlign w:val="top"/>
          </w:tcPr>
          <w:p>
            <w:pPr>
              <w:spacing w:after="0"/>
            </w:pPr>
            <w:r/>
            <w:r>
              <w:rPr>
                <w:rFonts w:ascii="Arial" w:hAnsi="Arial" w:eastAsia="Arial"/>
                <w:b w:val="0"/>
                <w:sz w:val="15"/>
              </w:rPr>
              <w:t>Store as weak signal only. Do not trigger alerts alone.</w:t>
            </w:r>
          </w:p>
        </w:tc>
      </w:tr>
      <w:tr>
        <w:tc>
          <w:tcPr>
            <w:tcW w:type="dxa" w:w="1008"/>
            <w:shd w:fill="EAF4F1"/>
            <w:vAlign w:val="top"/>
          </w:tcPr>
          <w:p>
            <w:pPr>
              <w:spacing w:after="0"/>
            </w:pPr>
            <w:r/>
            <w:r>
              <w:rPr>
                <w:rFonts w:ascii="Arial" w:hAnsi="Arial" w:eastAsia="Arial"/>
                <w:b w:val="0"/>
                <w:sz w:val="15"/>
              </w:rPr>
              <w:t>E</w:t>
            </w:r>
          </w:p>
        </w:tc>
        <w:tc>
          <w:tcPr>
            <w:tcW w:type="dxa" w:w="5040"/>
            <w:shd w:fill="EAF4F1"/>
            <w:vAlign w:val="top"/>
          </w:tcPr>
          <w:p>
            <w:pPr>
              <w:spacing w:after="0"/>
            </w:pPr>
            <w:r/>
            <w:r>
              <w:rPr>
                <w:rFonts w:ascii="Arial" w:hAnsi="Arial" w:eastAsia="Arial"/>
                <w:b w:val="0"/>
                <w:sz w:val="15"/>
              </w:rPr>
              <w:t>Unverifiable, outdated, no source date, suspicious SEO page, hallucinated or inaccessible citation.</w:t>
            </w:r>
          </w:p>
        </w:tc>
        <w:tc>
          <w:tcPr>
            <w:tcW w:type="dxa" w:w="1728"/>
            <w:shd w:fill="EAF4F1"/>
            <w:vAlign w:val="top"/>
          </w:tcPr>
          <w:p>
            <w:pPr>
              <w:spacing w:after="0"/>
            </w:pPr>
            <w:r/>
            <w:r>
              <w:rPr>
                <w:rFonts w:ascii="Arial" w:hAnsi="Arial" w:eastAsia="Arial"/>
                <w:b w:val="0"/>
                <w:sz w:val="15"/>
              </w:rPr>
              <w:t>0-24</w:t>
            </w:r>
          </w:p>
        </w:tc>
        <w:tc>
          <w:tcPr>
            <w:tcW w:type="dxa" w:w="4464"/>
            <w:shd w:fill="EAF4F1"/>
            <w:vAlign w:val="top"/>
          </w:tcPr>
          <w:p>
            <w:pPr>
              <w:spacing w:after="0"/>
            </w:pPr>
            <w:r/>
            <w:r>
              <w:rPr>
                <w:rFonts w:ascii="Arial" w:hAnsi="Arial" w:eastAsia="Arial"/>
                <w:b w:val="0"/>
                <w:sz w:val="15"/>
              </w:rPr>
              <w:t>Do not use for scoring. Can be logged as rejected evidence.</w:t>
            </w:r>
          </w:p>
        </w:tc>
      </w:tr>
    </w:tbl>
    <w:p>
      <w:pPr>
        <w:spacing w:after="80"/>
      </w:pPr>
    </w:p>
    <w:p>
      <w:pPr>
        <w:pStyle w:val="Heading2"/>
        <w:spacing w:after="80"/>
      </w:pPr>
      <w:r>
        <w:t>7.2 Evidence confidence formula</w:t>
      </w:r>
    </w:p>
    <w:p>
      <w:pPr>
        <w:pStyle w:val="CodeBlock"/>
        <w:spacing w:after="80"/>
      </w:pPr>
      <w:r>
        <w:t>base_confidence = source_grade_score</w:t>
      </w:r>
    </w:p>
    <w:p>
      <w:pPr>
        <w:pStyle w:val="CodeBlock"/>
        <w:spacing w:after="80"/>
      </w:pPr>
      <w:r>
        <w:t>recency_bonus = 0 to 10</w:t>
      </w:r>
    </w:p>
    <w:p>
      <w:pPr>
        <w:pStyle w:val="CodeBlock"/>
        <w:spacing w:after="80"/>
      </w:pPr>
      <w:r>
        <w:t>corroboration_bonus = 0 to 15</w:t>
      </w:r>
    </w:p>
    <w:p>
      <w:pPr>
        <w:pStyle w:val="CodeBlock"/>
        <w:spacing w:after="80"/>
      </w:pPr>
      <w:r>
        <w:t>specificity_bonus = 0 to 10</w:t>
      </w:r>
    </w:p>
    <w:p>
      <w:pPr>
        <w:pStyle w:val="CodeBlock"/>
        <w:spacing w:after="80"/>
      </w:pPr>
      <w:r>
        <w:t>independence_bonus = 0 to 10</w:t>
      </w:r>
    </w:p>
    <w:p>
      <w:pPr>
        <w:pStyle w:val="CodeBlock"/>
        <w:spacing w:after="80"/>
      </w:pPr>
      <w:r>
        <w:t>contradiction_penalty = 0 to -20</w:t>
      </w:r>
    </w:p>
    <w:p>
      <w:pPr>
        <w:pStyle w:val="CodeBlock"/>
        <w:spacing w:after="80"/>
      </w:pPr>
      <w:r>
        <w:t>company_controlled_penalty = 0 to -15</w:t>
      </w:r>
    </w:p>
    <w:p>
      <w:pPr>
        <w:pStyle w:val="CodeBlock"/>
        <w:spacing w:after="80"/>
      </w:pPr>
      <w:r/>
    </w:p>
    <w:p>
      <w:pPr>
        <w:pStyle w:val="CodeBlock"/>
        <w:spacing w:after="80"/>
      </w:pPr>
      <w:r>
        <w:t>confidence_score = clamp(</w:t>
      </w:r>
    </w:p>
    <w:p>
      <w:pPr>
        <w:pStyle w:val="CodeBlock"/>
        <w:spacing w:after="80"/>
      </w:pPr>
      <w:r>
        <w:t xml:space="preserve">  base_confidence + recency_bonus + corroboration_bonus + specificity_bonus +</w:t>
      </w:r>
    </w:p>
    <w:p>
      <w:pPr>
        <w:pStyle w:val="CodeBlock"/>
        <w:spacing w:after="80"/>
      </w:pPr>
      <w:r>
        <w:t xml:space="preserve">  independence_bonus + contradiction_penalty + company_controlled_penalty,</w:t>
      </w:r>
    </w:p>
    <w:p>
      <w:pPr>
        <w:pStyle w:val="CodeBlock"/>
        <w:spacing w:after="80"/>
      </w:pPr>
      <w:r>
        <w:t xml:space="preserve">  0, 100</w:t>
      </w:r>
    </w:p>
    <w:p>
      <w:pPr>
        <w:pStyle w:val="CodeBlock"/>
        <w:spacing w:after="80"/>
      </w:pPr>
      <w:r>
        <w:t>)</w:t>
      </w:r>
    </w:p>
    <w:tbl>
      <w:tblPr>
        <w:tblStyle w:val="TableGrid"/>
        <w:tblW w:type="auto" w:w="0"/>
        <w:jc w:val="center"/>
        <w:tblLook w:firstColumn="1" w:firstRow="1" w:lastColumn="0" w:lastRow="0" w:noHBand="0" w:noVBand="1" w:val="04A0"/>
      </w:tblPr>
      <w:tblGrid>
        <w:gridCol w:w="5184"/>
        <w:gridCol w:w="5184"/>
      </w:tblGrid>
      <w:tr>
        <w:tc>
          <w:tcPr>
            <w:tcW w:type="dxa" w:w="2304"/>
            <w:shd w:fill="007866"/>
          </w:tcPr>
          <w:p>
            <w:pPr>
              <w:spacing w:after="0"/>
            </w:pPr>
            <w:r/>
            <w:r>
              <w:rPr>
                <w:rFonts w:ascii="Arial" w:hAnsi="Arial" w:eastAsia="Arial"/>
                <w:b/>
                <w:color w:val="FFFFFF"/>
                <w:sz w:val="16"/>
              </w:rPr>
              <w:t>Factor</w:t>
            </w:r>
          </w:p>
        </w:tc>
        <w:tc>
          <w:tcPr>
            <w:tcW w:type="dxa" w:w="8496"/>
            <w:shd w:fill="007866"/>
          </w:tcPr>
          <w:p>
            <w:pPr>
              <w:spacing w:after="0"/>
            </w:pPr>
            <w:r/>
            <w:r>
              <w:rPr>
                <w:rFonts w:ascii="Arial" w:hAnsi="Arial" w:eastAsia="Arial"/>
                <w:b/>
                <w:color w:val="FFFFFF"/>
                <w:sz w:val="16"/>
              </w:rPr>
              <w:t>How to Score</w:t>
            </w:r>
          </w:p>
        </w:tc>
      </w:tr>
      <w:tr>
        <w:tc>
          <w:tcPr>
            <w:tcW w:type="dxa" w:w="2304"/>
            <w:shd w:fill="EAF4F1"/>
            <w:vAlign w:val="top"/>
          </w:tcPr>
          <w:p>
            <w:pPr>
              <w:spacing w:after="0"/>
            </w:pPr>
            <w:r/>
            <w:r>
              <w:rPr>
                <w:rFonts w:ascii="Arial" w:hAnsi="Arial" w:eastAsia="Arial"/>
                <w:b w:val="0"/>
                <w:sz w:val="16"/>
              </w:rPr>
              <w:t>Recency</w:t>
            </w:r>
          </w:p>
        </w:tc>
        <w:tc>
          <w:tcPr>
            <w:tcW w:type="dxa" w:w="8496"/>
            <w:shd w:fill="EAF4F1"/>
            <w:vAlign w:val="top"/>
          </w:tcPr>
          <w:p>
            <w:pPr>
              <w:spacing w:after="0"/>
            </w:pPr>
            <w:r/>
            <w:r>
              <w:rPr>
                <w:rFonts w:ascii="Arial" w:hAnsi="Arial" w:eastAsia="Arial"/>
                <w:b w:val="0"/>
                <w:sz w:val="16"/>
              </w:rPr>
              <w:t>Current events within 30 days get higher confidence for live risk. Older sources can still support historical trend or backtest.</w:t>
            </w:r>
          </w:p>
        </w:tc>
      </w:tr>
      <w:tr>
        <w:tc>
          <w:tcPr>
            <w:tcW w:type="dxa" w:w="2304"/>
            <w:vAlign w:val="top"/>
          </w:tcPr>
          <w:p>
            <w:pPr>
              <w:spacing w:after="0"/>
            </w:pPr>
            <w:r/>
            <w:r>
              <w:rPr>
                <w:rFonts w:ascii="Arial" w:hAnsi="Arial" w:eastAsia="Arial"/>
                <w:b w:val="0"/>
                <w:sz w:val="16"/>
              </w:rPr>
              <w:t>Corroboration</w:t>
            </w:r>
          </w:p>
        </w:tc>
        <w:tc>
          <w:tcPr>
            <w:tcW w:type="dxa" w:w="8496"/>
            <w:vAlign w:val="top"/>
          </w:tcPr>
          <w:p>
            <w:pPr>
              <w:spacing w:after="0"/>
            </w:pPr>
            <w:r/>
            <w:r>
              <w:rPr>
                <w:rFonts w:ascii="Arial" w:hAnsi="Arial" w:eastAsia="Arial"/>
                <w:b w:val="0"/>
                <w:sz w:val="16"/>
              </w:rPr>
              <w:t>If 2 or more independent reliable sources report the same issue, confidence increases.</w:t>
            </w:r>
          </w:p>
        </w:tc>
      </w:tr>
      <w:tr>
        <w:tc>
          <w:tcPr>
            <w:tcW w:type="dxa" w:w="2304"/>
            <w:shd w:fill="EAF4F1"/>
            <w:vAlign w:val="top"/>
          </w:tcPr>
          <w:p>
            <w:pPr>
              <w:spacing w:after="0"/>
            </w:pPr>
            <w:r/>
            <w:r>
              <w:rPr>
                <w:rFonts w:ascii="Arial" w:hAnsi="Arial" w:eastAsia="Arial"/>
                <w:b w:val="0"/>
                <w:sz w:val="16"/>
              </w:rPr>
              <w:t>Specificity</w:t>
            </w:r>
          </w:p>
        </w:tc>
        <w:tc>
          <w:tcPr>
            <w:tcW w:type="dxa" w:w="8496"/>
            <w:shd w:fill="EAF4F1"/>
            <w:vAlign w:val="top"/>
          </w:tcPr>
          <w:p>
            <w:pPr>
              <w:spacing w:after="0"/>
            </w:pPr>
            <w:r/>
            <w:r>
              <w:rPr>
                <w:rFonts w:ascii="Arial" w:hAnsi="Arial" w:eastAsia="Arial"/>
                <w:b w:val="0"/>
                <w:sz w:val="16"/>
              </w:rPr>
              <w:t>Evidence with date, location, amount, regulator name, supplier name, or target metric is stronger.</w:t>
            </w:r>
          </w:p>
        </w:tc>
      </w:tr>
      <w:tr>
        <w:tc>
          <w:tcPr>
            <w:tcW w:type="dxa" w:w="2304"/>
            <w:vAlign w:val="top"/>
          </w:tcPr>
          <w:p>
            <w:pPr>
              <w:spacing w:after="0"/>
            </w:pPr>
            <w:r/>
            <w:r>
              <w:rPr>
                <w:rFonts w:ascii="Arial" w:hAnsi="Arial" w:eastAsia="Arial"/>
                <w:b w:val="0"/>
                <w:sz w:val="16"/>
              </w:rPr>
              <w:t>Independence</w:t>
            </w:r>
          </w:p>
        </w:tc>
        <w:tc>
          <w:tcPr>
            <w:tcW w:type="dxa" w:w="8496"/>
            <w:vAlign w:val="top"/>
          </w:tcPr>
          <w:p>
            <w:pPr>
              <w:spacing w:after="0"/>
            </w:pPr>
            <w:r/>
            <w:r>
              <w:rPr>
                <w:rFonts w:ascii="Arial" w:hAnsi="Arial" w:eastAsia="Arial"/>
                <w:b w:val="0"/>
                <w:sz w:val="16"/>
              </w:rPr>
              <w:t>Third-party sources are stronger than company-controlled sources.</w:t>
            </w:r>
          </w:p>
        </w:tc>
      </w:tr>
      <w:tr>
        <w:tc>
          <w:tcPr>
            <w:tcW w:type="dxa" w:w="2304"/>
            <w:shd w:fill="EAF4F1"/>
            <w:vAlign w:val="top"/>
          </w:tcPr>
          <w:p>
            <w:pPr>
              <w:spacing w:after="0"/>
            </w:pPr>
            <w:r/>
            <w:r>
              <w:rPr>
                <w:rFonts w:ascii="Arial" w:hAnsi="Arial" w:eastAsia="Arial"/>
                <w:b w:val="0"/>
                <w:sz w:val="16"/>
              </w:rPr>
              <w:t>Contradiction</w:t>
            </w:r>
          </w:p>
        </w:tc>
        <w:tc>
          <w:tcPr>
            <w:tcW w:type="dxa" w:w="8496"/>
            <w:shd w:fill="EAF4F1"/>
            <w:vAlign w:val="top"/>
          </w:tcPr>
          <w:p>
            <w:pPr>
              <w:spacing w:after="0"/>
            </w:pPr>
            <w:r/>
            <w:r>
              <w:rPr>
                <w:rFonts w:ascii="Arial" w:hAnsi="Arial" w:eastAsia="Arial"/>
                <w:b w:val="0"/>
                <w:sz w:val="16"/>
              </w:rPr>
              <w:t>If trusted evidence contradicts company claims, show both and explain uncertainty.</w:t>
            </w:r>
          </w:p>
        </w:tc>
      </w:tr>
      <w:tr>
        <w:tc>
          <w:tcPr>
            <w:tcW w:type="dxa" w:w="2304"/>
            <w:vAlign w:val="top"/>
          </w:tcPr>
          <w:p>
            <w:pPr>
              <w:spacing w:after="0"/>
            </w:pPr>
            <w:r/>
            <w:r>
              <w:rPr>
                <w:rFonts w:ascii="Arial" w:hAnsi="Arial" w:eastAsia="Arial"/>
                <w:b w:val="0"/>
                <w:sz w:val="16"/>
              </w:rPr>
              <w:t>Company-controlled</w:t>
            </w:r>
          </w:p>
        </w:tc>
        <w:tc>
          <w:tcPr>
            <w:tcW w:type="dxa" w:w="8496"/>
            <w:vAlign w:val="top"/>
          </w:tcPr>
          <w:p>
            <w:pPr>
              <w:spacing w:after="0"/>
            </w:pPr>
            <w:r/>
            <w:r>
              <w:rPr>
                <w:rFonts w:ascii="Arial" w:hAnsi="Arial" w:eastAsia="Arial"/>
                <w:b w:val="0"/>
                <w:sz w:val="16"/>
              </w:rPr>
              <w:t>Company press releases and websites are useful for claims but weak for proving success unless verified externally.</w:t>
            </w:r>
          </w:p>
        </w:tc>
      </w:tr>
    </w:tbl>
    <w:p>
      <w:pPr>
        <w:spacing w:after="80"/>
      </w:pPr>
    </w:p>
    <w:p>
      <w:pPr>
        <w:pStyle w:val="Heading2"/>
        <w:spacing w:after="80"/>
      </w:pPr>
      <w:r>
        <w:t>7.3 What counts as valid proof?</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07866"/>
          </w:tcPr>
          <w:p>
            <w:pPr>
              <w:spacing w:after="0"/>
            </w:pPr>
            <w:r/>
            <w:r>
              <w:rPr>
                <w:rFonts w:ascii="Arial" w:hAnsi="Arial" w:eastAsia="Arial"/>
                <w:b/>
                <w:color w:val="FFFFFF"/>
                <w:sz w:val="15"/>
              </w:rPr>
              <w:t>Claim Type</w:t>
            </w:r>
          </w:p>
        </w:tc>
        <w:tc>
          <w:tcPr>
            <w:tcW w:type="dxa" w:w="4176"/>
            <w:shd w:fill="007866"/>
          </w:tcPr>
          <w:p>
            <w:pPr>
              <w:spacing w:after="0"/>
            </w:pPr>
            <w:r/>
            <w:r>
              <w:rPr>
                <w:rFonts w:ascii="Arial" w:hAnsi="Arial" w:eastAsia="Arial"/>
                <w:b/>
                <w:color w:val="FFFFFF"/>
                <w:sz w:val="15"/>
              </w:rPr>
              <w:t>Weak Proof</w:t>
            </w:r>
          </w:p>
        </w:tc>
        <w:tc>
          <w:tcPr>
            <w:tcW w:type="dxa" w:w="5472"/>
            <w:shd w:fill="007866"/>
          </w:tcPr>
          <w:p>
            <w:pPr>
              <w:spacing w:after="0"/>
            </w:pPr>
            <w:r/>
            <w:r>
              <w:rPr>
                <w:rFonts w:ascii="Arial" w:hAnsi="Arial" w:eastAsia="Arial"/>
                <w:b/>
                <w:color w:val="FFFFFF"/>
                <w:sz w:val="15"/>
              </w:rPr>
              <w:t>Strong Proof</w:t>
            </w:r>
          </w:p>
        </w:tc>
      </w:tr>
      <w:tr>
        <w:tc>
          <w:tcPr>
            <w:tcW w:type="dxa" w:w="2592"/>
            <w:shd w:fill="EAF4F1"/>
            <w:vAlign w:val="top"/>
          </w:tcPr>
          <w:p>
            <w:pPr>
              <w:spacing w:after="0"/>
            </w:pPr>
            <w:r/>
            <w:r>
              <w:rPr>
                <w:rFonts w:ascii="Arial" w:hAnsi="Arial" w:eastAsia="Arial"/>
                <w:b w:val="0"/>
                <w:sz w:val="15"/>
              </w:rPr>
              <w:t>Renewable energy progress</w:t>
            </w:r>
          </w:p>
        </w:tc>
        <w:tc>
          <w:tcPr>
            <w:tcW w:type="dxa" w:w="4176"/>
            <w:shd w:fill="EAF4F1"/>
            <w:vAlign w:val="top"/>
          </w:tcPr>
          <w:p>
            <w:pPr>
              <w:spacing w:after="0"/>
            </w:pPr>
            <w:r/>
            <w:r>
              <w:rPr>
                <w:rFonts w:ascii="Arial" w:hAnsi="Arial" w:eastAsia="Arial"/>
                <w:b w:val="0"/>
                <w:sz w:val="15"/>
              </w:rPr>
              <w:t>Company blog saying it supports renewable energy.</w:t>
            </w:r>
          </w:p>
        </w:tc>
        <w:tc>
          <w:tcPr>
            <w:tcW w:type="dxa" w:w="5472"/>
            <w:shd w:fill="EAF4F1"/>
            <w:vAlign w:val="top"/>
          </w:tcPr>
          <w:p>
            <w:pPr>
              <w:spacing w:after="0"/>
            </w:pPr>
            <w:r/>
            <w:r>
              <w:rPr>
                <w:rFonts w:ascii="Arial" w:hAnsi="Arial" w:eastAsia="Arial"/>
                <w:b w:val="0"/>
                <w:sz w:val="15"/>
              </w:rPr>
              <w:t>Audited report, energy procurement disclosure, regulator filing, credible news confirming project completion.</w:t>
            </w:r>
          </w:p>
        </w:tc>
      </w:tr>
      <w:tr>
        <w:tc>
          <w:tcPr>
            <w:tcW w:type="dxa" w:w="2592"/>
            <w:vAlign w:val="top"/>
          </w:tcPr>
          <w:p>
            <w:pPr>
              <w:spacing w:after="0"/>
            </w:pPr>
            <w:r/>
            <w:r>
              <w:rPr>
                <w:rFonts w:ascii="Arial" w:hAnsi="Arial" w:eastAsia="Arial"/>
                <w:b w:val="0"/>
                <w:sz w:val="15"/>
              </w:rPr>
              <w:t>Net-zero promise on track</w:t>
            </w:r>
          </w:p>
        </w:tc>
        <w:tc>
          <w:tcPr>
            <w:tcW w:type="dxa" w:w="4176"/>
            <w:vAlign w:val="top"/>
          </w:tcPr>
          <w:p>
            <w:pPr>
              <w:spacing w:after="0"/>
            </w:pPr>
            <w:r/>
            <w:r>
              <w:rPr>
                <w:rFonts w:ascii="Arial" w:hAnsi="Arial" w:eastAsia="Arial"/>
                <w:b w:val="0"/>
                <w:sz w:val="15"/>
              </w:rPr>
              <w:t>Repeated net-zero slogan.</w:t>
            </w:r>
          </w:p>
        </w:tc>
        <w:tc>
          <w:tcPr>
            <w:tcW w:type="dxa" w:w="5472"/>
            <w:vAlign w:val="top"/>
          </w:tcPr>
          <w:p>
            <w:pPr>
              <w:spacing w:after="0"/>
            </w:pPr>
            <w:r/>
            <w:r>
              <w:rPr>
                <w:rFonts w:ascii="Arial" w:hAnsi="Arial" w:eastAsia="Arial"/>
                <w:b w:val="0"/>
                <w:sz w:val="15"/>
              </w:rPr>
              <w:t>Time-bound target, annual progress numbers, third-party verification, emissions data.</w:t>
            </w:r>
          </w:p>
        </w:tc>
      </w:tr>
      <w:tr>
        <w:tc>
          <w:tcPr>
            <w:tcW w:type="dxa" w:w="2592"/>
            <w:shd w:fill="EAF4F1"/>
            <w:vAlign w:val="top"/>
          </w:tcPr>
          <w:p>
            <w:pPr>
              <w:spacing w:after="0"/>
            </w:pPr>
            <w:r/>
            <w:r>
              <w:rPr>
                <w:rFonts w:ascii="Arial" w:hAnsi="Arial" w:eastAsia="Arial"/>
                <w:b w:val="0"/>
                <w:sz w:val="15"/>
              </w:rPr>
              <w:t>Supplier issue</w:t>
            </w:r>
          </w:p>
        </w:tc>
        <w:tc>
          <w:tcPr>
            <w:tcW w:type="dxa" w:w="4176"/>
            <w:shd w:fill="EAF4F1"/>
            <w:vAlign w:val="top"/>
          </w:tcPr>
          <w:p>
            <w:pPr>
              <w:spacing w:after="0"/>
            </w:pPr>
            <w:r/>
            <w:r>
              <w:rPr>
                <w:rFonts w:ascii="Arial" w:hAnsi="Arial" w:eastAsia="Arial"/>
                <w:b w:val="0"/>
                <w:sz w:val="15"/>
              </w:rPr>
              <w:t>Anonymous claim with no supplier name.</w:t>
            </w:r>
          </w:p>
        </w:tc>
        <w:tc>
          <w:tcPr>
            <w:tcW w:type="dxa" w:w="5472"/>
            <w:shd w:fill="EAF4F1"/>
            <w:vAlign w:val="top"/>
          </w:tcPr>
          <w:p>
            <w:pPr>
              <w:spacing w:after="0"/>
            </w:pPr>
            <w:r/>
            <w:r>
              <w:rPr>
                <w:rFonts w:ascii="Arial" w:hAnsi="Arial" w:eastAsia="Arial"/>
                <w:b w:val="0"/>
                <w:sz w:val="15"/>
              </w:rPr>
              <w:t>Regulatory fine, court record, NGO report, reputable local news naming supplier and issue.</w:t>
            </w:r>
          </w:p>
        </w:tc>
      </w:tr>
      <w:tr>
        <w:tc>
          <w:tcPr>
            <w:tcW w:type="dxa" w:w="2592"/>
            <w:vAlign w:val="top"/>
          </w:tcPr>
          <w:p>
            <w:pPr>
              <w:spacing w:after="0"/>
            </w:pPr>
            <w:r/>
            <w:r>
              <w:rPr>
                <w:rFonts w:ascii="Arial" w:hAnsi="Arial" w:eastAsia="Arial"/>
                <w:b w:val="0"/>
                <w:sz w:val="15"/>
              </w:rPr>
              <w:t>Greenwashing risk</w:t>
            </w:r>
          </w:p>
        </w:tc>
        <w:tc>
          <w:tcPr>
            <w:tcW w:type="dxa" w:w="4176"/>
            <w:vAlign w:val="top"/>
          </w:tcPr>
          <w:p>
            <w:pPr>
              <w:spacing w:after="0"/>
            </w:pPr>
            <w:r/>
            <w:r>
              <w:rPr>
                <w:rFonts w:ascii="Arial" w:hAnsi="Arial" w:eastAsia="Arial"/>
                <w:b w:val="0"/>
                <w:sz w:val="15"/>
              </w:rPr>
              <w:t>A negative opinion post.</w:t>
            </w:r>
          </w:p>
        </w:tc>
        <w:tc>
          <w:tcPr>
            <w:tcW w:type="dxa" w:w="5472"/>
            <w:vAlign w:val="top"/>
          </w:tcPr>
          <w:p>
            <w:pPr>
              <w:spacing w:after="0"/>
            </w:pPr>
            <w:r/>
            <w:r>
              <w:rPr>
                <w:rFonts w:ascii="Arial" w:hAnsi="Arial" w:eastAsia="Arial"/>
                <w:b w:val="0"/>
                <w:sz w:val="15"/>
              </w:rPr>
              <w:t>High ESG marketing claims plus weak external evidence, broken promise, or regulatory greenwashing fine.</w:t>
            </w:r>
          </w:p>
        </w:tc>
      </w:tr>
      <w:tr>
        <w:tc>
          <w:tcPr>
            <w:tcW w:type="dxa" w:w="2592"/>
            <w:shd w:fill="EAF4F1"/>
            <w:vAlign w:val="top"/>
          </w:tcPr>
          <w:p>
            <w:pPr>
              <w:spacing w:after="0"/>
            </w:pPr>
            <w:r/>
            <w:r>
              <w:rPr>
                <w:rFonts w:ascii="Arial" w:hAnsi="Arial" w:eastAsia="Arial"/>
                <w:b w:val="0"/>
                <w:sz w:val="15"/>
              </w:rPr>
              <w:t>Labour controversy</w:t>
            </w:r>
          </w:p>
        </w:tc>
        <w:tc>
          <w:tcPr>
            <w:tcW w:type="dxa" w:w="4176"/>
            <w:shd w:fill="EAF4F1"/>
            <w:vAlign w:val="top"/>
          </w:tcPr>
          <w:p>
            <w:pPr>
              <w:spacing w:after="0"/>
            </w:pPr>
            <w:r/>
            <w:r>
              <w:rPr>
                <w:rFonts w:ascii="Arial" w:hAnsi="Arial" w:eastAsia="Arial"/>
                <w:b w:val="0"/>
                <w:sz w:val="15"/>
              </w:rPr>
              <w:t>One vague review.</w:t>
            </w:r>
          </w:p>
        </w:tc>
        <w:tc>
          <w:tcPr>
            <w:tcW w:type="dxa" w:w="5472"/>
            <w:shd w:fill="EAF4F1"/>
            <w:vAlign w:val="top"/>
          </w:tcPr>
          <w:p>
            <w:pPr>
              <w:spacing w:after="0"/>
            </w:pPr>
            <w:r/>
            <w:r>
              <w:rPr>
                <w:rFonts w:ascii="Arial" w:hAnsi="Arial" w:eastAsia="Arial"/>
                <w:b w:val="0"/>
                <w:sz w:val="15"/>
              </w:rPr>
              <w:t>Multiple employee reviews + news article + official investigation or lawsuit.</w:t>
            </w:r>
          </w:p>
        </w:tc>
      </w:tr>
    </w:tbl>
    <w:p>
      <w:pPr>
        <w:spacing w:after="80"/>
      </w:pPr>
    </w:p>
    <w:p>
      <w:pPr>
        <w:pStyle w:val="Heading2"/>
        <w:spacing w:after="80"/>
      </w:pPr>
      <w:r>
        <w:t>7.4 Evidence receipt format</w:t>
      </w:r>
    </w:p>
    <w:p>
      <w:pPr>
        <w:pStyle w:val="CodeBlock"/>
        <w:spacing w:after="80"/>
      </w:pPr>
      <w:r>
        <w:t>{</w:t>
      </w:r>
    </w:p>
    <w:p>
      <w:pPr>
        <w:pStyle w:val="CodeBlock"/>
        <w:spacing w:after="80"/>
      </w:pPr>
      <w:r>
        <w:t xml:space="preserve">  "evidence_id": "ev_001",</w:t>
      </w:r>
    </w:p>
    <w:p>
      <w:pPr>
        <w:pStyle w:val="CodeBlock"/>
        <w:spacing w:after="80"/>
      </w:pPr>
      <w:r>
        <w:t xml:space="preserve">  "ticker": "TSLA",</w:t>
      </w:r>
    </w:p>
    <w:p>
      <w:pPr>
        <w:pStyle w:val="CodeBlock"/>
        <w:spacing w:after="80"/>
      </w:pPr>
      <w:r>
        <w:t xml:space="preserve">  "signal_type": "regulatory_flag",</w:t>
      </w:r>
    </w:p>
    <w:p>
      <w:pPr>
        <w:pStyle w:val="CodeBlock"/>
        <w:spacing w:after="80"/>
      </w:pPr>
      <w:r>
        <w:t xml:space="preserve">  "claim_or_event": "Workplace safety investigation reported",</w:t>
      </w:r>
    </w:p>
    <w:p>
      <w:pPr>
        <w:pStyle w:val="CodeBlock"/>
        <w:spacing w:after="80"/>
      </w:pPr>
      <w:r>
        <w:t xml:space="preserve">  "source_title": "Regulator enforcement notice",</w:t>
      </w:r>
    </w:p>
    <w:p>
      <w:pPr>
        <w:pStyle w:val="CodeBlock"/>
        <w:spacing w:after="80"/>
      </w:pPr>
      <w:r>
        <w:t xml:space="preserve">  "source_type": "regulator",</w:t>
      </w:r>
    </w:p>
    <w:p>
      <w:pPr>
        <w:pStyle w:val="CodeBlock"/>
        <w:spacing w:after="80"/>
      </w:pPr>
      <w:r>
        <w:t xml:space="preserve">  "source_grade": "A",</w:t>
      </w:r>
    </w:p>
    <w:p>
      <w:pPr>
        <w:pStyle w:val="CodeBlock"/>
        <w:spacing w:after="80"/>
      </w:pPr>
      <w:r>
        <w:t xml:space="preserve">  "source_url": "https://...",</w:t>
      </w:r>
    </w:p>
    <w:p>
      <w:pPr>
        <w:pStyle w:val="CodeBlock"/>
        <w:spacing w:after="80"/>
      </w:pPr>
      <w:r>
        <w:t xml:space="preserve">  "published_at": "2026-06-10",</w:t>
      </w:r>
    </w:p>
    <w:p>
      <w:pPr>
        <w:pStyle w:val="CodeBlock"/>
        <w:spacing w:after="80"/>
      </w:pPr>
      <w:r>
        <w:t xml:space="preserve">  "confidence_score": 94,</w:t>
      </w:r>
    </w:p>
    <w:p>
      <w:pPr>
        <w:pStyle w:val="CodeBlock"/>
        <w:spacing w:after="80"/>
      </w:pPr>
      <w:r>
        <w:t xml:space="preserve">  "severity_score": 72,</w:t>
      </w:r>
    </w:p>
    <w:p>
      <w:pPr>
        <w:pStyle w:val="CodeBlock"/>
        <w:spacing w:after="80"/>
      </w:pPr>
      <w:r>
        <w:t xml:space="preserve">  "summary": "Official investigation into workplace safety issue at facility.",</w:t>
      </w:r>
    </w:p>
    <w:p>
      <w:pPr>
        <w:pStyle w:val="CodeBlock"/>
        <w:spacing w:after="80"/>
      </w:pPr>
      <w:r>
        <w:t xml:space="preserve">  "used_in_score": true</w:t>
      </w:r>
    </w:p>
    <w:p>
      <w:pPr>
        <w:pStyle w:val="CodeBlock"/>
        <w:spacing w:after="80"/>
      </w:pPr>
      <w:r>
        <w:t>}</w:t>
      </w:r>
    </w:p>
    <w:p>
      <w:pPr>
        <w:pStyle w:val="Heading1"/>
        <w:spacing w:after="80"/>
      </w:pPr>
      <w:r>
        <w:t>8. Evidence Validation Pipeline</w:t>
      </w:r>
    </w:p>
    <w:p>
      <w:pPr>
        <w:spacing w:after="80"/>
      </w:pPr>
      <w:r>
        <w:t>The pipeline below explains how the app should process information before it changes a signal, creates a Discovery card, or sends a Red Flag alert.</w:t>
      </w:r>
    </w:p>
    <w:p>
      <w:pPr>
        <w:pStyle w:val="ListNumber"/>
        <w:spacing w:after="80"/>
      </w:pPr>
      <w:r>
        <w:t>Ingest data from news, filings, annual reports, ESG disclosures, job postings, employee reviews, patents, supplier records, and manual demo JSON.</w:t>
      </w:r>
    </w:p>
    <w:p>
      <w:pPr>
        <w:pStyle w:val="ListNumber"/>
        <w:spacing w:after="80"/>
      </w:pPr>
      <w:r>
        <w:t>Extract ESG claims or events using keyword rules and AI classification.</w:t>
      </w:r>
    </w:p>
    <w:p>
      <w:pPr>
        <w:pStyle w:val="ListNumber"/>
        <w:spacing w:after="80"/>
      </w:pPr>
      <w:r>
        <w:t>Classify each item into News Risk, Promise Gap, Regulatory Flag, Sentiment Drift, Talk-vs-Action, Supply Chain Risk, or Evidence Confidence.</w:t>
      </w:r>
    </w:p>
    <w:p>
      <w:pPr>
        <w:pStyle w:val="ListNumber"/>
        <w:spacing w:after="80"/>
      </w:pPr>
      <w:r>
        <w:t>Grade the source using the Source Reliability Grade table.</w:t>
      </w:r>
    </w:p>
    <w:p>
      <w:pPr>
        <w:pStyle w:val="ListNumber"/>
        <w:spacing w:after="80"/>
      </w:pPr>
      <w:r>
        <w:t>Check recency, specificity, independence, and corroboration.</w:t>
      </w:r>
    </w:p>
    <w:p>
      <w:pPr>
        <w:pStyle w:val="ListNumber"/>
        <w:spacing w:after="80"/>
      </w:pPr>
      <w:r>
        <w:t>Reject evidence that is unverifiable, duplicated, irrelevant, or too weak for scoring.</w:t>
      </w:r>
    </w:p>
    <w:p>
      <w:pPr>
        <w:pStyle w:val="ListNumber"/>
        <w:spacing w:after="80"/>
      </w:pPr>
      <w:r>
        <w:t>Calculate sub-scores and final ESG Deterioration Score.</w:t>
      </w:r>
    </w:p>
    <w:p>
      <w:pPr>
        <w:pStyle w:val="ListNumber"/>
        <w:spacing w:after="80"/>
      </w:pPr>
      <w:r>
        <w:t>Compare with previous signal to detect meaningful changes.</w:t>
      </w:r>
    </w:p>
    <w:p>
      <w:pPr>
        <w:pStyle w:val="ListNumber"/>
        <w:spacing w:after="80"/>
      </w:pPr>
      <w:r>
        <w:t>Generate ESG receipts and plain-language explanation.</w:t>
      </w:r>
    </w:p>
    <w:p>
      <w:pPr>
        <w:pStyle w:val="ListNumber"/>
        <w:spacing w:after="80"/>
      </w:pPr>
      <w:r>
        <w:t>If serious verified deterioration is detected for a watched company, trigger Red Flag Alert.</w:t>
      </w:r>
    </w:p>
    <w:p>
      <w:pPr>
        <w:pStyle w:val="ListNumber"/>
        <w:spacing w:after="80"/>
      </w:pPr>
      <w:r>
        <w:t>If meaningful but not urgent, create Discovery card or Daily Brief item.</w:t>
      </w:r>
    </w:p>
    <w:p>
      <w:pPr>
        <w:pStyle w:val="ListNumber"/>
        <w:spacing w:after="80"/>
      </w:pPr>
      <w:r>
        <w:t>If no meaningful change, store No Material Change and avoid noisy notifications.</w:t>
      </w:r>
    </w:p>
    <w:tbl>
      <w:tblPr>
        <w:tblStyle w:val="TableGrid"/>
        <w:tblW w:type="auto" w:w="0"/>
        <w:tblLook w:firstColumn="1" w:firstRow="1" w:lastColumn="0" w:lastRow="0" w:noHBand="0" w:noVBand="1" w:val="04A0"/>
      </w:tblPr>
      <w:tblGrid>
        <w:gridCol w:w="10368"/>
      </w:tblGrid>
      <w:tr>
        <w:tc>
          <w:tcPr>
            <w:tcW w:type="dxa" w:w="10368"/>
            <w:shd w:fill="FFF3CD"/>
          </w:tcPr>
          <w:p>
            <w:r/>
            <w:r>
              <w:rPr>
                <w:rFonts w:ascii="Arial" w:hAnsi="Arial"/>
                <w:b/>
                <w:color w:val="005A50"/>
                <w:sz w:val="18"/>
              </w:rPr>
              <w:t>No-noise rule</w:t>
            </w:r>
            <w:r>
              <w:rPr>
                <w:sz w:val="18"/>
              </w:rPr>
              <w:br/>
              <w:t>A minor article, duplicate press release, or weak social media claim should not create a new signal, Discovery card, or push notification. The app should reward meaningful ESG monitoring, not constant noise.</w:t>
            </w:r>
          </w:p>
        </w:tc>
      </w:tr>
    </w:tbl>
    <w:p>
      <w:pPr>
        <w:spacing w:after="80"/>
      </w:pPr>
    </w:p>
    <w:p>
      <w:pPr>
        <w:pStyle w:val="Heading1"/>
        <w:spacing w:after="80"/>
      </w:pPr>
      <w:r>
        <w:t>9. Signal Thresholds and Override Rules</w:t>
      </w:r>
    </w:p>
    <w:tbl>
      <w:tblPr>
        <w:tblStyle w:val="TableGrid"/>
        <w:tblW w:type="auto" w:w="0"/>
        <w:jc w:val="center"/>
        <w:tblLook w:firstColumn="1" w:firstRow="1" w:lastColumn="0" w:lastRow="0" w:noHBand="0" w:noVBand="1" w:val="04A0"/>
      </w:tblPr>
      <w:tblGrid>
        <w:gridCol w:w="3456"/>
        <w:gridCol w:w="3456"/>
        <w:gridCol w:w="3456"/>
      </w:tblGrid>
      <w:tr>
        <w:tc>
          <w:tcPr>
            <w:tcW w:type="dxa" w:w="1872"/>
            <w:shd w:fill="007866"/>
          </w:tcPr>
          <w:p>
            <w:pPr>
              <w:spacing w:after="0"/>
            </w:pPr>
            <w:r/>
            <w:r>
              <w:rPr>
                <w:rFonts w:ascii="Arial" w:hAnsi="Arial" w:eastAsia="Arial"/>
                <w:b/>
                <w:color w:val="FFFFFF"/>
                <w:sz w:val="16"/>
              </w:rPr>
              <w:t>Final Score</w:t>
            </w:r>
          </w:p>
        </w:tc>
        <w:tc>
          <w:tcPr>
            <w:tcW w:type="dxa" w:w="1584"/>
            <w:shd w:fill="007866"/>
          </w:tcPr>
          <w:p>
            <w:pPr>
              <w:spacing w:after="0"/>
            </w:pPr>
            <w:r/>
            <w:r>
              <w:rPr>
                <w:rFonts w:ascii="Arial" w:hAnsi="Arial" w:eastAsia="Arial"/>
                <w:b/>
                <w:color w:val="FFFFFF"/>
                <w:sz w:val="16"/>
              </w:rPr>
              <w:t>Signal</w:t>
            </w:r>
          </w:p>
        </w:tc>
        <w:tc>
          <w:tcPr>
            <w:tcW w:type="dxa" w:w="7488"/>
            <w:shd w:fill="007866"/>
          </w:tcPr>
          <w:p>
            <w:pPr>
              <w:spacing w:after="0"/>
            </w:pPr>
            <w:r/>
            <w:r>
              <w:rPr>
                <w:rFonts w:ascii="Arial" w:hAnsi="Arial" w:eastAsia="Arial"/>
                <w:b/>
                <w:color w:val="FFFFFF"/>
                <w:sz w:val="16"/>
              </w:rPr>
              <w:t>Explanation</w:t>
            </w:r>
          </w:p>
        </w:tc>
      </w:tr>
      <w:tr>
        <w:tc>
          <w:tcPr>
            <w:tcW w:type="dxa" w:w="1872"/>
            <w:shd w:fill="EAF4F1"/>
            <w:vAlign w:val="top"/>
          </w:tcPr>
          <w:p>
            <w:pPr>
              <w:spacing w:after="0"/>
            </w:pPr>
            <w:r/>
            <w:r>
              <w:rPr>
                <w:rFonts w:ascii="Arial" w:hAnsi="Arial" w:eastAsia="Arial"/>
                <w:b w:val="0"/>
                <w:sz w:val="16"/>
              </w:rPr>
              <w:t>0-34</w:t>
            </w:r>
          </w:p>
        </w:tc>
        <w:tc>
          <w:tcPr>
            <w:tcW w:type="dxa" w:w="1584"/>
            <w:shd w:fill="EAF4F1"/>
            <w:vAlign w:val="top"/>
          </w:tcPr>
          <w:p>
            <w:pPr>
              <w:spacing w:after="0"/>
            </w:pPr>
            <w:r/>
            <w:r>
              <w:rPr>
                <w:rFonts w:ascii="Arial" w:hAnsi="Arial" w:eastAsia="Arial"/>
                <w:b w:val="0"/>
                <w:sz w:val="16"/>
              </w:rPr>
              <w:t>Green</w:t>
            </w:r>
          </w:p>
        </w:tc>
        <w:tc>
          <w:tcPr>
            <w:tcW w:type="dxa" w:w="7488"/>
            <w:shd w:fill="EAF4F1"/>
            <w:vAlign w:val="top"/>
          </w:tcPr>
          <w:p>
            <w:pPr>
              <w:spacing w:after="0"/>
            </w:pPr>
            <w:r/>
            <w:r>
              <w:rPr>
                <w:rFonts w:ascii="Arial" w:hAnsi="Arial" w:eastAsia="Arial"/>
                <w:b w:val="0"/>
                <w:sz w:val="16"/>
              </w:rPr>
              <w:t>Low deterioration risk. No major warning signs found.</w:t>
            </w:r>
          </w:p>
        </w:tc>
      </w:tr>
      <w:tr>
        <w:tc>
          <w:tcPr>
            <w:tcW w:type="dxa" w:w="1872"/>
            <w:vAlign w:val="top"/>
          </w:tcPr>
          <w:p>
            <w:pPr>
              <w:spacing w:after="0"/>
            </w:pPr>
            <w:r/>
            <w:r>
              <w:rPr>
                <w:rFonts w:ascii="Arial" w:hAnsi="Arial" w:eastAsia="Arial"/>
                <w:b w:val="0"/>
                <w:sz w:val="16"/>
              </w:rPr>
              <w:t>35-64</w:t>
            </w:r>
          </w:p>
        </w:tc>
        <w:tc>
          <w:tcPr>
            <w:tcW w:type="dxa" w:w="1584"/>
            <w:vAlign w:val="top"/>
          </w:tcPr>
          <w:p>
            <w:pPr>
              <w:spacing w:after="0"/>
            </w:pPr>
            <w:r/>
            <w:r>
              <w:rPr>
                <w:rFonts w:ascii="Arial" w:hAnsi="Arial" w:eastAsia="Arial"/>
                <w:b w:val="0"/>
                <w:sz w:val="16"/>
              </w:rPr>
              <w:t>Watch</w:t>
            </w:r>
          </w:p>
        </w:tc>
        <w:tc>
          <w:tcPr>
            <w:tcW w:type="dxa" w:w="7488"/>
            <w:vAlign w:val="top"/>
          </w:tcPr>
          <w:p>
            <w:pPr>
              <w:spacing w:after="0"/>
            </w:pPr>
            <w:r/>
            <w:r>
              <w:rPr>
                <w:rFonts w:ascii="Arial" w:hAnsi="Arial" w:eastAsia="Arial"/>
                <w:b w:val="0"/>
                <w:sz w:val="16"/>
              </w:rPr>
              <w:t>Moderate concern, uncertainty, missing evidence, or early warning signs.</w:t>
            </w:r>
          </w:p>
        </w:tc>
      </w:tr>
      <w:tr>
        <w:tc>
          <w:tcPr>
            <w:tcW w:type="dxa" w:w="1872"/>
            <w:shd w:fill="EAF4F1"/>
            <w:vAlign w:val="top"/>
          </w:tcPr>
          <w:p>
            <w:pPr>
              <w:spacing w:after="0"/>
            </w:pPr>
            <w:r/>
            <w:r>
              <w:rPr>
                <w:rFonts w:ascii="Arial" w:hAnsi="Arial" w:eastAsia="Arial"/>
                <w:b w:val="0"/>
                <w:sz w:val="16"/>
              </w:rPr>
              <w:t>65-100</w:t>
            </w:r>
          </w:p>
        </w:tc>
        <w:tc>
          <w:tcPr>
            <w:tcW w:type="dxa" w:w="1584"/>
            <w:shd w:fill="EAF4F1"/>
            <w:vAlign w:val="top"/>
          </w:tcPr>
          <w:p>
            <w:pPr>
              <w:spacing w:after="0"/>
            </w:pPr>
            <w:r/>
            <w:r>
              <w:rPr>
                <w:rFonts w:ascii="Arial" w:hAnsi="Arial" w:eastAsia="Arial"/>
                <w:b w:val="0"/>
                <w:sz w:val="16"/>
              </w:rPr>
              <w:t>Red</w:t>
            </w:r>
          </w:p>
        </w:tc>
        <w:tc>
          <w:tcPr>
            <w:tcW w:type="dxa" w:w="7488"/>
            <w:shd w:fill="EAF4F1"/>
            <w:vAlign w:val="top"/>
          </w:tcPr>
          <w:p>
            <w:pPr>
              <w:spacing w:after="0"/>
            </w:pPr>
            <w:r/>
            <w:r>
              <w:rPr>
                <w:rFonts w:ascii="Arial" w:hAnsi="Arial" w:eastAsia="Arial"/>
                <w:b w:val="0"/>
                <w:sz w:val="16"/>
              </w:rPr>
              <w:t>Serious ESG deterioration, high-severity controversy, regulatory issue, or verified risk.</w:t>
            </w:r>
          </w:p>
        </w:tc>
      </w:tr>
    </w:tbl>
    <w:p>
      <w:pPr>
        <w:spacing w:after="80"/>
      </w:pPr>
    </w:p>
    <w:p>
      <w:pPr>
        <w:pStyle w:val="Heading2"/>
        <w:spacing w:after="80"/>
      </w:pPr>
      <w:r>
        <w:t>9.1 Red override rules</w:t>
      </w:r>
    </w:p>
    <w:p>
      <w:pPr>
        <w:pStyle w:val="ListBullet"/>
        <w:spacing w:after="80"/>
      </w:pPr>
      <w:r>
        <w:t>A verified Grade A regulatory fine or enforcement action with severity above 80 can trigger Red even if weighted score is slightly below 65.</w:t>
      </w:r>
    </w:p>
    <w:p>
      <w:pPr>
        <w:pStyle w:val="ListBullet"/>
        <w:spacing w:after="80"/>
      </w:pPr>
      <w:r>
        <w:t>A high-severity supplier scandal can trigger Red if the supplier is material and the parent company claims strong supply chain ESG standards.</w:t>
      </w:r>
    </w:p>
    <w:p>
      <w:pPr>
        <w:pStyle w:val="ListBullet"/>
        <w:spacing w:after="80"/>
      </w:pPr>
      <w:r>
        <w:t>Repeated broken ESG promises can trigger Red if the company has missed deadlines and there is no credible remediation.</w:t>
      </w:r>
    </w:p>
    <w:p>
      <w:pPr>
        <w:pStyle w:val="ListBullet"/>
        <w:spacing w:after="80"/>
      </w:pPr>
      <w:r>
        <w:t>A single low-confidence article cannot trigger Red by itself. It can only create Watch or be stored as weak evidence.</w:t>
      </w:r>
    </w:p>
    <w:p>
      <w:pPr>
        <w:pStyle w:val="Heading2"/>
        <w:spacing w:after="80"/>
      </w:pPr>
      <w:r>
        <w:t>9.2 Green protection rules</w:t>
      </w:r>
    </w:p>
    <w:p>
      <w:pPr>
        <w:pStyle w:val="ListBullet"/>
        <w:spacing w:after="80"/>
      </w:pPr>
      <w:r>
        <w:t>A company should not be Green if most positive ESG evidence comes only from its own website or press releases.</w:t>
      </w:r>
    </w:p>
    <w:p>
      <w:pPr>
        <w:pStyle w:val="ListBullet"/>
        <w:spacing w:after="80"/>
      </w:pPr>
      <w:r>
        <w:t>A company should not become Green if Promise Gap is At Risk or Broken unless there is credible remediation evidence.</w:t>
      </w:r>
    </w:p>
    <w:p>
      <w:pPr>
        <w:pStyle w:val="ListBullet"/>
        <w:spacing w:after="80"/>
      </w:pPr>
      <w:r>
        <w:t>Green requires both low risk and sufficient evidence confidence.</w:t>
      </w:r>
    </w:p>
    <w:p>
      <w:pPr>
        <w:pStyle w:val="Heading1"/>
        <w:spacing w:after="80"/>
      </w:pPr>
      <w:r>
        <w:t>10. Red Flag Alert Logic</w:t>
      </w:r>
    </w:p>
    <w:p>
      <w:pPr>
        <w:spacing w:after="80"/>
      </w:pPr>
      <w:r>
        <w:t>Red Flag Alerts are for followed companies only. They should be rare, credible, and easy to understand.</w:t>
      </w:r>
    </w:p>
    <w:tbl>
      <w:tblPr>
        <w:tblStyle w:val="TableGrid"/>
        <w:tblW w:type="auto" w:w="0"/>
        <w:jc w:val="center"/>
        <w:tblLook w:firstColumn="1" w:firstRow="1" w:lastColumn="0" w:lastRow="0" w:noHBand="0" w:noVBand="1" w:val="04A0"/>
      </w:tblPr>
      <w:tblGrid>
        <w:gridCol w:w="5184"/>
        <w:gridCol w:w="5184"/>
      </w:tblGrid>
      <w:tr>
        <w:tc>
          <w:tcPr>
            <w:tcW w:type="dxa" w:w="2304"/>
            <w:shd w:fill="007866"/>
          </w:tcPr>
          <w:p>
            <w:pPr>
              <w:spacing w:after="0"/>
            </w:pPr>
            <w:r/>
            <w:r>
              <w:rPr>
                <w:rFonts w:ascii="Arial" w:hAnsi="Arial" w:eastAsia="Arial"/>
                <w:b/>
                <w:color w:val="FFFFFF"/>
                <w:sz w:val="16"/>
              </w:rPr>
              <w:t>Step</w:t>
            </w:r>
          </w:p>
        </w:tc>
        <w:tc>
          <w:tcPr>
            <w:tcW w:type="dxa" w:w="8352"/>
            <w:shd w:fill="007866"/>
          </w:tcPr>
          <w:p>
            <w:pPr>
              <w:spacing w:after="0"/>
            </w:pPr>
            <w:r/>
            <w:r>
              <w:rPr>
                <w:rFonts w:ascii="Arial" w:hAnsi="Arial" w:eastAsia="Arial"/>
                <w:b/>
                <w:color w:val="FFFFFF"/>
                <w:sz w:val="16"/>
              </w:rPr>
              <w:t>Logic</w:t>
            </w:r>
          </w:p>
        </w:tc>
      </w:tr>
      <w:tr>
        <w:tc>
          <w:tcPr>
            <w:tcW w:type="dxa" w:w="2304"/>
            <w:shd w:fill="EAF4F1"/>
            <w:vAlign w:val="top"/>
          </w:tcPr>
          <w:p>
            <w:pPr>
              <w:spacing w:after="0"/>
            </w:pPr>
            <w:r/>
            <w:r>
              <w:rPr>
                <w:rFonts w:ascii="Arial" w:hAnsi="Arial" w:eastAsia="Arial"/>
                <w:b w:val="0"/>
                <w:sz w:val="16"/>
              </w:rPr>
              <w:t>1. Trigger candidate</w:t>
            </w:r>
          </w:p>
        </w:tc>
        <w:tc>
          <w:tcPr>
            <w:tcW w:type="dxa" w:w="8352"/>
            <w:shd w:fill="EAF4F1"/>
            <w:vAlign w:val="top"/>
          </w:tcPr>
          <w:p>
            <w:pPr>
              <w:spacing w:after="0"/>
            </w:pPr>
            <w:r/>
            <w:r>
              <w:rPr>
                <w:rFonts w:ascii="Arial" w:hAnsi="Arial" w:eastAsia="Arial"/>
                <w:b w:val="0"/>
                <w:sz w:val="16"/>
              </w:rPr>
              <w:t>Company in Watchlist moves to Red or receives a high-severity verified event.</w:t>
            </w:r>
          </w:p>
        </w:tc>
      </w:tr>
      <w:tr>
        <w:tc>
          <w:tcPr>
            <w:tcW w:type="dxa" w:w="2304"/>
            <w:vAlign w:val="top"/>
          </w:tcPr>
          <w:p>
            <w:pPr>
              <w:spacing w:after="0"/>
            </w:pPr>
            <w:r/>
            <w:r>
              <w:rPr>
                <w:rFonts w:ascii="Arial" w:hAnsi="Arial" w:eastAsia="Arial"/>
                <w:b w:val="0"/>
                <w:sz w:val="16"/>
              </w:rPr>
              <w:t>2. Verify source</w:t>
            </w:r>
          </w:p>
        </w:tc>
        <w:tc>
          <w:tcPr>
            <w:tcW w:type="dxa" w:w="8352"/>
            <w:vAlign w:val="top"/>
          </w:tcPr>
          <w:p>
            <w:pPr>
              <w:spacing w:after="0"/>
            </w:pPr>
            <w:r/>
            <w:r>
              <w:rPr>
                <w:rFonts w:ascii="Arial" w:hAnsi="Arial" w:eastAsia="Arial"/>
                <w:b w:val="0"/>
                <w:sz w:val="16"/>
              </w:rPr>
              <w:t>At least one Grade A source, or two independent Grade B sources, or strong corroborated evidence.</w:t>
            </w:r>
          </w:p>
        </w:tc>
      </w:tr>
      <w:tr>
        <w:tc>
          <w:tcPr>
            <w:tcW w:type="dxa" w:w="2304"/>
            <w:shd w:fill="EAF4F1"/>
            <w:vAlign w:val="top"/>
          </w:tcPr>
          <w:p>
            <w:pPr>
              <w:spacing w:after="0"/>
            </w:pPr>
            <w:r/>
            <w:r>
              <w:rPr>
                <w:rFonts w:ascii="Arial" w:hAnsi="Arial" w:eastAsia="Arial"/>
                <w:b w:val="0"/>
                <w:sz w:val="16"/>
              </w:rPr>
              <w:t>3. Confirm novelty</w:t>
            </w:r>
          </w:p>
        </w:tc>
        <w:tc>
          <w:tcPr>
            <w:tcW w:type="dxa" w:w="8352"/>
            <w:shd w:fill="EAF4F1"/>
            <w:vAlign w:val="top"/>
          </w:tcPr>
          <w:p>
            <w:pPr>
              <w:spacing w:after="0"/>
            </w:pPr>
            <w:r/>
            <w:r>
              <w:rPr>
                <w:rFonts w:ascii="Arial" w:hAnsi="Arial" w:eastAsia="Arial"/>
                <w:b w:val="0"/>
                <w:sz w:val="16"/>
              </w:rPr>
              <w:t>Check that the event is new and not already included in previous score.</w:t>
            </w:r>
          </w:p>
        </w:tc>
      </w:tr>
      <w:tr>
        <w:tc>
          <w:tcPr>
            <w:tcW w:type="dxa" w:w="2304"/>
            <w:vAlign w:val="top"/>
          </w:tcPr>
          <w:p>
            <w:pPr>
              <w:spacing w:after="0"/>
            </w:pPr>
            <w:r/>
            <w:r>
              <w:rPr>
                <w:rFonts w:ascii="Arial" w:hAnsi="Arial" w:eastAsia="Arial"/>
                <w:b w:val="0"/>
                <w:sz w:val="16"/>
              </w:rPr>
              <w:t>4. Check materiality</w:t>
            </w:r>
          </w:p>
        </w:tc>
        <w:tc>
          <w:tcPr>
            <w:tcW w:type="dxa" w:w="8352"/>
            <w:vAlign w:val="top"/>
          </w:tcPr>
          <w:p>
            <w:pPr>
              <w:spacing w:after="0"/>
            </w:pPr>
            <w:r/>
            <w:r>
              <w:rPr>
                <w:rFonts w:ascii="Arial" w:hAnsi="Arial" w:eastAsia="Arial"/>
                <w:b w:val="0"/>
                <w:sz w:val="16"/>
              </w:rPr>
              <w:t>Severity high enough to affect ESG trustworthiness.</w:t>
            </w:r>
          </w:p>
        </w:tc>
      </w:tr>
      <w:tr>
        <w:tc>
          <w:tcPr>
            <w:tcW w:type="dxa" w:w="2304"/>
            <w:shd w:fill="EAF4F1"/>
            <w:vAlign w:val="top"/>
          </w:tcPr>
          <w:p>
            <w:pPr>
              <w:spacing w:after="0"/>
            </w:pPr>
            <w:r/>
            <w:r>
              <w:rPr>
                <w:rFonts w:ascii="Arial" w:hAnsi="Arial" w:eastAsia="Arial"/>
                <w:b w:val="0"/>
                <w:sz w:val="16"/>
              </w:rPr>
              <w:t>5. Generate notification</w:t>
            </w:r>
          </w:p>
        </w:tc>
        <w:tc>
          <w:tcPr>
            <w:tcW w:type="dxa" w:w="8352"/>
            <w:shd w:fill="EAF4F1"/>
            <w:vAlign w:val="top"/>
          </w:tcPr>
          <w:p>
            <w:pPr>
              <w:spacing w:after="0"/>
            </w:pPr>
            <w:r/>
            <w:r>
              <w:rPr>
                <w:rFonts w:ascii="Arial" w:hAnsi="Arial" w:eastAsia="Arial"/>
                <w:b w:val="0"/>
                <w:sz w:val="16"/>
              </w:rPr>
              <w:t>Short, factual, no buy/sell wording.</w:t>
            </w:r>
          </w:p>
        </w:tc>
      </w:tr>
      <w:tr>
        <w:tc>
          <w:tcPr>
            <w:tcW w:type="dxa" w:w="2304"/>
            <w:vAlign w:val="top"/>
          </w:tcPr>
          <w:p>
            <w:pPr>
              <w:spacing w:after="0"/>
            </w:pPr>
            <w:r/>
            <w:r>
              <w:rPr>
                <w:rFonts w:ascii="Arial" w:hAnsi="Arial" w:eastAsia="Arial"/>
                <w:b w:val="0"/>
                <w:sz w:val="16"/>
              </w:rPr>
              <w:t>6. Open evidence page</w:t>
            </w:r>
          </w:p>
        </w:tc>
        <w:tc>
          <w:tcPr>
            <w:tcW w:type="dxa" w:w="8352"/>
            <w:vAlign w:val="top"/>
          </w:tcPr>
          <w:p>
            <w:pPr>
              <w:spacing w:after="0"/>
            </w:pPr>
            <w:r/>
            <w:r>
              <w:rPr>
                <w:rFonts w:ascii="Arial" w:hAnsi="Arial" w:eastAsia="Arial"/>
                <w:b w:val="0"/>
                <w:sz w:val="16"/>
              </w:rPr>
              <w:t>Tap leads to Company Detail with what changed, why it matters, receipts, and confidence.</w:t>
            </w:r>
          </w:p>
        </w:tc>
      </w:tr>
    </w:tbl>
    <w:p>
      <w:pPr>
        <w:spacing w:after="80"/>
      </w:pPr>
    </w:p>
    <w:p>
      <w:pPr>
        <w:pStyle w:val="CodeBlock"/>
        <w:spacing w:after="80"/>
      </w:pPr>
      <w:r>
        <w:t>if company.is_watched and previous_signal != "red" and new_signal == "red":</w:t>
      </w:r>
    </w:p>
    <w:p>
      <w:pPr>
        <w:pStyle w:val="CodeBlock"/>
        <w:spacing w:after="80"/>
      </w:pPr>
      <w:r>
        <w:t xml:space="preserve">    if severity &gt;= 75 and evidence_confidence &gt;= 75:</w:t>
      </w:r>
    </w:p>
    <w:p>
      <w:pPr>
        <w:pStyle w:val="CodeBlock"/>
        <w:spacing w:after="80"/>
      </w:pPr>
      <w:r>
        <w:t xml:space="preserve">        send_red_flag_alert(company)</w:t>
      </w:r>
    </w:p>
    <w:p>
      <w:pPr>
        <w:pStyle w:val="CodeBlock"/>
        <w:spacing w:after="80"/>
      </w:pPr>
      <w:r>
        <w:t xml:space="preserve">    else:</w:t>
      </w:r>
    </w:p>
    <w:p>
      <w:pPr>
        <w:pStyle w:val="CodeBlock"/>
        <w:spacing w:after="80"/>
      </w:pPr>
      <w:r>
        <w:t xml:space="preserve">        add_to_daily_brief(company, section="Needs Attention")</w:t>
      </w:r>
    </w:p>
    <w:tbl>
      <w:tblPr>
        <w:tblStyle w:val="TableGrid"/>
        <w:tblW w:type="auto" w:w="0"/>
        <w:tblLook w:firstColumn="1" w:firstRow="1" w:lastColumn="0" w:lastRow="0" w:noHBand="0" w:noVBand="1" w:val="04A0"/>
      </w:tblPr>
      <w:tblGrid>
        <w:gridCol w:w="10368"/>
      </w:tblGrid>
      <w:tr>
        <w:tc>
          <w:tcPr>
            <w:tcW w:type="dxa" w:w="10368"/>
            <w:shd w:fill="F8D7DA"/>
          </w:tcPr>
          <w:p>
            <w:r/>
            <w:r>
              <w:rPr>
                <w:rFonts w:ascii="Arial" w:hAnsi="Arial"/>
                <w:b/>
                <w:color w:val="005A50"/>
                <w:sz w:val="18"/>
              </w:rPr>
              <w:t>Push notification wording</w:t>
            </w:r>
            <w:r>
              <w:rPr>
                <w:sz w:val="18"/>
              </w:rPr>
              <w:br/>
              <w:t>Use: "Red Flag Alert: Company A moved from Watch to Red after a verified supplier labour controversy was detected. Tap to see why." Avoid: "Sell now", "Act fast", or any trading instruction.</w:t>
            </w:r>
          </w:p>
        </w:tc>
      </w:tr>
    </w:tbl>
    <w:p>
      <w:pPr>
        <w:spacing w:after="80"/>
      </w:pPr>
    </w:p>
    <w:p>
      <w:pPr>
        <w:pStyle w:val="Heading1"/>
        <w:spacing w:after="80"/>
      </w:pPr>
      <w:r>
        <w:t>11. Discovery Tab</w:t>
      </w:r>
    </w:p>
    <w:p>
      <w:pPr>
        <w:spacing w:after="80"/>
      </w:pPr>
      <w:r>
        <w:t>Discovery is a tab inside ESG Deathwatch. It helps users find ESG changes more naturally, but it does not replace Search, Watchlist, Daily Brief, Alerts, or the signal engine.</w:t>
      </w:r>
    </w:p>
    <w:p>
      <w:pPr>
        <w:pStyle w:val="Heading2"/>
        <w:spacing w:after="80"/>
      </w:pPr>
      <w:r>
        <w:t>11.1 Discovery card types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007866"/>
          </w:tcPr>
          <w:p>
            <w:pPr>
              <w:spacing w:after="0"/>
            </w:pPr>
            <w:r/>
            <w:r>
              <w:rPr>
                <w:rFonts w:ascii="Arial" w:hAnsi="Arial" w:eastAsia="Arial"/>
                <w:b/>
                <w:color w:val="FFFFFF"/>
                <w:sz w:val="15"/>
              </w:rPr>
              <w:t>Card Type</w:t>
            </w:r>
          </w:p>
        </w:tc>
        <w:tc>
          <w:tcPr>
            <w:tcW w:type="dxa" w:w="3888"/>
            <w:shd w:fill="007866"/>
          </w:tcPr>
          <w:p>
            <w:pPr>
              <w:spacing w:after="0"/>
            </w:pPr>
            <w:r/>
            <w:r>
              <w:rPr>
                <w:rFonts w:ascii="Arial" w:hAnsi="Arial" w:eastAsia="Arial"/>
                <w:b/>
                <w:color w:val="FFFFFF"/>
                <w:sz w:val="15"/>
              </w:rPr>
              <w:t>When It Appears</w:t>
            </w:r>
          </w:p>
        </w:tc>
        <w:tc>
          <w:tcPr>
            <w:tcW w:type="dxa" w:w="4320"/>
            <w:shd w:fill="007866"/>
          </w:tcPr>
          <w:p>
            <w:pPr>
              <w:spacing w:after="0"/>
            </w:pPr>
            <w:r/>
            <w:r>
              <w:rPr>
                <w:rFonts w:ascii="Arial" w:hAnsi="Arial" w:eastAsia="Arial"/>
                <w:b/>
                <w:color w:val="FFFFFF"/>
                <w:sz w:val="15"/>
              </w:rPr>
              <w:t>Example Text</w:t>
            </w:r>
          </w:p>
        </w:tc>
        <w:tc>
          <w:tcPr>
            <w:tcW w:type="dxa" w:w="1872"/>
            <w:shd w:fill="007866"/>
          </w:tcPr>
          <w:p>
            <w:pPr>
              <w:spacing w:after="0"/>
            </w:pPr>
            <w:r/>
            <w:r>
              <w:rPr>
                <w:rFonts w:ascii="Arial" w:hAnsi="Arial" w:eastAsia="Arial"/>
                <w:b/>
                <w:color w:val="FFFFFF"/>
                <w:sz w:val="15"/>
              </w:rPr>
              <w:t>Primary CTA</w:t>
            </w:r>
          </w:p>
        </w:tc>
      </w:tr>
      <w:tr>
        <w:tc>
          <w:tcPr>
            <w:tcW w:type="dxa" w:w="2016"/>
            <w:shd w:fill="EAF4F1"/>
            <w:vAlign w:val="top"/>
          </w:tcPr>
          <w:p>
            <w:pPr>
              <w:spacing w:after="0"/>
            </w:pPr>
            <w:r/>
            <w:r>
              <w:rPr>
                <w:rFonts w:ascii="Arial" w:hAnsi="Arial" w:eastAsia="Arial"/>
                <w:b w:val="0"/>
                <w:sz w:val="15"/>
              </w:rPr>
              <w:t>Turned Green</w:t>
            </w:r>
          </w:p>
        </w:tc>
        <w:tc>
          <w:tcPr>
            <w:tcW w:type="dxa" w:w="3888"/>
            <w:shd w:fill="EAF4F1"/>
            <w:vAlign w:val="top"/>
          </w:tcPr>
          <w:p>
            <w:pPr>
              <w:spacing w:after="0"/>
            </w:pPr>
            <w:r/>
            <w:r>
              <w:rPr>
                <w:rFonts w:ascii="Arial" w:hAnsi="Arial" w:eastAsia="Arial"/>
                <w:b w:val="0"/>
                <w:sz w:val="15"/>
              </w:rPr>
              <w:t>Company improved from Watch/Red to Green with strong evidence.</w:t>
            </w:r>
          </w:p>
        </w:tc>
        <w:tc>
          <w:tcPr>
            <w:tcW w:type="dxa" w:w="4320"/>
            <w:shd w:fill="EAF4F1"/>
            <w:vAlign w:val="top"/>
          </w:tcPr>
          <w:p>
            <w:pPr>
              <w:spacing w:after="0"/>
            </w:pPr>
            <w:r/>
            <w:r>
              <w:rPr>
                <w:rFonts w:ascii="Arial" w:hAnsi="Arial" w:eastAsia="Arial"/>
                <w:b w:val="0"/>
                <w:sz w:val="15"/>
              </w:rPr>
              <w:t>Verified renewable energy progress found. Net-zero promise now on track.</w:t>
            </w:r>
          </w:p>
        </w:tc>
        <w:tc>
          <w:tcPr>
            <w:tcW w:type="dxa" w:w="1872"/>
            <w:shd w:fill="EAF4F1"/>
            <w:vAlign w:val="top"/>
          </w:tcPr>
          <w:p>
            <w:pPr>
              <w:spacing w:after="0"/>
            </w:pPr>
            <w:r/>
            <w:r>
              <w:rPr>
                <w:rFonts w:ascii="Arial" w:hAnsi="Arial" w:eastAsia="Arial"/>
                <w:b w:val="0"/>
                <w:sz w:val="15"/>
              </w:rPr>
              <w:t>Why Green?</w:t>
            </w:r>
          </w:p>
        </w:tc>
      </w:tr>
      <w:tr>
        <w:tc>
          <w:tcPr>
            <w:tcW w:type="dxa" w:w="2016"/>
            <w:vAlign w:val="top"/>
          </w:tcPr>
          <w:p>
            <w:pPr>
              <w:spacing w:after="0"/>
            </w:pPr>
            <w:r/>
            <w:r>
              <w:rPr>
                <w:rFonts w:ascii="Arial" w:hAnsi="Arial" w:eastAsia="Arial"/>
                <w:b w:val="0"/>
                <w:sz w:val="15"/>
              </w:rPr>
              <w:t>Turned Red</w:t>
            </w:r>
          </w:p>
        </w:tc>
        <w:tc>
          <w:tcPr>
            <w:tcW w:type="dxa" w:w="3888"/>
            <w:vAlign w:val="top"/>
          </w:tcPr>
          <w:p>
            <w:pPr>
              <w:spacing w:after="0"/>
            </w:pPr>
            <w:r/>
            <w:r>
              <w:rPr>
                <w:rFonts w:ascii="Arial" w:hAnsi="Arial" w:eastAsia="Arial"/>
                <w:b w:val="0"/>
                <w:sz w:val="15"/>
              </w:rPr>
              <w:t>Company worsened to Red with verified high-severity evidence.</w:t>
            </w:r>
          </w:p>
        </w:tc>
        <w:tc>
          <w:tcPr>
            <w:tcW w:type="dxa" w:w="4320"/>
            <w:vAlign w:val="top"/>
          </w:tcPr>
          <w:p>
            <w:pPr>
              <w:spacing w:after="0"/>
            </w:pPr>
            <w:r/>
            <w:r>
              <w:rPr>
                <w:rFonts w:ascii="Arial" w:hAnsi="Arial" w:eastAsia="Arial"/>
                <w:b w:val="0"/>
                <w:sz w:val="15"/>
              </w:rPr>
              <w:t>Supplier labour controversy detected. Evidence confidence is high.</w:t>
            </w:r>
          </w:p>
        </w:tc>
        <w:tc>
          <w:tcPr>
            <w:tcW w:type="dxa" w:w="1872"/>
            <w:vAlign w:val="top"/>
          </w:tcPr>
          <w:p>
            <w:pPr>
              <w:spacing w:after="0"/>
            </w:pPr>
            <w:r/>
            <w:r>
              <w:rPr>
                <w:rFonts w:ascii="Arial" w:hAnsi="Arial" w:eastAsia="Arial"/>
                <w:b w:val="0"/>
                <w:sz w:val="15"/>
              </w:rPr>
              <w:t>See Receipts</w:t>
            </w:r>
          </w:p>
        </w:tc>
      </w:tr>
      <w:tr>
        <w:tc>
          <w:tcPr>
            <w:tcW w:type="dxa" w:w="2016"/>
            <w:shd w:fill="EAF4F1"/>
            <w:vAlign w:val="top"/>
          </w:tcPr>
          <w:p>
            <w:pPr>
              <w:spacing w:after="0"/>
            </w:pPr>
            <w:r/>
            <w:r>
              <w:rPr>
                <w:rFonts w:ascii="Arial" w:hAnsi="Arial" w:eastAsia="Arial"/>
                <w:b w:val="0"/>
                <w:sz w:val="15"/>
              </w:rPr>
              <w:t>Trending Watch</w:t>
            </w:r>
          </w:p>
        </w:tc>
        <w:tc>
          <w:tcPr>
            <w:tcW w:type="dxa" w:w="3888"/>
            <w:shd w:fill="EAF4F1"/>
            <w:vAlign w:val="top"/>
          </w:tcPr>
          <w:p>
            <w:pPr>
              <w:spacing w:after="0"/>
            </w:pPr>
            <w:r/>
            <w:r>
              <w:rPr>
                <w:rFonts w:ascii="Arial" w:hAnsi="Arial" w:eastAsia="Arial"/>
                <w:b w:val="0"/>
                <w:sz w:val="15"/>
              </w:rPr>
              <w:t>Company has early warning signs or missing evidence.</w:t>
            </w:r>
          </w:p>
        </w:tc>
        <w:tc>
          <w:tcPr>
            <w:tcW w:type="dxa" w:w="4320"/>
            <w:shd w:fill="EAF4F1"/>
            <w:vAlign w:val="top"/>
          </w:tcPr>
          <w:p>
            <w:pPr>
              <w:spacing w:after="0"/>
            </w:pPr>
            <w:r/>
            <w:r>
              <w:rPr>
                <w:rFonts w:ascii="Arial" w:hAnsi="Arial" w:eastAsia="Arial"/>
                <w:b w:val="0"/>
                <w:sz w:val="15"/>
              </w:rPr>
              <w:t>High sustainability talk, but weak external proof found.</w:t>
            </w:r>
          </w:p>
        </w:tc>
        <w:tc>
          <w:tcPr>
            <w:tcW w:type="dxa" w:w="1872"/>
            <w:shd w:fill="EAF4F1"/>
            <w:vAlign w:val="top"/>
          </w:tcPr>
          <w:p>
            <w:pPr>
              <w:spacing w:after="0"/>
            </w:pPr>
            <w:r/>
            <w:r>
              <w:rPr>
                <w:rFonts w:ascii="Arial" w:hAnsi="Arial" w:eastAsia="Arial"/>
                <w:b w:val="0"/>
                <w:sz w:val="15"/>
              </w:rPr>
              <w:t>Why Watch?</w:t>
            </w:r>
          </w:p>
        </w:tc>
      </w:tr>
      <w:tr>
        <w:tc>
          <w:tcPr>
            <w:tcW w:type="dxa" w:w="2016"/>
            <w:vAlign w:val="top"/>
          </w:tcPr>
          <w:p>
            <w:pPr>
              <w:spacing w:after="0"/>
            </w:pPr>
            <w:r/>
            <w:r>
              <w:rPr>
                <w:rFonts w:ascii="Arial" w:hAnsi="Arial" w:eastAsia="Arial"/>
                <w:b w:val="0"/>
                <w:sz w:val="15"/>
              </w:rPr>
              <w:t>Promise Alert</w:t>
            </w:r>
          </w:p>
        </w:tc>
        <w:tc>
          <w:tcPr>
            <w:tcW w:type="dxa" w:w="3888"/>
            <w:vAlign w:val="top"/>
          </w:tcPr>
          <w:p>
            <w:pPr>
              <w:spacing w:after="0"/>
            </w:pPr>
            <w:r/>
            <w:r>
              <w:rPr>
                <w:rFonts w:ascii="Arial" w:hAnsi="Arial" w:eastAsia="Arial"/>
                <w:b w:val="0"/>
                <w:sz w:val="15"/>
              </w:rPr>
              <w:t>Promise became At Risk, Broken, or Gone Silent.</w:t>
            </w:r>
          </w:p>
        </w:tc>
        <w:tc>
          <w:tcPr>
            <w:tcW w:type="dxa" w:w="4320"/>
            <w:vAlign w:val="top"/>
          </w:tcPr>
          <w:p>
            <w:pPr>
              <w:spacing w:after="0"/>
            </w:pPr>
            <w:r/>
            <w:r>
              <w:rPr>
                <w:rFonts w:ascii="Arial" w:hAnsi="Arial" w:eastAsia="Arial"/>
                <w:b w:val="0"/>
                <w:sz w:val="15"/>
              </w:rPr>
              <w:t>Net-zero progress update missing for 14 months.</w:t>
            </w:r>
          </w:p>
        </w:tc>
        <w:tc>
          <w:tcPr>
            <w:tcW w:type="dxa" w:w="1872"/>
            <w:vAlign w:val="top"/>
          </w:tcPr>
          <w:p>
            <w:pPr>
              <w:spacing w:after="0"/>
            </w:pPr>
            <w:r/>
            <w:r>
              <w:rPr>
                <w:rFonts w:ascii="Arial" w:hAnsi="Arial" w:eastAsia="Arial"/>
                <w:b w:val="0"/>
                <w:sz w:val="15"/>
              </w:rPr>
              <w:t>View Promise Tracker</w:t>
            </w:r>
          </w:p>
        </w:tc>
      </w:tr>
      <w:tr>
        <w:tc>
          <w:tcPr>
            <w:tcW w:type="dxa" w:w="2016"/>
            <w:shd w:fill="EAF4F1"/>
            <w:vAlign w:val="top"/>
          </w:tcPr>
          <w:p>
            <w:pPr>
              <w:spacing w:after="0"/>
            </w:pPr>
            <w:r/>
            <w:r>
              <w:rPr>
                <w:rFonts w:ascii="Arial" w:hAnsi="Arial" w:eastAsia="Arial"/>
                <w:b w:val="0"/>
                <w:sz w:val="15"/>
              </w:rPr>
              <w:t>Greenwashing Risk</w:t>
            </w:r>
          </w:p>
        </w:tc>
        <w:tc>
          <w:tcPr>
            <w:tcW w:type="dxa" w:w="3888"/>
            <w:shd w:fill="EAF4F1"/>
            <w:vAlign w:val="top"/>
          </w:tcPr>
          <w:p>
            <w:pPr>
              <w:spacing w:after="0"/>
            </w:pPr>
            <w:r/>
            <w:r>
              <w:rPr>
                <w:rFonts w:ascii="Arial" w:hAnsi="Arial" w:eastAsia="Arial"/>
                <w:b w:val="0"/>
                <w:sz w:val="15"/>
              </w:rPr>
              <w:t>Talk-vs-Action Gap increases.</w:t>
            </w:r>
          </w:p>
        </w:tc>
        <w:tc>
          <w:tcPr>
            <w:tcW w:type="dxa" w:w="4320"/>
            <w:shd w:fill="EAF4F1"/>
            <w:vAlign w:val="top"/>
          </w:tcPr>
          <w:p>
            <w:pPr>
              <w:spacing w:after="0"/>
            </w:pPr>
            <w:r/>
            <w:r>
              <w:rPr>
                <w:rFonts w:ascii="Arial" w:hAnsi="Arial" w:eastAsia="Arial"/>
                <w:b w:val="0"/>
                <w:sz w:val="15"/>
              </w:rPr>
              <w:t>ESG language increased, but external action evidence is limited.</w:t>
            </w:r>
          </w:p>
        </w:tc>
        <w:tc>
          <w:tcPr>
            <w:tcW w:type="dxa" w:w="1872"/>
            <w:shd w:fill="EAF4F1"/>
            <w:vAlign w:val="top"/>
          </w:tcPr>
          <w:p>
            <w:pPr>
              <w:spacing w:after="0"/>
            </w:pPr>
            <w:r/>
            <w:r>
              <w:rPr>
                <w:rFonts w:ascii="Arial" w:hAnsi="Arial" w:eastAsia="Arial"/>
                <w:b w:val="0"/>
                <w:sz w:val="15"/>
              </w:rPr>
              <w:t>See Talk-vs-Action</w:t>
            </w:r>
          </w:p>
        </w:tc>
      </w:tr>
      <w:tr>
        <w:tc>
          <w:tcPr>
            <w:tcW w:type="dxa" w:w="2016"/>
            <w:vAlign w:val="top"/>
          </w:tcPr>
          <w:p>
            <w:pPr>
              <w:spacing w:after="0"/>
            </w:pPr>
            <w:r/>
            <w:r>
              <w:rPr>
                <w:rFonts w:ascii="Arial" w:hAnsi="Arial" w:eastAsia="Arial"/>
                <w:b w:val="0"/>
                <w:sz w:val="15"/>
              </w:rPr>
              <w:t>Learning Card</w:t>
            </w:r>
          </w:p>
        </w:tc>
        <w:tc>
          <w:tcPr>
            <w:tcW w:type="dxa" w:w="3888"/>
            <w:vAlign w:val="top"/>
          </w:tcPr>
          <w:p>
            <w:pPr>
              <w:spacing w:after="0"/>
            </w:pPr>
            <w:r/>
            <w:r>
              <w:rPr>
                <w:rFonts w:ascii="Arial" w:hAnsi="Arial" w:eastAsia="Arial"/>
                <w:b w:val="0"/>
                <w:sz w:val="15"/>
              </w:rPr>
              <w:t>Useful ESG concept can be taught using a real company example.</w:t>
            </w:r>
          </w:p>
        </w:tc>
        <w:tc>
          <w:tcPr>
            <w:tcW w:type="dxa" w:w="4320"/>
            <w:vAlign w:val="top"/>
          </w:tcPr>
          <w:p>
            <w:pPr>
              <w:spacing w:after="0"/>
            </w:pPr>
            <w:r/>
            <w:r>
              <w:rPr>
                <w:rFonts w:ascii="Arial" w:hAnsi="Arial" w:eastAsia="Arial"/>
                <w:b w:val="0"/>
                <w:sz w:val="15"/>
              </w:rPr>
              <w:t>Why supplier controversies matter for ESG trust.</w:t>
            </w:r>
          </w:p>
        </w:tc>
        <w:tc>
          <w:tcPr>
            <w:tcW w:type="dxa" w:w="1872"/>
            <w:vAlign w:val="top"/>
          </w:tcPr>
          <w:p>
            <w:pPr>
              <w:spacing w:after="0"/>
            </w:pPr>
            <w:r/>
            <w:r>
              <w:rPr>
                <w:rFonts w:ascii="Arial" w:hAnsi="Arial" w:eastAsia="Arial"/>
                <w:b w:val="0"/>
                <w:sz w:val="15"/>
              </w:rPr>
              <w:t>Learn More</w:t>
            </w:r>
          </w:p>
        </w:tc>
      </w:tr>
    </w:tbl>
    <w:p>
      <w:pPr>
        <w:spacing w:after="80"/>
      </w:pPr>
    </w:p>
    <w:p>
      <w:pPr>
        <w:pStyle w:val="Heading2"/>
        <w:spacing w:after="80"/>
      </w:pPr>
      <w:r>
        <w:t>11.2 Discovery ranking logic</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07866"/>
          </w:tcPr>
          <w:p>
            <w:pPr>
              <w:spacing w:after="0"/>
            </w:pPr>
            <w:r/>
            <w:r>
              <w:rPr>
                <w:rFonts w:ascii="Arial" w:hAnsi="Arial" w:eastAsia="Arial"/>
                <w:b/>
                <w:color w:val="FFFFFF"/>
                <w:sz w:val="16"/>
              </w:rPr>
              <w:t>Ranking Factor</w:t>
            </w:r>
          </w:p>
        </w:tc>
        <w:tc>
          <w:tcPr>
            <w:tcW w:type="dxa" w:w="1152"/>
            <w:shd w:fill="007866"/>
          </w:tcPr>
          <w:p>
            <w:pPr>
              <w:spacing w:after="0"/>
            </w:pPr>
            <w:r/>
            <w:r>
              <w:rPr>
                <w:rFonts w:ascii="Arial" w:hAnsi="Arial" w:eastAsia="Arial"/>
                <w:b/>
                <w:color w:val="FFFFFF"/>
                <w:sz w:val="16"/>
              </w:rPr>
              <w:t>Weight</w:t>
            </w:r>
          </w:p>
        </w:tc>
        <w:tc>
          <w:tcPr>
            <w:tcW w:type="dxa" w:w="7056"/>
            <w:shd w:fill="007866"/>
          </w:tcPr>
          <w:p>
            <w:pPr>
              <w:spacing w:after="0"/>
            </w:pPr>
            <w:r/>
            <w:r>
              <w:rPr>
                <w:rFonts w:ascii="Arial" w:hAnsi="Arial" w:eastAsia="Arial"/>
                <w:b/>
                <w:color w:val="FFFFFF"/>
                <w:sz w:val="16"/>
              </w:rPr>
              <w:t>Reason</w:t>
            </w:r>
          </w:p>
        </w:tc>
      </w:tr>
      <w:tr>
        <w:tc>
          <w:tcPr>
            <w:tcW w:type="dxa" w:w="2880"/>
            <w:shd w:fill="EAF4F1"/>
            <w:vAlign w:val="top"/>
          </w:tcPr>
          <w:p>
            <w:pPr>
              <w:spacing w:after="0"/>
            </w:pPr>
            <w:r/>
            <w:r>
              <w:rPr>
                <w:rFonts w:ascii="Arial" w:hAnsi="Arial" w:eastAsia="Arial"/>
                <w:b w:val="0"/>
                <w:sz w:val="16"/>
              </w:rPr>
              <w:t>Materiality</w:t>
            </w:r>
          </w:p>
        </w:tc>
        <w:tc>
          <w:tcPr>
            <w:tcW w:type="dxa" w:w="1152"/>
            <w:shd w:fill="EAF4F1"/>
            <w:vAlign w:val="top"/>
          </w:tcPr>
          <w:p>
            <w:pPr>
              <w:spacing w:after="0"/>
            </w:pPr>
            <w:r/>
            <w:r>
              <w:rPr>
                <w:rFonts w:ascii="Arial" w:hAnsi="Arial" w:eastAsia="Arial"/>
                <w:b w:val="0"/>
                <w:sz w:val="16"/>
              </w:rPr>
              <w:t>30%</w:t>
            </w:r>
          </w:p>
        </w:tc>
        <w:tc>
          <w:tcPr>
            <w:tcW w:type="dxa" w:w="7056"/>
            <w:shd w:fill="EAF4F1"/>
            <w:vAlign w:val="top"/>
          </w:tcPr>
          <w:p>
            <w:pPr>
              <w:spacing w:after="0"/>
            </w:pPr>
            <w:r/>
            <w:r>
              <w:rPr>
                <w:rFonts w:ascii="Arial" w:hAnsi="Arial" w:eastAsia="Arial"/>
                <w:b w:val="0"/>
                <w:sz w:val="16"/>
              </w:rPr>
              <w:t>High-severity ESG changes should rank above minor updates.</w:t>
            </w:r>
          </w:p>
        </w:tc>
      </w:tr>
      <w:tr>
        <w:tc>
          <w:tcPr>
            <w:tcW w:type="dxa" w:w="2880"/>
            <w:vAlign w:val="top"/>
          </w:tcPr>
          <w:p>
            <w:pPr>
              <w:spacing w:after="0"/>
            </w:pPr>
            <w:r/>
            <w:r>
              <w:rPr>
                <w:rFonts w:ascii="Arial" w:hAnsi="Arial" w:eastAsia="Arial"/>
                <w:b w:val="0"/>
                <w:sz w:val="16"/>
              </w:rPr>
              <w:t>Evidence confidence</w:t>
            </w:r>
          </w:p>
        </w:tc>
        <w:tc>
          <w:tcPr>
            <w:tcW w:type="dxa" w:w="1152"/>
            <w:vAlign w:val="top"/>
          </w:tcPr>
          <w:p>
            <w:pPr>
              <w:spacing w:after="0"/>
            </w:pPr>
            <w:r/>
            <w:r>
              <w:rPr>
                <w:rFonts w:ascii="Arial" w:hAnsi="Arial" w:eastAsia="Arial"/>
                <w:b w:val="0"/>
                <w:sz w:val="16"/>
              </w:rPr>
              <w:t>25%</w:t>
            </w:r>
          </w:p>
        </w:tc>
        <w:tc>
          <w:tcPr>
            <w:tcW w:type="dxa" w:w="7056"/>
            <w:vAlign w:val="top"/>
          </w:tcPr>
          <w:p>
            <w:pPr>
              <w:spacing w:after="0"/>
            </w:pPr>
            <w:r/>
            <w:r>
              <w:rPr>
                <w:rFonts w:ascii="Arial" w:hAnsi="Arial" w:eastAsia="Arial"/>
                <w:b w:val="0"/>
                <w:sz w:val="16"/>
              </w:rPr>
              <w:t>Verified sources should rank above weak or company-controlled sources.</w:t>
            </w:r>
          </w:p>
        </w:tc>
      </w:tr>
      <w:tr>
        <w:tc>
          <w:tcPr>
            <w:tcW w:type="dxa" w:w="2880"/>
            <w:shd w:fill="EAF4F1"/>
            <w:vAlign w:val="top"/>
          </w:tcPr>
          <w:p>
            <w:pPr>
              <w:spacing w:after="0"/>
            </w:pPr>
            <w:r/>
            <w:r>
              <w:rPr>
                <w:rFonts w:ascii="Arial" w:hAnsi="Arial" w:eastAsia="Arial"/>
                <w:b w:val="0"/>
                <w:sz w:val="16"/>
              </w:rPr>
              <w:t>Signal change</w:t>
            </w:r>
          </w:p>
        </w:tc>
        <w:tc>
          <w:tcPr>
            <w:tcW w:type="dxa" w:w="1152"/>
            <w:shd w:fill="EAF4F1"/>
            <w:vAlign w:val="top"/>
          </w:tcPr>
          <w:p>
            <w:pPr>
              <w:spacing w:after="0"/>
            </w:pPr>
            <w:r/>
            <w:r>
              <w:rPr>
                <w:rFonts w:ascii="Arial" w:hAnsi="Arial" w:eastAsia="Arial"/>
                <w:b w:val="0"/>
                <w:sz w:val="16"/>
              </w:rPr>
              <w:t>20%</w:t>
            </w:r>
          </w:p>
        </w:tc>
        <w:tc>
          <w:tcPr>
            <w:tcW w:type="dxa" w:w="7056"/>
            <w:shd w:fill="EAF4F1"/>
            <w:vAlign w:val="top"/>
          </w:tcPr>
          <w:p>
            <w:pPr>
              <w:spacing w:after="0"/>
            </w:pPr>
            <w:r/>
            <w:r>
              <w:rPr>
                <w:rFonts w:ascii="Arial" w:hAnsi="Arial" w:eastAsia="Arial"/>
                <w:b w:val="0"/>
                <w:sz w:val="16"/>
              </w:rPr>
              <w:t>A company moving Green to Watch or Watch to Red is more important than no change.</w:t>
            </w:r>
          </w:p>
        </w:tc>
      </w:tr>
      <w:tr>
        <w:tc>
          <w:tcPr>
            <w:tcW w:type="dxa" w:w="2880"/>
            <w:vAlign w:val="top"/>
          </w:tcPr>
          <w:p>
            <w:pPr>
              <w:spacing w:after="0"/>
            </w:pPr>
            <w:r/>
            <w:r>
              <w:rPr>
                <w:rFonts w:ascii="Arial" w:hAnsi="Arial" w:eastAsia="Arial"/>
                <w:b w:val="0"/>
                <w:sz w:val="16"/>
              </w:rPr>
              <w:t>User interests</w:t>
            </w:r>
          </w:p>
        </w:tc>
        <w:tc>
          <w:tcPr>
            <w:tcW w:type="dxa" w:w="1152"/>
            <w:vAlign w:val="top"/>
          </w:tcPr>
          <w:p>
            <w:pPr>
              <w:spacing w:after="0"/>
            </w:pPr>
            <w:r/>
            <w:r>
              <w:rPr>
                <w:rFonts w:ascii="Arial" w:hAnsi="Arial" w:eastAsia="Arial"/>
                <w:b w:val="0"/>
                <w:sz w:val="16"/>
              </w:rPr>
              <w:t>15%</w:t>
            </w:r>
          </w:p>
        </w:tc>
        <w:tc>
          <w:tcPr>
            <w:tcW w:type="dxa" w:w="7056"/>
            <w:vAlign w:val="top"/>
          </w:tcPr>
          <w:p>
            <w:pPr>
              <w:spacing w:after="0"/>
            </w:pPr>
            <w:r/>
            <w:r>
              <w:rPr>
                <w:rFonts w:ascii="Arial" w:hAnsi="Arial" w:eastAsia="Arial"/>
                <w:b w:val="0"/>
                <w:sz w:val="16"/>
              </w:rPr>
              <w:t>Companies and sectors followed by the user appear more often.</w:t>
            </w:r>
          </w:p>
        </w:tc>
      </w:tr>
      <w:tr>
        <w:tc>
          <w:tcPr>
            <w:tcW w:type="dxa" w:w="2880"/>
            <w:shd w:fill="EAF4F1"/>
            <w:vAlign w:val="top"/>
          </w:tcPr>
          <w:p>
            <w:pPr>
              <w:spacing w:after="0"/>
            </w:pPr>
            <w:r/>
            <w:r>
              <w:rPr>
                <w:rFonts w:ascii="Arial" w:hAnsi="Arial" w:eastAsia="Arial"/>
                <w:b w:val="0"/>
                <w:sz w:val="16"/>
              </w:rPr>
              <w:t>Freshness</w:t>
            </w:r>
          </w:p>
        </w:tc>
        <w:tc>
          <w:tcPr>
            <w:tcW w:type="dxa" w:w="1152"/>
            <w:shd w:fill="EAF4F1"/>
            <w:vAlign w:val="top"/>
          </w:tcPr>
          <w:p>
            <w:pPr>
              <w:spacing w:after="0"/>
            </w:pPr>
            <w:r/>
            <w:r>
              <w:rPr>
                <w:rFonts w:ascii="Arial" w:hAnsi="Arial" w:eastAsia="Arial"/>
                <w:b w:val="0"/>
                <w:sz w:val="16"/>
              </w:rPr>
              <w:t>5%</w:t>
            </w:r>
          </w:p>
        </w:tc>
        <w:tc>
          <w:tcPr>
            <w:tcW w:type="dxa" w:w="7056"/>
            <w:shd w:fill="EAF4F1"/>
            <w:vAlign w:val="top"/>
          </w:tcPr>
          <w:p>
            <w:pPr>
              <w:spacing w:after="0"/>
            </w:pPr>
            <w:r/>
            <w:r>
              <w:rPr>
                <w:rFonts w:ascii="Arial" w:hAnsi="Arial" w:eastAsia="Arial"/>
                <w:b w:val="0"/>
                <w:sz w:val="16"/>
              </w:rPr>
              <w:t>Newer meaningful updates rank slightly higher.</w:t>
            </w:r>
          </w:p>
        </w:tc>
      </w:tr>
      <w:tr>
        <w:tc>
          <w:tcPr>
            <w:tcW w:type="dxa" w:w="2880"/>
            <w:vAlign w:val="top"/>
          </w:tcPr>
          <w:p>
            <w:pPr>
              <w:spacing w:after="0"/>
            </w:pPr>
            <w:r/>
            <w:r>
              <w:rPr>
                <w:rFonts w:ascii="Arial" w:hAnsi="Arial" w:eastAsia="Arial"/>
                <w:b w:val="0"/>
                <w:sz w:val="16"/>
              </w:rPr>
              <w:t>Learning value</w:t>
            </w:r>
          </w:p>
        </w:tc>
        <w:tc>
          <w:tcPr>
            <w:tcW w:type="dxa" w:w="1152"/>
            <w:vAlign w:val="top"/>
          </w:tcPr>
          <w:p>
            <w:pPr>
              <w:spacing w:after="0"/>
            </w:pPr>
            <w:r/>
            <w:r>
              <w:rPr>
                <w:rFonts w:ascii="Arial" w:hAnsi="Arial" w:eastAsia="Arial"/>
                <w:b w:val="0"/>
                <w:sz w:val="16"/>
              </w:rPr>
              <w:t>5%</w:t>
            </w:r>
          </w:p>
        </w:tc>
        <w:tc>
          <w:tcPr>
            <w:tcW w:type="dxa" w:w="7056"/>
            <w:vAlign w:val="top"/>
          </w:tcPr>
          <w:p>
            <w:pPr>
              <w:spacing w:after="0"/>
            </w:pPr>
            <w:r/>
            <w:r>
              <w:rPr>
                <w:rFonts w:ascii="Arial" w:hAnsi="Arial" w:eastAsia="Arial"/>
                <w:b w:val="0"/>
                <w:sz w:val="16"/>
              </w:rPr>
              <w:t>Cards that teach useful ESG concepts can appear even if not urgent.</w:t>
            </w:r>
          </w:p>
        </w:tc>
      </w:tr>
    </w:tbl>
    <w:p>
      <w:pPr>
        <w:spacing w:after="80"/>
      </w:pPr>
    </w:p>
    <w:p>
      <w:pPr>
        <w:pStyle w:val="CodeBlock"/>
        <w:spacing w:after="80"/>
      </w:pPr>
      <w:r>
        <w:t>feed_score = (</w:t>
      </w:r>
    </w:p>
    <w:p>
      <w:pPr>
        <w:pStyle w:val="CodeBlock"/>
        <w:spacing w:after="80"/>
      </w:pPr>
      <w:r>
        <w:t xml:space="preserve">  materiality * 0.30 +</w:t>
      </w:r>
    </w:p>
    <w:p>
      <w:pPr>
        <w:pStyle w:val="CodeBlock"/>
        <w:spacing w:after="80"/>
      </w:pPr>
      <w:r>
        <w:t xml:space="preserve">  evidence_confidence * 0.25 +</w:t>
      </w:r>
    </w:p>
    <w:p>
      <w:pPr>
        <w:pStyle w:val="CodeBlock"/>
        <w:spacing w:after="80"/>
      </w:pPr>
      <w:r>
        <w:t xml:space="preserve">  signal_change_importance * 0.20 +</w:t>
      </w:r>
    </w:p>
    <w:p>
      <w:pPr>
        <w:pStyle w:val="CodeBlock"/>
        <w:spacing w:after="80"/>
      </w:pPr>
      <w:r>
        <w:t xml:space="preserve">  user_interest_match * 0.15 +</w:t>
      </w:r>
    </w:p>
    <w:p>
      <w:pPr>
        <w:pStyle w:val="CodeBlock"/>
        <w:spacing w:after="80"/>
      </w:pPr>
      <w:r>
        <w:t xml:space="preserve">  freshness * 0.05 +</w:t>
      </w:r>
    </w:p>
    <w:p>
      <w:pPr>
        <w:pStyle w:val="CodeBlock"/>
        <w:spacing w:after="80"/>
      </w:pPr>
      <w:r>
        <w:t xml:space="preserve">  learning_value * 0.05</w:t>
      </w:r>
    </w:p>
    <w:p>
      <w:pPr>
        <w:pStyle w:val="CodeBlock"/>
        <w:spacing w:after="80"/>
      </w:pPr>
      <w:r>
        <w:t>)</w:t>
      </w:r>
    </w:p>
    <w:p>
      <w:pPr>
        <w:pStyle w:val="CodeBlock"/>
        <w:spacing w:after="80"/>
      </w:pPr>
      <w:r/>
    </w:p>
    <w:p>
      <w:pPr>
        <w:pStyle w:val="CodeBlock"/>
        <w:spacing w:after="80"/>
      </w:pPr>
      <w:r>
        <w:t>if no_meaningful_update: do_not_create_card()</w:t>
      </w:r>
    </w:p>
    <w:p>
      <w:pPr>
        <w:pStyle w:val="Heading2"/>
        <w:spacing w:after="80"/>
      </w:pPr>
      <w:r>
        <w:t>11.3 Discovery card object</w:t>
      </w:r>
    </w:p>
    <w:p>
      <w:pPr>
        <w:pStyle w:val="CodeBlock"/>
        <w:spacing w:after="80"/>
      </w:pPr>
      <w:r>
        <w:t>{</w:t>
      </w:r>
    </w:p>
    <w:p>
      <w:pPr>
        <w:pStyle w:val="CodeBlock"/>
        <w:spacing w:after="80"/>
      </w:pPr>
      <w:r>
        <w:t xml:space="preserve">  "card_id": "feed_001",</w:t>
      </w:r>
    </w:p>
    <w:p>
      <w:pPr>
        <w:pStyle w:val="CodeBlock"/>
        <w:spacing w:after="80"/>
      </w:pPr>
      <w:r>
        <w:t xml:space="preserve">  "ticker": "NVDA",</w:t>
      </w:r>
    </w:p>
    <w:p>
      <w:pPr>
        <w:pStyle w:val="CodeBlock"/>
        <w:spacing w:after="80"/>
      </w:pPr>
      <w:r>
        <w:t xml:space="preserve">  "company_name": "Nvidia",</w:t>
      </w:r>
    </w:p>
    <w:p>
      <w:pPr>
        <w:pStyle w:val="CodeBlock"/>
        <w:spacing w:after="80"/>
      </w:pPr>
      <w:r>
        <w:t xml:space="preserve">  "card_type": "trending_watch",</w:t>
      </w:r>
    </w:p>
    <w:p>
      <w:pPr>
        <w:pStyle w:val="CodeBlock"/>
        <w:spacing w:after="80"/>
      </w:pPr>
      <w:r>
        <w:t xml:space="preserve">  "signal": "watch",</w:t>
      </w:r>
    </w:p>
    <w:p>
      <w:pPr>
        <w:pStyle w:val="CodeBlock"/>
        <w:spacing w:after="80"/>
      </w:pPr>
      <w:r>
        <w:t xml:space="preserve">  "previous_signal": "green",</w:t>
      </w:r>
    </w:p>
    <w:p>
      <w:pPr>
        <w:pStyle w:val="CodeBlock"/>
        <w:spacing w:after="80"/>
      </w:pPr>
      <w:r>
        <w:t xml:space="preserve">  "headline": "Nvidia moved to Watch",</w:t>
      </w:r>
    </w:p>
    <w:p>
      <w:pPr>
        <w:pStyle w:val="CodeBlock"/>
        <w:spacing w:after="80"/>
      </w:pPr>
      <w:r>
        <w:t xml:space="preserve">  "plain_summary": "Supply chain labour concerns are emerging, but evidence is not severe enough for Red.",</w:t>
      </w:r>
    </w:p>
    <w:p>
      <w:pPr>
        <w:pStyle w:val="CodeBlock"/>
        <w:spacing w:after="80"/>
      </w:pPr>
      <w:r>
        <w:t xml:space="preserve">  "evidence_confidence": "medium",</w:t>
      </w:r>
    </w:p>
    <w:p>
      <w:pPr>
        <w:pStyle w:val="CodeBlock"/>
        <w:spacing w:after="80"/>
      </w:pPr>
      <w:r>
        <w:t xml:space="preserve">  "materiality_score": 62,</w:t>
      </w:r>
    </w:p>
    <w:p>
      <w:pPr>
        <w:pStyle w:val="CodeBlock"/>
        <w:spacing w:after="80"/>
      </w:pPr>
      <w:r>
        <w:t xml:space="preserve">  "primary_cta": "Why This Flag?",</w:t>
      </w:r>
    </w:p>
    <w:p>
      <w:pPr>
        <w:pStyle w:val="CodeBlock"/>
        <w:spacing w:after="80"/>
      </w:pPr>
      <w:r>
        <w:t xml:space="preserve">  "secondary_cta": "Add to Watchlist",</w:t>
      </w:r>
    </w:p>
    <w:p>
      <w:pPr>
        <w:pStyle w:val="CodeBlock"/>
        <w:spacing w:after="80"/>
      </w:pPr>
      <w:r>
        <w:t xml:space="preserve">  "linked_company_detail_id": "company_NVDA",</w:t>
      </w:r>
    </w:p>
    <w:p>
      <w:pPr>
        <w:pStyle w:val="CodeBlock"/>
        <w:spacing w:after="80"/>
      </w:pPr>
      <w:r>
        <w:t xml:space="preserve">  "created_at": "2026-06-10T08:00:00Z"</w:t>
      </w:r>
    </w:p>
    <w:p>
      <w:pPr>
        <w:pStyle w:val="CodeBlock"/>
        <w:spacing w:after="80"/>
      </w:pPr>
      <w:r>
        <w:t>}</w:t>
      </w:r>
    </w:p>
    <w:p>
      <w:pPr>
        <w:pStyle w:val="Heading1"/>
        <w:spacing w:after="80"/>
      </w:pPr>
      <w:r>
        <w:t>12. Company Detail Screen</w:t>
      </w:r>
    </w:p>
    <w:p>
      <w:pPr>
        <w:spacing w:after="80"/>
      </w:pPr>
      <w:r>
        <w:t>Company Detail is the most important evidence screen. Users arrive here from Search, Discovery, Watchlist, Daily Brief, or Alerts.</w:t>
      </w:r>
    </w:p>
    <w:p>
      <w:pPr>
        <w:pStyle w:val="ListBullet"/>
        <w:spacing w:after="80"/>
      </w:pPr>
      <w:r>
        <w:t>Large Green / Watch / Red signal badge.</w:t>
      </w:r>
    </w:p>
    <w:p>
      <w:pPr>
        <w:pStyle w:val="ListBullet"/>
        <w:spacing w:after="80"/>
      </w:pPr>
      <w:r>
        <w:t>ESG Deterioration Score out of 100 with visual bar.</w:t>
      </w:r>
    </w:p>
    <w:p>
      <w:pPr>
        <w:pStyle w:val="ListBullet"/>
        <w:spacing w:after="80"/>
      </w:pPr>
      <w:r>
        <w:t>If Red: ESG Fund Selling Pressure callout, if available.</w:t>
      </w:r>
    </w:p>
    <w:p>
      <w:pPr>
        <w:pStyle w:val="ListBullet"/>
        <w:spacing w:after="80"/>
      </w:pPr>
      <w:r>
        <w:t>Signal breakdown cards: News Risk, Promise Gap, Regulatory Flag, Sentiment Drift, Talk-vs-Action, Supply Chain Risk, Evidence Confidence.</w:t>
      </w:r>
    </w:p>
    <w:p>
      <w:pPr>
        <w:pStyle w:val="ListBullet"/>
        <w:spacing w:after="80"/>
      </w:pPr>
      <w:r>
        <w:t>Why This Flag? plain-language explanation.</w:t>
      </w:r>
    </w:p>
    <w:p>
      <w:pPr>
        <w:pStyle w:val="ListBullet"/>
        <w:spacing w:after="80"/>
      </w:pPr>
      <w:r>
        <w:t>ESG Receipts list with source grade, date, confidence, and summary.</w:t>
      </w:r>
    </w:p>
    <w:p>
      <w:pPr>
        <w:pStyle w:val="ListBullet"/>
        <w:spacing w:after="80"/>
      </w:pPr>
      <w:r>
        <w:t>Signal history showing previous flag changes.</w:t>
      </w:r>
    </w:p>
    <w:p>
      <w:pPr>
        <w:pStyle w:val="ListBullet"/>
        <w:spacing w:after="80"/>
      </w:pPr>
      <w:r>
        <w:t>Add / remove Watchlist button.</w:t>
      </w:r>
    </w:p>
    <w:p>
      <w:pPr>
        <w:pStyle w:val="ListBullet"/>
        <w:spacing w:after="80"/>
      </w:pPr>
      <w:r>
        <w:t>Last updated timestamp and evidence confidence summary.</w:t>
      </w:r>
    </w:p>
    <w:tbl>
      <w:tblPr>
        <w:tblStyle w:val="TableGrid"/>
        <w:tblW w:type="auto" w:w="0"/>
        <w:jc w:val="center"/>
        <w:tblLook w:firstColumn="1" w:firstRow="1" w:lastColumn="0" w:lastRow="0" w:noHBand="0" w:noVBand="1" w:val="04A0"/>
      </w:tblPr>
      <w:tblGrid>
        <w:gridCol w:w="5184"/>
        <w:gridCol w:w="5184"/>
      </w:tblGrid>
      <w:tr>
        <w:tc>
          <w:tcPr>
            <w:tcW w:type="dxa" w:w="2304"/>
            <w:shd w:fill="007866"/>
          </w:tcPr>
          <w:p>
            <w:pPr>
              <w:spacing w:after="0"/>
            </w:pPr>
            <w:r/>
            <w:r>
              <w:rPr>
                <w:rFonts w:ascii="Arial" w:hAnsi="Arial" w:eastAsia="Arial"/>
                <w:b/>
                <w:color w:val="FFFFFF"/>
                <w:sz w:val="16"/>
              </w:rPr>
              <w:t>Card</w:t>
            </w:r>
          </w:p>
        </w:tc>
        <w:tc>
          <w:tcPr>
            <w:tcW w:type="dxa" w:w="8352"/>
            <w:shd w:fill="007866"/>
          </w:tcPr>
          <w:p>
            <w:pPr>
              <w:spacing w:after="0"/>
            </w:pPr>
            <w:r/>
            <w:r>
              <w:rPr>
                <w:rFonts w:ascii="Arial" w:hAnsi="Arial" w:eastAsia="Arial"/>
                <w:b/>
                <w:color w:val="FFFFFF"/>
                <w:sz w:val="16"/>
              </w:rPr>
              <w:t>Must Show</w:t>
            </w:r>
          </w:p>
        </w:tc>
      </w:tr>
      <w:tr>
        <w:tc>
          <w:tcPr>
            <w:tcW w:type="dxa" w:w="2304"/>
            <w:shd w:fill="EAF4F1"/>
            <w:vAlign w:val="top"/>
          </w:tcPr>
          <w:p>
            <w:pPr>
              <w:spacing w:after="0"/>
            </w:pPr>
            <w:r/>
            <w:r>
              <w:rPr>
                <w:rFonts w:ascii="Arial" w:hAnsi="Arial" w:eastAsia="Arial"/>
                <w:b w:val="0"/>
                <w:sz w:val="16"/>
              </w:rPr>
              <w:t>Signal Badge</w:t>
            </w:r>
          </w:p>
        </w:tc>
        <w:tc>
          <w:tcPr>
            <w:tcW w:type="dxa" w:w="8352"/>
            <w:shd w:fill="EAF4F1"/>
            <w:vAlign w:val="top"/>
          </w:tcPr>
          <w:p>
            <w:pPr>
              <w:spacing w:after="0"/>
            </w:pPr>
            <w:r/>
            <w:r>
              <w:rPr>
                <w:rFonts w:ascii="Arial" w:hAnsi="Arial" w:eastAsia="Arial"/>
                <w:b w:val="0"/>
                <w:sz w:val="16"/>
              </w:rPr>
              <w:t>Current Green / Watch / Red, previous signal, and date changed.</w:t>
            </w:r>
          </w:p>
        </w:tc>
      </w:tr>
      <w:tr>
        <w:tc>
          <w:tcPr>
            <w:tcW w:type="dxa" w:w="2304"/>
            <w:vAlign w:val="top"/>
          </w:tcPr>
          <w:p>
            <w:pPr>
              <w:spacing w:after="0"/>
            </w:pPr>
            <w:r/>
            <w:r>
              <w:rPr>
                <w:rFonts w:ascii="Arial" w:hAnsi="Arial" w:eastAsia="Arial"/>
                <w:b w:val="0"/>
                <w:sz w:val="16"/>
              </w:rPr>
              <w:t>Score Bar</w:t>
            </w:r>
          </w:p>
        </w:tc>
        <w:tc>
          <w:tcPr>
            <w:tcW w:type="dxa" w:w="8352"/>
            <w:vAlign w:val="top"/>
          </w:tcPr>
          <w:p>
            <w:pPr>
              <w:spacing w:after="0"/>
            </w:pPr>
            <w:r/>
            <w:r>
              <w:rPr>
                <w:rFonts w:ascii="Arial" w:hAnsi="Arial" w:eastAsia="Arial"/>
                <w:b w:val="0"/>
                <w:sz w:val="16"/>
              </w:rPr>
              <w:t>ESG Deterioration Score and threshold explanation.</w:t>
            </w:r>
          </w:p>
        </w:tc>
      </w:tr>
      <w:tr>
        <w:tc>
          <w:tcPr>
            <w:tcW w:type="dxa" w:w="2304"/>
            <w:shd w:fill="EAF4F1"/>
            <w:vAlign w:val="top"/>
          </w:tcPr>
          <w:p>
            <w:pPr>
              <w:spacing w:after="0"/>
            </w:pPr>
            <w:r/>
            <w:r>
              <w:rPr>
                <w:rFonts w:ascii="Arial" w:hAnsi="Arial" w:eastAsia="Arial"/>
                <w:b w:val="0"/>
                <w:sz w:val="16"/>
              </w:rPr>
              <w:t>Why This Flag?</w:t>
            </w:r>
          </w:p>
        </w:tc>
        <w:tc>
          <w:tcPr>
            <w:tcW w:type="dxa" w:w="8352"/>
            <w:shd w:fill="EAF4F1"/>
            <w:vAlign w:val="top"/>
          </w:tcPr>
          <w:p>
            <w:pPr>
              <w:spacing w:after="0"/>
            </w:pPr>
            <w:r/>
            <w:r>
              <w:rPr>
                <w:rFonts w:ascii="Arial" w:hAnsi="Arial" w:eastAsia="Arial"/>
                <w:b w:val="0"/>
                <w:sz w:val="16"/>
              </w:rPr>
              <w:t>Plain-English summary: what changed, why it matters, uncertainty.</w:t>
            </w:r>
          </w:p>
        </w:tc>
      </w:tr>
      <w:tr>
        <w:tc>
          <w:tcPr>
            <w:tcW w:type="dxa" w:w="2304"/>
            <w:vAlign w:val="top"/>
          </w:tcPr>
          <w:p>
            <w:pPr>
              <w:spacing w:after="0"/>
            </w:pPr>
            <w:r/>
            <w:r>
              <w:rPr>
                <w:rFonts w:ascii="Arial" w:hAnsi="Arial" w:eastAsia="Arial"/>
                <w:b w:val="0"/>
                <w:sz w:val="16"/>
              </w:rPr>
              <w:t>Receipts</w:t>
            </w:r>
          </w:p>
        </w:tc>
        <w:tc>
          <w:tcPr>
            <w:tcW w:type="dxa" w:w="8352"/>
            <w:vAlign w:val="top"/>
          </w:tcPr>
          <w:p>
            <w:pPr>
              <w:spacing w:after="0"/>
            </w:pPr>
            <w:r/>
            <w:r>
              <w:rPr>
                <w:rFonts w:ascii="Arial" w:hAnsi="Arial" w:eastAsia="Arial"/>
                <w:b w:val="0"/>
                <w:sz w:val="16"/>
              </w:rPr>
              <w:t>Evidence item, source grade, confidence score, link/title, date.</w:t>
            </w:r>
          </w:p>
        </w:tc>
      </w:tr>
      <w:tr>
        <w:tc>
          <w:tcPr>
            <w:tcW w:type="dxa" w:w="2304"/>
            <w:shd w:fill="EAF4F1"/>
            <w:vAlign w:val="top"/>
          </w:tcPr>
          <w:p>
            <w:pPr>
              <w:spacing w:after="0"/>
            </w:pPr>
            <w:r/>
            <w:r>
              <w:rPr>
                <w:rFonts w:ascii="Arial" w:hAnsi="Arial" w:eastAsia="Arial"/>
                <w:b w:val="0"/>
                <w:sz w:val="16"/>
              </w:rPr>
              <w:t>Promise Tracker</w:t>
            </w:r>
          </w:p>
        </w:tc>
        <w:tc>
          <w:tcPr>
            <w:tcW w:type="dxa" w:w="8352"/>
            <w:shd w:fill="EAF4F1"/>
            <w:vAlign w:val="top"/>
          </w:tcPr>
          <w:p>
            <w:pPr>
              <w:spacing w:after="0"/>
            </w:pPr>
            <w:r/>
            <w:r>
              <w:rPr>
                <w:rFonts w:ascii="Arial" w:hAnsi="Arial" w:eastAsia="Arial"/>
                <w:b w:val="0"/>
                <w:sz w:val="16"/>
              </w:rPr>
              <w:t>Promise, deadline, progress, status, evidence.</w:t>
            </w:r>
          </w:p>
        </w:tc>
      </w:tr>
      <w:tr>
        <w:tc>
          <w:tcPr>
            <w:tcW w:type="dxa" w:w="2304"/>
            <w:vAlign w:val="top"/>
          </w:tcPr>
          <w:p>
            <w:pPr>
              <w:spacing w:after="0"/>
            </w:pPr>
            <w:r/>
            <w:r>
              <w:rPr>
                <w:rFonts w:ascii="Arial" w:hAnsi="Arial" w:eastAsia="Arial"/>
                <w:b w:val="0"/>
                <w:sz w:val="16"/>
              </w:rPr>
              <w:t>Supply Chain</w:t>
            </w:r>
          </w:p>
        </w:tc>
        <w:tc>
          <w:tcPr>
            <w:tcW w:type="dxa" w:w="8352"/>
            <w:vAlign w:val="top"/>
          </w:tcPr>
          <w:p>
            <w:pPr>
              <w:spacing w:after="0"/>
            </w:pPr>
            <w:r/>
            <w:r>
              <w:rPr>
                <w:rFonts w:ascii="Arial" w:hAnsi="Arial" w:eastAsia="Arial"/>
                <w:b w:val="0"/>
                <w:sz w:val="16"/>
              </w:rPr>
              <w:t>Supplier issue, relationship confidence, severity.</w:t>
            </w:r>
          </w:p>
        </w:tc>
      </w:tr>
      <w:tr>
        <w:tc>
          <w:tcPr>
            <w:tcW w:type="dxa" w:w="2304"/>
            <w:shd w:fill="EAF4F1"/>
            <w:vAlign w:val="top"/>
          </w:tcPr>
          <w:p>
            <w:pPr>
              <w:spacing w:after="0"/>
            </w:pPr>
            <w:r/>
            <w:r>
              <w:rPr>
                <w:rFonts w:ascii="Arial" w:hAnsi="Arial" w:eastAsia="Arial"/>
                <w:b w:val="0"/>
                <w:sz w:val="16"/>
              </w:rPr>
              <w:t>Red Flag Only</w:t>
            </w:r>
          </w:p>
        </w:tc>
        <w:tc>
          <w:tcPr>
            <w:tcW w:type="dxa" w:w="8352"/>
            <w:shd w:fill="EAF4F1"/>
            <w:vAlign w:val="top"/>
          </w:tcPr>
          <w:p>
            <w:pPr>
              <w:spacing w:after="0"/>
            </w:pPr>
            <w:r/>
            <w:r>
              <w:rPr>
                <w:rFonts w:ascii="Arial" w:hAnsi="Arial" w:eastAsia="Arial"/>
                <w:b w:val="0"/>
                <w:sz w:val="16"/>
              </w:rPr>
              <w:t>ESG Fund Selling Pressure estimate and caveat.</w:t>
            </w:r>
          </w:p>
        </w:tc>
      </w:tr>
    </w:tbl>
    <w:p>
      <w:pPr>
        <w:spacing w:after="80"/>
      </w:pPr>
    </w:p>
    <w:p>
      <w:pPr>
        <w:pStyle w:val="Heading1"/>
        <w:spacing w:after="80"/>
      </w:pPr>
      <w:r>
        <w:t>13. Daily Brief Logic</w:t>
      </w:r>
    </w:p>
    <w:p>
      <w:pPr>
        <w:spacing w:after="80"/>
      </w:pPr>
      <w:r>
        <w:t>The Daily Brief is the calm daily monitoring experience. It should not repeat every company every day. It should summarise what changed and what did not change.</w:t>
      </w:r>
    </w:p>
    <w:tbl>
      <w:tblPr>
        <w:tblStyle w:val="TableGrid"/>
        <w:tblW w:type="auto" w:w="0"/>
        <w:jc w:val="center"/>
        <w:tblLook w:firstColumn="1" w:firstRow="1" w:lastColumn="0" w:lastRow="0" w:noHBand="0" w:noVBand="1" w:val="04A0"/>
      </w:tblPr>
      <w:tblGrid>
        <w:gridCol w:w="5184"/>
        <w:gridCol w:w="5184"/>
      </w:tblGrid>
      <w:tr>
        <w:tc>
          <w:tcPr>
            <w:tcW w:type="dxa" w:w="2592"/>
            <w:shd w:fill="007866"/>
          </w:tcPr>
          <w:p>
            <w:pPr>
              <w:spacing w:after="0"/>
            </w:pPr>
            <w:r/>
            <w:r>
              <w:rPr>
                <w:rFonts w:ascii="Arial" w:hAnsi="Arial" w:eastAsia="Arial"/>
                <w:b/>
                <w:color w:val="FFFFFF"/>
                <w:sz w:val="16"/>
              </w:rPr>
              <w:t>Section</w:t>
            </w:r>
          </w:p>
        </w:tc>
        <w:tc>
          <w:tcPr>
            <w:tcW w:type="dxa" w:w="8352"/>
            <w:shd w:fill="007866"/>
          </w:tcPr>
          <w:p>
            <w:pPr>
              <w:spacing w:after="0"/>
            </w:pPr>
            <w:r/>
            <w:r>
              <w:rPr>
                <w:rFonts w:ascii="Arial" w:hAnsi="Arial" w:eastAsia="Arial"/>
                <w:b/>
                <w:color w:val="FFFFFF"/>
                <w:sz w:val="16"/>
              </w:rPr>
              <w:t>Content</w:t>
            </w:r>
          </w:p>
        </w:tc>
      </w:tr>
      <w:tr>
        <w:tc>
          <w:tcPr>
            <w:tcW w:type="dxa" w:w="2592"/>
            <w:shd w:fill="EAF4F1"/>
            <w:vAlign w:val="top"/>
          </w:tcPr>
          <w:p>
            <w:pPr>
              <w:spacing w:after="0"/>
            </w:pPr>
            <w:r/>
            <w:r>
              <w:rPr>
                <w:rFonts w:ascii="Arial" w:hAnsi="Arial" w:eastAsia="Arial"/>
                <w:b w:val="0"/>
                <w:sz w:val="16"/>
              </w:rPr>
              <w:t>Needs Attention</w:t>
            </w:r>
          </w:p>
        </w:tc>
        <w:tc>
          <w:tcPr>
            <w:tcW w:type="dxa" w:w="8352"/>
            <w:shd w:fill="EAF4F1"/>
            <w:vAlign w:val="top"/>
          </w:tcPr>
          <w:p>
            <w:pPr>
              <w:spacing w:after="0"/>
            </w:pPr>
            <w:r/>
            <w:r>
              <w:rPr>
                <w:rFonts w:ascii="Arial" w:hAnsi="Arial" w:eastAsia="Arial"/>
                <w:b w:val="0"/>
                <w:sz w:val="16"/>
              </w:rPr>
              <w:t>Watched companies with important ESG changes.</w:t>
            </w:r>
          </w:p>
        </w:tc>
      </w:tr>
      <w:tr>
        <w:tc>
          <w:tcPr>
            <w:tcW w:type="dxa" w:w="2592"/>
            <w:vAlign w:val="top"/>
          </w:tcPr>
          <w:p>
            <w:pPr>
              <w:spacing w:after="0"/>
            </w:pPr>
            <w:r/>
            <w:r>
              <w:rPr>
                <w:rFonts w:ascii="Arial" w:hAnsi="Arial" w:eastAsia="Arial"/>
                <w:b w:val="0"/>
                <w:sz w:val="16"/>
              </w:rPr>
              <w:t>Flag Changes</w:t>
            </w:r>
          </w:p>
        </w:tc>
        <w:tc>
          <w:tcPr>
            <w:tcW w:type="dxa" w:w="8352"/>
            <w:vAlign w:val="top"/>
          </w:tcPr>
          <w:p>
            <w:pPr>
              <w:spacing w:after="0"/>
            </w:pPr>
            <w:r/>
            <w:r>
              <w:rPr>
                <w:rFonts w:ascii="Arial" w:hAnsi="Arial" w:eastAsia="Arial"/>
                <w:b w:val="0"/>
                <w:sz w:val="16"/>
              </w:rPr>
              <w:t>Companies that moved Green, Watch, or Red.</w:t>
            </w:r>
          </w:p>
        </w:tc>
      </w:tr>
      <w:tr>
        <w:tc>
          <w:tcPr>
            <w:tcW w:type="dxa" w:w="2592"/>
            <w:shd w:fill="EAF4F1"/>
            <w:vAlign w:val="top"/>
          </w:tcPr>
          <w:p>
            <w:pPr>
              <w:spacing w:after="0"/>
            </w:pPr>
            <w:r/>
            <w:r>
              <w:rPr>
                <w:rFonts w:ascii="Arial" w:hAnsi="Arial" w:eastAsia="Arial"/>
                <w:b w:val="0"/>
                <w:sz w:val="16"/>
              </w:rPr>
              <w:t>Promise Updates</w:t>
            </w:r>
          </w:p>
        </w:tc>
        <w:tc>
          <w:tcPr>
            <w:tcW w:type="dxa" w:w="8352"/>
            <w:shd w:fill="EAF4F1"/>
            <w:vAlign w:val="top"/>
          </w:tcPr>
          <w:p>
            <w:pPr>
              <w:spacing w:after="0"/>
            </w:pPr>
            <w:r/>
            <w:r>
              <w:rPr>
                <w:rFonts w:ascii="Arial" w:hAnsi="Arial" w:eastAsia="Arial"/>
                <w:b w:val="0"/>
                <w:sz w:val="16"/>
              </w:rPr>
              <w:t>Promises that became On Track, At Risk, Broken, or Gone Silent.</w:t>
            </w:r>
          </w:p>
        </w:tc>
      </w:tr>
      <w:tr>
        <w:tc>
          <w:tcPr>
            <w:tcW w:type="dxa" w:w="2592"/>
            <w:vAlign w:val="top"/>
          </w:tcPr>
          <w:p>
            <w:pPr>
              <w:spacing w:after="0"/>
            </w:pPr>
            <w:r/>
            <w:r>
              <w:rPr>
                <w:rFonts w:ascii="Arial" w:hAnsi="Arial" w:eastAsia="Arial"/>
                <w:b w:val="0"/>
                <w:sz w:val="16"/>
              </w:rPr>
              <w:t>Supply Chain Alerts</w:t>
            </w:r>
          </w:p>
        </w:tc>
        <w:tc>
          <w:tcPr>
            <w:tcW w:type="dxa" w:w="8352"/>
            <w:vAlign w:val="top"/>
          </w:tcPr>
          <w:p>
            <w:pPr>
              <w:spacing w:after="0"/>
            </w:pPr>
            <w:r/>
            <w:r>
              <w:rPr>
                <w:rFonts w:ascii="Arial" w:hAnsi="Arial" w:eastAsia="Arial"/>
                <w:b w:val="0"/>
                <w:sz w:val="16"/>
              </w:rPr>
              <w:t>New supplier risks affecting watched companies.</w:t>
            </w:r>
          </w:p>
        </w:tc>
      </w:tr>
      <w:tr>
        <w:tc>
          <w:tcPr>
            <w:tcW w:type="dxa" w:w="2592"/>
            <w:shd w:fill="EAF4F1"/>
            <w:vAlign w:val="top"/>
          </w:tcPr>
          <w:p>
            <w:pPr>
              <w:spacing w:after="0"/>
            </w:pPr>
            <w:r/>
            <w:r>
              <w:rPr>
                <w:rFonts w:ascii="Arial" w:hAnsi="Arial" w:eastAsia="Arial"/>
                <w:b w:val="0"/>
                <w:sz w:val="16"/>
              </w:rPr>
              <w:t>No Material Change</w:t>
            </w:r>
          </w:p>
        </w:tc>
        <w:tc>
          <w:tcPr>
            <w:tcW w:type="dxa" w:w="8352"/>
            <w:shd w:fill="EAF4F1"/>
            <w:vAlign w:val="top"/>
          </w:tcPr>
          <w:p>
            <w:pPr>
              <w:spacing w:after="0"/>
            </w:pPr>
            <w:r/>
            <w:r>
              <w:rPr>
                <w:rFonts w:ascii="Arial" w:hAnsi="Arial" w:eastAsia="Arial"/>
                <w:b w:val="0"/>
                <w:sz w:val="16"/>
              </w:rPr>
              <w:t>Stable watched companies scanned with no meaningful updates.</w:t>
            </w:r>
          </w:p>
        </w:tc>
      </w:tr>
      <w:tr>
        <w:tc>
          <w:tcPr>
            <w:tcW w:type="dxa" w:w="2592"/>
            <w:vAlign w:val="top"/>
          </w:tcPr>
          <w:p>
            <w:pPr>
              <w:spacing w:after="0"/>
            </w:pPr>
            <w:r/>
            <w:r>
              <w:rPr>
                <w:rFonts w:ascii="Arial" w:hAnsi="Arial" w:eastAsia="Arial"/>
                <w:b w:val="0"/>
                <w:sz w:val="16"/>
              </w:rPr>
              <w:t>Learning Note</w:t>
            </w:r>
          </w:p>
        </w:tc>
        <w:tc>
          <w:tcPr>
            <w:tcW w:type="dxa" w:w="8352"/>
            <w:vAlign w:val="top"/>
          </w:tcPr>
          <w:p>
            <w:pPr>
              <w:spacing w:after="0"/>
            </w:pPr>
            <w:r/>
            <w:r>
              <w:rPr>
                <w:rFonts w:ascii="Arial" w:hAnsi="Arial" w:eastAsia="Arial"/>
                <w:b w:val="0"/>
                <w:sz w:val="16"/>
              </w:rPr>
              <w:t>One ESG concept explained using a real example.</w:t>
            </w:r>
          </w:p>
        </w:tc>
      </w:tr>
    </w:tbl>
    <w:p>
      <w:pPr>
        <w:spacing w:after="80"/>
      </w:pPr>
    </w:p>
    <w:p>
      <w:pPr>
        <w:pStyle w:val="CodeBlock"/>
        <w:spacing w:after="80"/>
      </w:pPr>
      <w:r>
        <w:t>daily_brief = {</w:t>
      </w:r>
    </w:p>
    <w:p>
      <w:pPr>
        <w:pStyle w:val="CodeBlock"/>
        <w:spacing w:after="80"/>
      </w:pPr>
      <w:r>
        <w:t xml:space="preserve">  "date": "2026-06-10",</w:t>
      </w:r>
    </w:p>
    <w:p>
      <w:pPr>
        <w:pStyle w:val="CodeBlock"/>
        <w:spacing w:after="80"/>
      </w:pPr>
      <w:r>
        <w:t xml:space="preserve">  "summary": "1 watched company moved to Red. 3 companies had no material change.",</w:t>
      </w:r>
    </w:p>
    <w:p>
      <w:pPr>
        <w:pStyle w:val="CodeBlock"/>
        <w:spacing w:after="80"/>
      </w:pPr>
      <w:r>
        <w:t xml:space="preserve">  "sections": {</w:t>
      </w:r>
    </w:p>
    <w:p>
      <w:pPr>
        <w:pStyle w:val="CodeBlock"/>
        <w:spacing w:after="80"/>
      </w:pPr>
      <w:r>
        <w:t xml:space="preserve">    "needs_attention": [...],</w:t>
      </w:r>
    </w:p>
    <w:p>
      <w:pPr>
        <w:pStyle w:val="CodeBlock"/>
        <w:spacing w:after="80"/>
      </w:pPr>
      <w:r>
        <w:t xml:space="preserve">    "flag_changes": [...],</w:t>
      </w:r>
    </w:p>
    <w:p>
      <w:pPr>
        <w:pStyle w:val="CodeBlock"/>
        <w:spacing w:after="80"/>
      </w:pPr>
      <w:r>
        <w:t xml:space="preserve">    "promise_updates": [...],</w:t>
      </w:r>
    </w:p>
    <w:p>
      <w:pPr>
        <w:pStyle w:val="CodeBlock"/>
        <w:spacing w:after="80"/>
      </w:pPr>
      <w:r>
        <w:t xml:space="preserve">    "supply_chain_alerts": [...],</w:t>
      </w:r>
    </w:p>
    <w:p>
      <w:pPr>
        <w:pStyle w:val="CodeBlock"/>
        <w:spacing w:after="80"/>
      </w:pPr>
      <w:r>
        <w:t xml:space="preserve">    "no_material_change": [...],</w:t>
      </w:r>
    </w:p>
    <w:p>
      <w:pPr>
        <w:pStyle w:val="CodeBlock"/>
        <w:spacing w:after="80"/>
      </w:pPr>
      <w:r>
        <w:t xml:space="preserve">    "learning_note": {...}</w:t>
      </w:r>
    </w:p>
    <w:p>
      <w:pPr>
        <w:pStyle w:val="CodeBlock"/>
        <w:spacing w:after="80"/>
      </w:pPr>
      <w:r>
        <w:t xml:space="preserve">  }</w:t>
      </w:r>
    </w:p>
    <w:p>
      <w:pPr>
        <w:pStyle w:val="CodeBlock"/>
        <w:spacing w:after="80"/>
      </w:pPr>
      <w:r>
        <w:t>}</w:t>
      </w:r>
    </w:p>
    <w:p>
      <w:pPr>
        <w:pStyle w:val="Heading1"/>
        <w:spacing w:after="80"/>
      </w:pPr>
      <w:r>
        <w:t>14. Data Structures</w:t>
      </w:r>
    </w:p>
    <w:p>
      <w:pPr>
        <w:pStyle w:val="Heading2"/>
        <w:spacing w:after="80"/>
      </w:pPr>
      <w:r>
        <w:t>14.1 Company object</w:t>
      </w:r>
    </w:p>
    <w:p>
      <w:pPr>
        <w:pStyle w:val="CodeBlock"/>
        <w:spacing w:after="80"/>
      </w:pPr>
      <w:r>
        <w:t>{</w:t>
      </w:r>
    </w:p>
    <w:p>
      <w:pPr>
        <w:pStyle w:val="CodeBlock"/>
        <w:spacing w:after="80"/>
      </w:pPr>
      <w:r>
        <w:t xml:space="preserve">  "ticker": "TSLA",</w:t>
      </w:r>
    </w:p>
    <w:p>
      <w:pPr>
        <w:pStyle w:val="CodeBlock"/>
        <w:spacing w:after="80"/>
      </w:pPr>
      <w:r>
        <w:t xml:space="preserve">  "name": "Tesla Inc.",</w:t>
      </w:r>
    </w:p>
    <w:p>
      <w:pPr>
        <w:pStyle w:val="CodeBlock"/>
        <w:spacing w:after="80"/>
      </w:pPr>
      <w:r>
        <w:t xml:space="preserve">  "current_signal": "watch",</w:t>
      </w:r>
    </w:p>
    <w:p>
      <w:pPr>
        <w:pStyle w:val="CodeBlock"/>
        <w:spacing w:after="80"/>
      </w:pPr>
      <w:r>
        <w:t xml:space="preserve">  "previous_signal": "green",</w:t>
      </w:r>
    </w:p>
    <w:p>
      <w:pPr>
        <w:pStyle w:val="CodeBlock"/>
        <w:spacing w:after="80"/>
      </w:pPr>
      <w:r>
        <w:t xml:space="preserve">  "deterioration_score": 52,</w:t>
      </w:r>
    </w:p>
    <w:p>
      <w:pPr>
        <w:pStyle w:val="CodeBlock"/>
        <w:spacing w:after="80"/>
      </w:pPr>
      <w:r>
        <w:t xml:space="preserve">  "evidence_confidence_overall": 68,</w:t>
      </w:r>
    </w:p>
    <w:p>
      <w:pPr>
        <w:pStyle w:val="CodeBlock"/>
        <w:spacing w:after="80"/>
      </w:pPr>
      <w:r>
        <w:t xml:space="preserve">  "fund_selling_pressure": null,</w:t>
      </w:r>
    </w:p>
    <w:p>
      <w:pPr>
        <w:pStyle w:val="CodeBlock"/>
        <w:spacing w:after="80"/>
      </w:pPr>
      <w:r>
        <w:t xml:space="preserve">  "signals": {</w:t>
      </w:r>
    </w:p>
    <w:p>
      <w:pPr>
        <w:pStyle w:val="CodeBlock"/>
        <w:spacing w:after="80"/>
      </w:pPr>
      <w:r>
        <w:t xml:space="preserve">    "news_risk": { "score": 58, "weight": 0.25, "evidence_ids": ["ev_001"] },</w:t>
      </w:r>
    </w:p>
    <w:p>
      <w:pPr>
        <w:pStyle w:val="CodeBlock"/>
        <w:spacing w:after="80"/>
      </w:pPr>
      <w:r>
        <w:t xml:space="preserve">    "promise_gap": { "score": 45, "weight": 0.20, "evidence_ids": ["ev_002"] },</w:t>
      </w:r>
    </w:p>
    <w:p>
      <w:pPr>
        <w:pStyle w:val="CodeBlock"/>
        <w:spacing w:after="80"/>
      </w:pPr>
      <w:r>
        <w:t xml:space="preserve">    "regulatory_flag": { "score": 40, "weight": 0.20, "evidence_ids": ["ev_003"] },</w:t>
      </w:r>
    </w:p>
    <w:p>
      <w:pPr>
        <w:pStyle w:val="CodeBlock"/>
        <w:spacing w:after="80"/>
      </w:pPr>
      <w:r>
        <w:t xml:space="preserve">    "sentiment_drift": { "score": 62, "weight": 0.10, "evidence_ids": ["ev_004"] },</w:t>
      </w:r>
    </w:p>
    <w:p>
      <w:pPr>
        <w:pStyle w:val="CodeBlock"/>
        <w:spacing w:after="80"/>
      </w:pPr>
      <w:r>
        <w:t xml:space="preserve">    "talk_vs_action_gap": { "score": 55, "weight": 0.10, "evidence_ids": ["ev_005"] },</w:t>
      </w:r>
    </w:p>
    <w:p>
      <w:pPr>
        <w:pStyle w:val="CodeBlock"/>
        <w:spacing w:after="80"/>
      </w:pPr>
      <w:r>
        <w:t xml:space="preserve">    "supply_chain_risk": { "score": 30, "weight": 0.10, "evidence_ids": [] },</w:t>
      </w:r>
    </w:p>
    <w:p>
      <w:pPr>
        <w:pStyle w:val="CodeBlock"/>
        <w:spacing w:after="80"/>
      </w:pPr>
      <w:r>
        <w:t xml:space="preserve">    "evidence_confidence_penalty": { "score": 20, "weight": 0.05 }</w:t>
      </w:r>
    </w:p>
    <w:p>
      <w:pPr>
        <w:pStyle w:val="CodeBlock"/>
        <w:spacing w:after="80"/>
      </w:pPr>
      <w:r>
        <w:t xml:space="preserve">  },</w:t>
      </w:r>
    </w:p>
    <w:p>
      <w:pPr>
        <w:pStyle w:val="CodeBlock"/>
        <w:spacing w:after="80"/>
      </w:pPr>
      <w:r>
        <w:t xml:space="preserve">  "last_material_update_at": "2026-06-10T08:00:00Z",</w:t>
      </w:r>
    </w:p>
    <w:p>
      <w:pPr>
        <w:pStyle w:val="CodeBlock"/>
        <w:spacing w:after="80"/>
      </w:pPr>
      <w:r>
        <w:t xml:space="preserve">  "last_scanned_at": "2026-06-10T08:00:00Z"</w:t>
      </w:r>
    </w:p>
    <w:p>
      <w:pPr>
        <w:pStyle w:val="CodeBlock"/>
        <w:spacing w:after="80"/>
      </w:pPr>
      <w:r>
        <w:t>}</w:t>
      </w:r>
    </w:p>
    <w:p>
      <w:pPr>
        <w:pStyle w:val="Heading2"/>
        <w:spacing w:after="80"/>
      </w:pPr>
      <w:r>
        <w:t>14.2 Watchlist alert object</w:t>
      </w:r>
    </w:p>
    <w:p>
      <w:pPr>
        <w:pStyle w:val="CodeBlock"/>
        <w:spacing w:after="80"/>
      </w:pPr>
      <w:r>
        <w:t>{</w:t>
      </w:r>
    </w:p>
    <w:p>
      <w:pPr>
        <w:pStyle w:val="CodeBlock"/>
        <w:spacing w:after="80"/>
      </w:pPr>
      <w:r>
        <w:t xml:space="preserve">  "alert_id": "alert_001",</w:t>
      </w:r>
    </w:p>
    <w:p>
      <w:pPr>
        <w:pStyle w:val="CodeBlock"/>
        <w:spacing w:after="80"/>
      </w:pPr>
      <w:r>
        <w:t xml:space="preserve">  "user_id": "user_123",</w:t>
      </w:r>
    </w:p>
    <w:p>
      <w:pPr>
        <w:pStyle w:val="CodeBlock"/>
        <w:spacing w:after="80"/>
      </w:pPr>
      <w:r>
        <w:t xml:space="preserve">  "ticker": "COMPANY_A",</w:t>
      </w:r>
    </w:p>
    <w:p>
      <w:pPr>
        <w:pStyle w:val="CodeBlock"/>
        <w:spacing w:after="80"/>
      </w:pPr>
      <w:r>
        <w:t xml:space="preserve">  "previous_signal": "watch",</w:t>
      </w:r>
    </w:p>
    <w:p>
      <w:pPr>
        <w:pStyle w:val="CodeBlock"/>
        <w:spacing w:after="80"/>
      </w:pPr>
      <w:r>
        <w:t xml:space="preserve">  "new_signal": "red",</w:t>
      </w:r>
    </w:p>
    <w:p>
      <w:pPr>
        <w:pStyle w:val="CodeBlock"/>
        <w:spacing w:after="80"/>
      </w:pPr>
      <w:r>
        <w:t xml:space="preserve">  "trigger_reason": "Verified supplier labour controversy",</w:t>
      </w:r>
    </w:p>
    <w:p>
      <w:pPr>
        <w:pStyle w:val="CodeBlock"/>
        <w:spacing w:after="80"/>
      </w:pPr>
      <w:r>
        <w:t xml:space="preserve">  "severity": "high",</w:t>
      </w:r>
    </w:p>
    <w:p>
      <w:pPr>
        <w:pStyle w:val="CodeBlock"/>
        <w:spacing w:after="80"/>
      </w:pPr>
      <w:r>
        <w:t xml:space="preserve">  "evidence_confidence": "high",</w:t>
      </w:r>
    </w:p>
    <w:p>
      <w:pPr>
        <w:pStyle w:val="CodeBlock"/>
        <w:spacing w:after="80"/>
      </w:pPr>
      <w:r>
        <w:t xml:space="preserve">  "notification_text": "Red Flag Alert: Company A moved from Watch to Red. Tap to see why.",</w:t>
      </w:r>
    </w:p>
    <w:p>
      <w:pPr>
        <w:pStyle w:val="CodeBlock"/>
        <w:spacing w:after="80"/>
      </w:pPr>
      <w:r>
        <w:t xml:space="preserve">  "sent_at": "2026-06-10T13:30:00Z",</w:t>
      </w:r>
    </w:p>
    <w:p>
      <w:pPr>
        <w:pStyle w:val="CodeBlock"/>
        <w:spacing w:after="80"/>
      </w:pPr>
      <w:r>
        <w:t xml:space="preserve">  "linked_evidence_ids": ["ev_101", "ev_102"]</w:t>
      </w:r>
    </w:p>
    <w:p>
      <w:pPr>
        <w:pStyle w:val="CodeBlock"/>
        <w:spacing w:after="80"/>
      </w:pPr>
      <w:r>
        <w:t>}</w:t>
      </w:r>
    </w:p>
    <w:p>
      <w:pPr>
        <w:pStyle w:val="Heading1"/>
        <w:spacing w:after="80"/>
      </w:pPr>
      <w:r>
        <w:t>15. API Endpoints for Prototype</w:t>
      </w:r>
    </w:p>
    <w:tbl>
      <w:tblPr>
        <w:tblStyle w:val="TableGrid"/>
        <w:tblW w:type="auto" w:w="0"/>
        <w:jc w:val="center"/>
        <w:tblLook w:firstColumn="1" w:firstRow="1" w:lastColumn="0" w:lastRow="0" w:noHBand="0" w:noVBand="1" w:val="04A0"/>
      </w:tblPr>
      <w:tblGrid>
        <w:gridCol w:w="3456"/>
        <w:gridCol w:w="3456"/>
        <w:gridCol w:w="3456"/>
      </w:tblGrid>
      <w:tr>
        <w:tc>
          <w:tcPr>
            <w:tcW w:type="dxa" w:w="3312"/>
            <w:shd w:fill="007866"/>
          </w:tcPr>
          <w:p>
            <w:pPr>
              <w:spacing w:after="0"/>
            </w:pPr>
            <w:r/>
            <w:r>
              <w:rPr>
                <w:rFonts w:ascii="Arial" w:hAnsi="Arial" w:eastAsia="Arial"/>
                <w:b/>
                <w:color w:val="FFFFFF"/>
                <w:sz w:val="16"/>
              </w:rPr>
              <w:t>Endpoint</w:t>
            </w:r>
          </w:p>
        </w:tc>
        <w:tc>
          <w:tcPr>
            <w:tcW w:type="dxa" w:w="1728"/>
            <w:shd w:fill="007866"/>
          </w:tcPr>
          <w:p>
            <w:pPr>
              <w:spacing w:after="0"/>
            </w:pPr>
            <w:r/>
            <w:r>
              <w:rPr>
                <w:rFonts w:ascii="Arial" w:hAnsi="Arial" w:eastAsia="Arial"/>
                <w:b/>
                <w:color w:val="FFFFFF"/>
                <w:sz w:val="16"/>
              </w:rPr>
              <w:t>Method</w:t>
            </w:r>
          </w:p>
        </w:tc>
        <w:tc>
          <w:tcPr>
            <w:tcW w:type="dxa" w:w="6624"/>
            <w:shd w:fill="007866"/>
          </w:tcPr>
          <w:p>
            <w:pPr>
              <w:spacing w:after="0"/>
            </w:pPr>
            <w:r/>
            <w:r>
              <w:rPr>
                <w:rFonts w:ascii="Arial" w:hAnsi="Arial" w:eastAsia="Arial"/>
                <w:b/>
                <w:color w:val="FFFFFF"/>
                <w:sz w:val="16"/>
              </w:rPr>
              <w:t>Purpose</w:t>
            </w:r>
          </w:p>
        </w:tc>
      </w:tr>
      <w:tr>
        <w:tc>
          <w:tcPr>
            <w:tcW w:type="dxa" w:w="3312"/>
            <w:shd w:fill="EAF4F1"/>
            <w:vAlign w:val="top"/>
          </w:tcPr>
          <w:p>
            <w:pPr>
              <w:spacing w:after="0"/>
            </w:pPr>
            <w:r/>
            <w:r>
              <w:rPr>
                <w:rFonts w:ascii="Arial" w:hAnsi="Arial" w:eastAsia="Arial"/>
                <w:b w:val="0"/>
                <w:sz w:val="16"/>
              </w:rPr>
              <w:t>/api/companies</w:t>
            </w:r>
          </w:p>
        </w:tc>
        <w:tc>
          <w:tcPr>
            <w:tcW w:type="dxa" w:w="1728"/>
            <w:shd w:fill="EAF4F1"/>
            <w:vAlign w:val="top"/>
          </w:tcPr>
          <w:p>
            <w:pPr>
              <w:spacing w:after="0"/>
            </w:pPr>
            <w:r/>
            <w:r>
              <w:rPr>
                <w:rFonts w:ascii="Arial" w:hAnsi="Arial" w:eastAsia="Arial"/>
                <w:b w:val="0"/>
                <w:sz w:val="16"/>
              </w:rPr>
              <w:t>GET</w:t>
            </w:r>
          </w:p>
        </w:tc>
        <w:tc>
          <w:tcPr>
            <w:tcW w:type="dxa" w:w="6624"/>
            <w:shd w:fill="EAF4F1"/>
            <w:vAlign w:val="top"/>
          </w:tcPr>
          <w:p>
            <w:pPr>
              <w:spacing w:after="0"/>
            </w:pPr>
            <w:r/>
            <w:r>
              <w:rPr>
                <w:rFonts w:ascii="Arial" w:hAnsi="Arial" w:eastAsia="Arial"/>
                <w:b w:val="0"/>
                <w:sz w:val="16"/>
              </w:rPr>
              <w:t>List demo companies and current signals.</w:t>
            </w:r>
          </w:p>
        </w:tc>
      </w:tr>
      <w:tr>
        <w:tc>
          <w:tcPr>
            <w:tcW w:type="dxa" w:w="3312"/>
            <w:vAlign w:val="top"/>
          </w:tcPr>
          <w:p>
            <w:pPr>
              <w:spacing w:after="0"/>
            </w:pPr>
            <w:r/>
            <w:r>
              <w:rPr>
                <w:rFonts w:ascii="Arial" w:hAnsi="Arial" w:eastAsia="Arial"/>
                <w:b w:val="0"/>
                <w:sz w:val="16"/>
              </w:rPr>
              <w:t>/api/companies/:ticker</w:t>
            </w:r>
          </w:p>
        </w:tc>
        <w:tc>
          <w:tcPr>
            <w:tcW w:type="dxa" w:w="1728"/>
            <w:vAlign w:val="top"/>
          </w:tcPr>
          <w:p>
            <w:pPr>
              <w:spacing w:after="0"/>
            </w:pPr>
            <w:r/>
            <w:r>
              <w:rPr>
                <w:rFonts w:ascii="Arial" w:hAnsi="Arial" w:eastAsia="Arial"/>
                <w:b w:val="0"/>
                <w:sz w:val="16"/>
              </w:rPr>
              <w:t>GET</w:t>
            </w:r>
          </w:p>
        </w:tc>
        <w:tc>
          <w:tcPr>
            <w:tcW w:type="dxa" w:w="6624"/>
            <w:vAlign w:val="top"/>
          </w:tcPr>
          <w:p>
            <w:pPr>
              <w:spacing w:after="0"/>
            </w:pPr>
            <w:r/>
            <w:r>
              <w:rPr>
                <w:rFonts w:ascii="Arial" w:hAnsi="Arial" w:eastAsia="Arial"/>
                <w:b w:val="0"/>
                <w:sz w:val="16"/>
              </w:rPr>
              <w:t>Get full company detail, score breakdown, receipts, history.</w:t>
            </w:r>
          </w:p>
        </w:tc>
      </w:tr>
      <w:tr>
        <w:tc>
          <w:tcPr>
            <w:tcW w:type="dxa" w:w="3312"/>
            <w:shd w:fill="EAF4F1"/>
            <w:vAlign w:val="top"/>
          </w:tcPr>
          <w:p>
            <w:pPr>
              <w:spacing w:after="0"/>
            </w:pPr>
            <w:r/>
            <w:r>
              <w:rPr>
                <w:rFonts w:ascii="Arial" w:hAnsi="Arial" w:eastAsia="Arial"/>
                <w:b w:val="0"/>
                <w:sz w:val="16"/>
              </w:rPr>
              <w:t>/api/discovery</w:t>
            </w:r>
          </w:p>
        </w:tc>
        <w:tc>
          <w:tcPr>
            <w:tcW w:type="dxa" w:w="1728"/>
            <w:shd w:fill="EAF4F1"/>
            <w:vAlign w:val="top"/>
          </w:tcPr>
          <w:p>
            <w:pPr>
              <w:spacing w:after="0"/>
            </w:pPr>
            <w:r/>
            <w:r>
              <w:rPr>
                <w:rFonts w:ascii="Arial" w:hAnsi="Arial" w:eastAsia="Arial"/>
                <w:b w:val="0"/>
                <w:sz w:val="16"/>
              </w:rPr>
              <w:t>GET</w:t>
            </w:r>
          </w:p>
        </w:tc>
        <w:tc>
          <w:tcPr>
            <w:tcW w:type="dxa" w:w="6624"/>
            <w:shd w:fill="EAF4F1"/>
            <w:vAlign w:val="top"/>
          </w:tcPr>
          <w:p>
            <w:pPr>
              <w:spacing w:after="0"/>
            </w:pPr>
            <w:r/>
            <w:r>
              <w:rPr>
                <w:rFonts w:ascii="Arial" w:hAnsi="Arial" w:eastAsia="Arial"/>
                <w:b w:val="0"/>
                <w:sz w:val="16"/>
              </w:rPr>
              <w:t>Get personalised Discovery cards sorted by feed ranking logic.</w:t>
            </w:r>
          </w:p>
        </w:tc>
      </w:tr>
      <w:tr>
        <w:tc>
          <w:tcPr>
            <w:tcW w:type="dxa" w:w="3312"/>
            <w:vAlign w:val="top"/>
          </w:tcPr>
          <w:p>
            <w:pPr>
              <w:spacing w:after="0"/>
            </w:pPr>
            <w:r/>
            <w:r>
              <w:rPr>
                <w:rFonts w:ascii="Arial" w:hAnsi="Arial" w:eastAsia="Arial"/>
                <w:b w:val="0"/>
                <w:sz w:val="16"/>
              </w:rPr>
              <w:t>/api/watchlist</w:t>
            </w:r>
          </w:p>
        </w:tc>
        <w:tc>
          <w:tcPr>
            <w:tcW w:type="dxa" w:w="1728"/>
            <w:vAlign w:val="top"/>
          </w:tcPr>
          <w:p>
            <w:pPr>
              <w:spacing w:after="0"/>
            </w:pPr>
            <w:r/>
            <w:r>
              <w:rPr>
                <w:rFonts w:ascii="Arial" w:hAnsi="Arial" w:eastAsia="Arial"/>
                <w:b w:val="0"/>
                <w:sz w:val="16"/>
              </w:rPr>
              <w:t>GET</w:t>
            </w:r>
          </w:p>
        </w:tc>
        <w:tc>
          <w:tcPr>
            <w:tcW w:type="dxa" w:w="6624"/>
            <w:vAlign w:val="top"/>
          </w:tcPr>
          <w:p>
            <w:pPr>
              <w:spacing w:after="0"/>
            </w:pPr>
            <w:r/>
            <w:r>
              <w:rPr>
                <w:rFonts w:ascii="Arial" w:hAnsi="Arial" w:eastAsia="Arial"/>
                <w:b w:val="0"/>
                <w:sz w:val="16"/>
              </w:rPr>
              <w:t>Get user watchlist companies sorted by ESG risk.</w:t>
            </w:r>
          </w:p>
        </w:tc>
      </w:tr>
      <w:tr>
        <w:tc>
          <w:tcPr>
            <w:tcW w:type="dxa" w:w="3312"/>
            <w:shd w:fill="EAF4F1"/>
            <w:vAlign w:val="top"/>
          </w:tcPr>
          <w:p>
            <w:pPr>
              <w:spacing w:after="0"/>
            </w:pPr>
            <w:r/>
            <w:r>
              <w:rPr>
                <w:rFonts w:ascii="Arial" w:hAnsi="Arial" w:eastAsia="Arial"/>
                <w:b w:val="0"/>
                <w:sz w:val="16"/>
              </w:rPr>
              <w:t>/api/watchlist/:ticker</w:t>
            </w:r>
          </w:p>
        </w:tc>
        <w:tc>
          <w:tcPr>
            <w:tcW w:type="dxa" w:w="1728"/>
            <w:shd w:fill="EAF4F1"/>
            <w:vAlign w:val="top"/>
          </w:tcPr>
          <w:p>
            <w:pPr>
              <w:spacing w:after="0"/>
            </w:pPr>
            <w:r/>
            <w:r>
              <w:rPr>
                <w:rFonts w:ascii="Arial" w:hAnsi="Arial" w:eastAsia="Arial"/>
                <w:b w:val="0"/>
                <w:sz w:val="16"/>
              </w:rPr>
              <w:t>POST/DELETE</w:t>
            </w:r>
          </w:p>
        </w:tc>
        <w:tc>
          <w:tcPr>
            <w:tcW w:type="dxa" w:w="6624"/>
            <w:shd w:fill="EAF4F1"/>
            <w:vAlign w:val="top"/>
          </w:tcPr>
          <w:p>
            <w:pPr>
              <w:spacing w:after="0"/>
            </w:pPr>
            <w:r/>
            <w:r>
              <w:rPr>
                <w:rFonts w:ascii="Arial" w:hAnsi="Arial" w:eastAsia="Arial"/>
                <w:b w:val="0"/>
                <w:sz w:val="16"/>
              </w:rPr>
              <w:t>Add or remove company from watchlist.</w:t>
            </w:r>
          </w:p>
        </w:tc>
      </w:tr>
      <w:tr>
        <w:tc>
          <w:tcPr>
            <w:tcW w:type="dxa" w:w="3312"/>
            <w:vAlign w:val="top"/>
          </w:tcPr>
          <w:p>
            <w:pPr>
              <w:spacing w:after="0"/>
            </w:pPr>
            <w:r/>
            <w:r>
              <w:rPr>
                <w:rFonts w:ascii="Arial" w:hAnsi="Arial" w:eastAsia="Arial"/>
                <w:b w:val="0"/>
                <w:sz w:val="16"/>
              </w:rPr>
              <w:t>/api/daily-brief</w:t>
            </w:r>
          </w:p>
        </w:tc>
        <w:tc>
          <w:tcPr>
            <w:tcW w:type="dxa" w:w="1728"/>
            <w:vAlign w:val="top"/>
          </w:tcPr>
          <w:p>
            <w:pPr>
              <w:spacing w:after="0"/>
            </w:pPr>
            <w:r/>
            <w:r>
              <w:rPr>
                <w:rFonts w:ascii="Arial" w:hAnsi="Arial" w:eastAsia="Arial"/>
                <w:b w:val="0"/>
                <w:sz w:val="16"/>
              </w:rPr>
              <w:t>GET</w:t>
            </w:r>
          </w:p>
        </w:tc>
        <w:tc>
          <w:tcPr>
            <w:tcW w:type="dxa" w:w="6624"/>
            <w:vAlign w:val="top"/>
          </w:tcPr>
          <w:p>
            <w:pPr>
              <w:spacing w:after="0"/>
            </w:pPr>
            <w:r/>
            <w:r>
              <w:rPr>
                <w:rFonts w:ascii="Arial" w:hAnsi="Arial" w:eastAsia="Arial"/>
                <w:b w:val="0"/>
                <w:sz w:val="16"/>
              </w:rPr>
              <w:t>Get personalised Daily Brief for watched companies.</w:t>
            </w:r>
          </w:p>
        </w:tc>
      </w:tr>
      <w:tr>
        <w:tc>
          <w:tcPr>
            <w:tcW w:type="dxa" w:w="3312"/>
            <w:shd w:fill="EAF4F1"/>
            <w:vAlign w:val="top"/>
          </w:tcPr>
          <w:p>
            <w:pPr>
              <w:spacing w:after="0"/>
            </w:pPr>
            <w:r/>
            <w:r>
              <w:rPr>
                <w:rFonts w:ascii="Arial" w:hAnsi="Arial" w:eastAsia="Arial"/>
                <w:b w:val="0"/>
                <w:sz w:val="16"/>
              </w:rPr>
              <w:t>/api/alerts/simulate-red</w:t>
            </w:r>
          </w:p>
        </w:tc>
        <w:tc>
          <w:tcPr>
            <w:tcW w:type="dxa" w:w="1728"/>
            <w:shd w:fill="EAF4F1"/>
            <w:vAlign w:val="top"/>
          </w:tcPr>
          <w:p>
            <w:pPr>
              <w:spacing w:after="0"/>
            </w:pPr>
            <w:r/>
            <w:r>
              <w:rPr>
                <w:rFonts w:ascii="Arial" w:hAnsi="Arial" w:eastAsia="Arial"/>
                <w:b w:val="0"/>
                <w:sz w:val="16"/>
              </w:rPr>
              <w:t>POST</w:t>
            </w:r>
          </w:p>
        </w:tc>
        <w:tc>
          <w:tcPr>
            <w:tcW w:type="dxa" w:w="6624"/>
            <w:shd w:fill="EAF4F1"/>
            <w:vAlign w:val="top"/>
          </w:tcPr>
          <w:p>
            <w:pPr>
              <w:spacing w:after="0"/>
            </w:pPr>
            <w:r/>
            <w:r>
              <w:rPr>
                <w:rFonts w:ascii="Arial" w:hAnsi="Arial" w:eastAsia="Arial"/>
                <w:b w:val="0"/>
                <w:sz w:val="16"/>
              </w:rPr>
              <w:t>Demo endpoint to trigger Red Flag Alert simulation.</w:t>
            </w:r>
          </w:p>
        </w:tc>
      </w:tr>
      <w:tr>
        <w:tc>
          <w:tcPr>
            <w:tcW w:type="dxa" w:w="3312"/>
            <w:vAlign w:val="top"/>
          </w:tcPr>
          <w:p>
            <w:pPr>
              <w:spacing w:after="0"/>
            </w:pPr>
            <w:r/>
            <w:r>
              <w:rPr>
                <w:rFonts w:ascii="Arial" w:hAnsi="Arial" w:eastAsia="Arial"/>
                <w:b w:val="0"/>
                <w:sz w:val="16"/>
              </w:rPr>
              <w:t>/api/evidence/:id</w:t>
            </w:r>
          </w:p>
        </w:tc>
        <w:tc>
          <w:tcPr>
            <w:tcW w:type="dxa" w:w="1728"/>
            <w:vAlign w:val="top"/>
          </w:tcPr>
          <w:p>
            <w:pPr>
              <w:spacing w:after="0"/>
            </w:pPr>
            <w:r/>
            <w:r>
              <w:rPr>
                <w:rFonts w:ascii="Arial" w:hAnsi="Arial" w:eastAsia="Arial"/>
                <w:b w:val="0"/>
                <w:sz w:val="16"/>
              </w:rPr>
              <w:t>GET</w:t>
            </w:r>
          </w:p>
        </w:tc>
        <w:tc>
          <w:tcPr>
            <w:tcW w:type="dxa" w:w="6624"/>
            <w:vAlign w:val="top"/>
          </w:tcPr>
          <w:p>
            <w:pPr>
              <w:spacing w:after="0"/>
            </w:pPr>
            <w:r/>
            <w:r>
              <w:rPr>
                <w:rFonts w:ascii="Arial" w:hAnsi="Arial" w:eastAsia="Arial"/>
                <w:b w:val="0"/>
                <w:sz w:val="16"/>
              </w:rPr>
              <w:t>Get a specific evidence receipt.</w:t>
            </w:r>
          </w:p>
        </w:tc>
      </w:tr>
    </w:tbl>
    <w:p>
      <w:pPr>
        <w:spacing w:after="80"/>
      </w:pPr>
    </w:p>
    <w:p>
      <w:pPr>
        <w:pStyle w:val="Heading1"/>
        <w:spacing w:after="80"/>
      </w:pPr>
      <w:r>
        <w:t>16. AI Usage and Structured Output</w:t>
      </w:r>
    </w:p>
    <w:p>
      <w:pPr>
        <w:spacing w:after="80"/>
      </w:pPr>
      <w:r>
        <w:t>For the hackathon prototype, the scoring values can be hardcoded, but the app should be designed so AI can later extract claims, summarise evidence, classify ESG events, and produce plain-language explanations.</w:t>
      </w:r>
    </w:p>
    <w:p>
      <w:pPr>
        <w:pStyle w:val="Heading2"/>
        <w:spacing w:after="80"/>
      </w:pPr>
      <w:r>
        <w:t>16.1 AI classification output schema</w:t>
      </w:r>
    </w:p>
    <w:p>
      <w:pPr>
        <w:pStyle w:val="CodeBlock"/>
        <w:spacing w:after="80"/>
      </w:pPr>
      <w:r>
        <w:t>{</w:t>
      </w:r>
    </w:p>
    <w:p>
      <w:pPr>
        <w:pStyle w:val="CodeBlock"/>
        <w:spacing w:after="80"/>
      </w:pPr>
      <w:r>
        <w:t xml:space="preserve">  "event_type": "news_risk | promise_gap | regulatory_flag | sentiment_drift | talk_vs_action | supply_chain_risk",</w:t>
      </w:r>
    </w:p>
    <w:p>
      <w:pPr>
        <w:pStyle w:val="CodeBlock"/>
        <w:spacing w:after="80"/>
      </w:pPr>
      <w:r>
        <w:t xml:space="preserve">  "summary_plain_english": "short user-friendly explanation",</w:t>
      </w:r>
    </w:p>
    <w:p>
      <w:pPr>
        <w:pStyle w:val="CodeBlock"/>
        <w:spacing w:after="80"/>
      </w:pPr>
      <w:r>
        <w:t xml:space="preserve">  "severity_score": 0,</w:t>
      </w:r>
    </w:p>
    <w:p>
      <w:pPr>
        <w:pStyle w:val="CodeBlock"/>
        <w:spacing w:after="80"/>
      </w:pPr>
      <w:r>
        <w:t xml:space="preserve">  "source_grade": "A | B | C | D | E",</w:t>
      </w:r>
    </w:p>
    <w:p>
      <w:pPr>
        <w:pStyle w:val="CodeBlock"/>
        <w:spacing w:after="80"/>
      </w:pPr>
      <w:r>
        <w:t xml:space="preserve">  "confidence_score": 0,</w:t>
      </w:r>
    </w:p>
    <w:p>
      <w:pPr>
        <w:pStyle w:val="CodeBlock"/>
        <w:spacing w:after="80"/>
      </w:pPr>
      <w:r>
        <w:t xml:space="preserve">  "is_material": true,</w:t>
      </w:r>
    </w:p>
    <w:p>
      <w:pPr>
        <w:pStyle w:val="CodeBlock"/>
        <w:spacing w:after="80"/>
      </w:pPr>
      <w:r>
        <w:t xml:space="preserve">  "recommended_signal_impact": "none | green_to_watch | watch_to_red | red_to_watch",</w:t>
      </w:r>
    </w:p>
    <w:p>
      <w:pPr>
        <w:pStyle w:val="CodeBlock"/>
        <w:spacing w:after="80"/>
      </w:pPr>
      <w:r>
        <w:t xml:space="preserve">  "reasoning_for_user": "explain why this matters without jargon"</w:t>
      </w:r>
    </w:p>
    <w:p>
      <w:pPr>
        <w:pStyle w:val="CodeBlock"/>
        <w:spacing w:after="80"/>
      </w:pPr>
      <w:r>
        <w:t>}</w:t>
      </w:r>
    </w:p>
    <w:p>
      <w:pPr>
        <w:pStyle w:val="Heading2"/>
        <w:spacing w:after="80"/>
      </w:pPr>
      <w:r>
        <w:t>16.2 AI prompt guardrails</w:t>
      </w:r>
    </w:p>
    <w:p>
      <w:pPr>
        <w:pStyle w:val="ListBullet"/>
        <w:spacing w:after="80"/>
      </w:pPr>
      <w:r>
        <w:t>Do not give buy, sell, or hold advice.</w:t>
      </w:r>
    </w:p>
    <w:p>
      <w:pPr>
        <w:pStyle w:val="ListBullet"/>
        <w:spacing w:after="80"/>
      </w:pPr>
      <w:r>
        <w:t>Explain ESG meaning, not stock price prediction.</w:t>
      </w:r>
    </w:p>
    <w:p>
      <w:pPr>
        <w:pStyle w:val="ListBullet"/>
        <w:spacing w:after="80"/>
      </w:pPr>
      <w:r>
        <w:t>Always mention uncertainty when evidence is incomplete.</w:t>
      </w:r>
    </w:p>
    <w:p>
      <w:pPr>
        <w:pStyle w:val="ListBullet"/>
        <w:spacing w:after="80"/>
      </w:pPr>
      <w:r>
        <w:t>Separate company claims from independent evidence.</w:t>
      </w:r>
    </w:p>
    <w:p>
      <w:pPr>
        <w:pStyle w:val="ListBullet"/>
        <w:spacing w:after="80"/>
      </w:pPr>
      <w:r>
        <w:t>If evidence is company-controlled only, label it clearly as low confidence.</w:t>
      </w:r>
    </w:p>
    <w:p>
      <w:pPr>
        <w:pStyle w:val="ListBullet"/>
        <w:spacing w:after="80"/>
      </w:pPr>
      <w:r>
        <w:t>Do not create a Red Flag without high-severity and sufficiently verified evidence.</w:t>
      </w:r>
    </w:p>
    <w:p>
      <w:pPr>
        <w:pStyle w:val="Heading1"/>
        <w:spacing w:after="80"/>
      </w:pPr>
      <w:r>
        <w:t>17. Recommended Tech Stack</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07866"/>
          </w:tcPr>
          <w:p>
            <w:pPr>
              <w:spacing w:after="0"/>
            </w:pPr>
            <w:r/>
            <w:r>
              <w:rPr>
                <w:rFonts w:ascii="Arial" w:hAnsi="Arial" w:eastAsia="Arial"/>
                <w:b/>
                <w:color w:val="FFFFFF"/>
                <w:sz w:val="16"/>
              </w:rPr>
              <w:t>Layer</w:t>
            </w:r>
          </w:p>
        </w:tc>
        <w:tc>
          <w:tcPr>
            <w:tcW w:type="dxa" w:w="3456"/>
            <w:shd w:fill="007866"/>
          </w:tcPr>
          <w:p>
            <w:pPr>
              <w:spacing w:after="0"/>
            </w:pPr>
            <w:r/>
            <w:r>
              <w:rPr>
                <w:rFonts w:ascii="Arial" w:hAnsi="Arial" w:eastAsia="Arial"/>
                <w:b/>
                <w:color w:val="FFFFFF"/>
                <w:sz w:val="16"/>
              </w:rPr>
              <w:t>Recommended</w:t>
            </w:r>
          </w:p>
        </w:tc>
        <w:tc>
          <w:tcPr>
            <w:tcW w:type="dxa" w:w="5472"/>
            <w:shd w:fill="007866"/>
          </w:tcPr>
          <w:p>
            <w:pPr>
              <w:spacing w:after="0"/>
            </w:pPr>
            <w:r/>
            <w:r>
              <w:rPr>
                <w:rFonts w:ascii="Arial" w:hAnsi="Arial" w:eastAsia="Arial"/>
                <w:b/>
                <w:color w:val="FFFFFF"/>
                <w:sz w:val="16"/>
              </w:rPr>
              <w:t>Reason</w:t>
            </w:r>
          </w:p>
        </w:tc>
      </w:tr>
      <w:tr>
        <w:tc>
          <w:tcPr>
            <w:tcW w:type="dxa" w:w="2016"/>
            <w:shd w:fill="EAF4F1"/>
            <w:vAlign w:val="top"/>
          </w:tcPr>
          <w:p>
            <w:pPr>
              <w:spacing w:after="0"/>
            </w:pPr>
            <w:r/>
            <w:r>
              <w:rPr>
                <w:rFonts w:ascii="Arial" w:hAnsi="Arial" w:eastAsia="Arial"/>
                <w:b w:val="0"/>
                <w:sz w:val="16"/>
              </w:rPr>
              <w:t>Frontend</w:t>
            </w:r>
          </w:p>
        </w:tc>
        <w:tc>
          <w:tcPr>
            <w:tcW w:type="dxa" w:w="3456"/>
            <w:shd w:fill="EAF4F1"/>
            <w:vAlign w:val="top"/>
          </w:tcPr>
          <w:p>
            <w:pPr>
              <w:spacing w:after="0"/>
            </w:pPr>
            <w:r/>
            <w:r>
              <w:rPr>
                <w:rFonts w:ascii="Arial" w:hAnsi="Arial" w:eastAsia="Arial"/>
                <w:b w:val="0"/>
                <w:sz w:val="16"/>
              </w:rPr>
              <w:t>React Native (Expo)</w:t>
            </w:r>
          </w:p>
        </w:tc>
        <w:tc>
          <w:tcPr>
            <w:tcW w:type="dxa" w:w="5472"/>
            <w:shd w:fill="EAF4F1"/>
            <w:vAlign w:val="top"/>
          </w:tcPr>
          <w:p>
            <w:pPr>
              <w:spacing w:after="0"/>
            </w:pPr>
            <w:r/>
            <w:r>
              <w:rPr>
                <w:rFonts w:ascii="Arial" w:hAnsi="Arial" w:eastAsia="Arial"/>
                <w:b w:val="0"/>
                <w:sz w:val="16"/>
              </w:rPr>
              <w:t>Fast mobile prototype and shareable web demo.</w:t>
            </w:r>
          </w:p>
        </w:tc>
      </w:tr>
      <w:tr>
        <w:tc>
          <w:tcPr>
            <w:tcW w:type="dxa" w:w="2016"/>
            <w:vAlign w:val="top"/>
          </w:tcPr>
          <w:p>
            <w:pPr>
              <w:spacing w:after="0"/>
            </w:pPr>
            <w:r/>
            <w:r>
              <w:rPr>
                <w:rFonts w:ascii="Arial" w:hAnsi="Arial" w:eastAsia="Arial"/>
                <w:b w:val="0"/>
                <w:sz w:val="16"/>
              </w:rPr>
              <w:t>UI</w:t>
            </w:r>
          </w:p>
        </w:tc>
        <w:tc>
          <w:tcPr>
            <w:tcW w:type="dxa" w:w="3456"/>
            <w:vAlign w:val="top"/>
          </w:tcPr>
          <w:p>
            <w:pPr>
              <w:spacing w:after="0"/>
            </w:pPr>
            <w:r/>
            <w:r>
              <w:rPr>
                <w:rFonts w:ascii="Arial" w:hAnsi="Arial" w:eastAsia="Arial"/>
                <w:b w:val="0"/>
                <w:sz w:val="16"/>
              </w:rPr>
              <w:t>NativeWind or Tailwind-style components</w:t>
            </w:r>
          </w:p>
        </w:tc>
        <w:tc>
          <w:tcPr>
            <w:tcW w:type="dxa" w:w="5472"/>
            <w:vAlign w:val="top"/>
          </w:tcPr>
          <w:p>
            <w:pPr>
              <w:spacing w:after="0"/>
            </w:pPr>
            <w:r/>
            <w:r>
              <w:rPr>
                <w:rFonts w:ascii="Arial" w:hAnsi="Arial" w:eastAsia="Arial"/>
                <w:b w:val="0"/>
                <w:sz w:val="16"/>
              </w:rPr>
              <w:t>Quick styling for cards, badges, and feed layout.</w:t>
            </w:r>
          </w:p>
        </w:tc>
      </w:tr>
      <w:tr>
        <w:tc>
          <w:tcPr>
            <w:tcW w:type="dxa" w:w="2016"/>
            <w:shd w:fill="EAF4F1"/>
            <w:vAlign w:val="top"/>
          </w:tcPr>
          <w:p>
            <w:pPr>
              <w:spacing w:after="0"/>
            </w:pPr>
            <w:r/>
            <w:r>
              <w:rPr>
                <w:rFonts w:ascii="Arial" w:hAnsi="Arial" w:eastAsia="Arial"/>
                <w:b w:val="0"/>
                <w:sz w:val="16"/>
              </w:rPr>
              <w:t>Backend</w:t>
            </w:r>
          </w:p>
        </w:tc>
        <w:tc>
          <w:tcPr>
            <w:tcW w:type="dxa" w:w="3456"/>
            <w:shd w:fill="EAF4F1"/>
            <w:vAlign w:val="top"/>
          </w:tcPr>
          <w:p>
            <w:pPr>
              <w:spacing w:after="0"/>
            </w:pPr>
            <w:r/>
            <w:r>
              <w:rPr>
                <w:rFonts w:ascii="Arial" w:hAnsi="Arial" w:eastAsia="Arial"/>
                <w:b w:val="0"/>
                <w:sz w:val="16"/>
              </w:rPr>
              <w:t>Node.js + Express</w:t>
            </w:r>
          </w:p>
        </w:tc>
        <w:tc>
          <w:tcPr>
            <w:tcW w:type="dxa" w:w="5472"/>
            <w:shd w:fill="EAF4F1"/>
            <w:vAlign w:val="top"/>
          </w:tcPr>
          <w:p>
            <w:pPr>
              <w:spacing w:after="0"/>
            </w:pPr>
            <w:r/>
            <w:r>
              <w:rPr>
                <w:rFonts w:ascii="Arial" w:hAnsi="Arial" w:eastAsia="Arial"/>
                <w:b w:val="0"/>
                <w:sz w:val="16"/>
              </w:rPr>
              <w:t>Fast setup and JavaScript consistency.</w:t>
            </w:r>
          </w:p>
        </w:tc>
      </w:tr>
      <w:tr>
        <w:tc>
          <w:tcPr>
            <w:tcW w:type="dxa" w:w="2016"/>
            <w:vAlign w:val="top"/>
          </w:tcPr>
          <w:p>
            <w:pPr>
              <w:spacing w:after="0"/>
            </w:pPr>
            <w:r/>
            <w:r>
              <w:rPr>
                <w:rFonts w:ascii="Arial" w:hAnsi="Arial" w:eastAsia="Arial"/>
                <w:b w:val="0"/>
                <w:sz w:val="16"/>
              </w:rPr>
              <w:t>Database</w:t>
            </w:r>
          </w:p>
        </w:tc>
        <w:tc>
          <w:tcPr>
            <w:tcW w:type="dxa" w:w="3456"/>
            <w:vAlign w:val="top"/>
          </w:tcPr>
          <w:p>
            <w:pPr>
              <w:spacing w:after="0"/>
            </w:pPr>
            <w:r/>
            <w:r>
              <w:rPr>
                <w:rFonts w:ascii="Arial" w:hAnsi="Arial" w:eastAsia="Arial"/>
                <w:b w:val="0"/>
                <w:sz w:val="16"/>
              </w:rPr>
              <w:t>Firebase Firestore</w:t>
            </w:r>
          </w:p>
        </w:tc>
        <w:tc>
          <w:tcPr>
            <w:tcW w:type="dxa" w:w="5472"/>
            <w:vAlign w:val="top"/>
          </w:tcPr>
          <w:p>
            <w:pPr>
              <w:spacing w:after="0"/>
            </w:pPr>
            <w:r/>
            <w:r>
              <w:rPr>
                <w:rFonts w:ascii="Arial" w:hAnsi="Arial" w:eastAsia="Arial"/>
                <w:b w:val="0"/>
                <w:sz w:val="16"/>
              </w:rPr>
              <w:t>Real-time watchlist, alerts, and easy demo data.</w:t>
            </w:r>
          </w:p>
        </w:tc>
      </w:tr>
      <w:tr>
        <w:tc>
          <w:tcPr>
            <w:tcW w:type="dxa" w:w="2016"/>
            <w:shd w:fill="EAF4F1"/>
            <w:vAlign w:val="top"/>
          </w:tcPr>
          <w:p>
            <w:pPr>
              <w:spacing w:after="0"/>
            </w:pPr>
            <w:r/>
            <w:r>
              <w:rPr>
                <w:rFonts w:ascii="Arial" w:hAnsi="Arial" w:eastAsia="Arial"/>
                <w:b w:val="0"/>
                <w:sz w:val="16"/>
              </w:rPr>
              <w:t>News Data</w:t>
            </w:r>
          </w:p>
        </w:tc>
        <w:tc>
          <w:tcPr>
            <w:tcW w:type="dxa" w:w="3456"/>
            <w:shd w:fill="EAF4F1"/>
            <w:vAlign w:val="top"/>
          </w:tcPr>
          <w:p>
            <w:pPr>
              <w:spacing w:after="0"/>
            </w:pPr>
            <w:r/>
            <w:r>
              <w:rPr>
                <w:rFonts w:ascii="Arial" w:hAnsi="Arial" w:eastAsia="Arial"/>
                <w:b w:val="0"/>
                <w:sz w:val="16"/>
              </w:rPr>
              <w:t>NewsAPI free tier or manual JSON</w:t>
            </w:r>
          </w:p>
        </w:tc>
        <w:tc>
          <w:tcPr>
            <w:tcW w:type="dxa" w:w="5472"/>
            <w:shd w:fill="EAF4F1"/>
            <w:vAlign w:val="top"/>
          </w:tcPr>
          <w:p>
            <w:pPr>
              <w:spacing w:after="0"/>
            </w:pPr>
            <w:r/>
            <w:r>
              <w:rPr>
                <w:rFonts w:ascii="Arial" w:hAnsi="Arial" w:eastAsia="Arial"/>
                <w:b w:val="0"/>
                <w:sz w:val="16"/>
              </w:rPr>
              <w:t>Live-feeling data for prototype.</w:t>
            </w:r>
          </w:p>
        </w:tc>
      </w:tr>
      <w:tr>
        <w:tc>
          <w:tcPr>
            <w:tcW w:type="dxa" w:w="2016"/>
            <w:vAlign w:val="top"/>
          </w:tcPr>
          <w:p>
            <w:pPr>
              <w:spacing w:after="0"/>
            </w:pPr>
            <w:r/>
            <w:r>
              <w:rPr>
                <w:rFonts w:ascii="Arial" w:hAnsi="Arial" w:eastAsia="Arial"/>
                <w:b w:val="0"/>
                <w:sz w:val="16"/>
              </w:rPr>
              <w:t>ESG Data</w:t>
            </w:r>
          </w:p>
        </w:tc>
        <w:tc>
          <w:tcPr>
            <w:tcW w:type="dxa" w:w="3456"/>
            <w:vAlign w:val="top"/>
          </w:tcPr>
          <w:p>
            <w:pPr>
              <w:spacing w:after="0"/>
            </w:pPr>
            <w:r/>
            <w:r>
              <w:rPr>
                <w:rFonts w:ascii="Arial" w:hAnsi="Arial" w:eastAsia="Arial"/>
                <w:b w:val="0"/>
                <w:sz w:val="16"/>
              </w:rPr>
              <w:t>Manual JSON for 10 demo stocks</w:t>
            </w:r>
          </w:p>
        </w:tc>
        <w:tc>
          <w:tcPr>
            <w:tcW w:type="dxa" w:w="5472"/>
            <w:vAlign w:val="top"/>
          </w:tcPr>
          <w:p>
            <w:pPr>
              <w:spacing w:after="0"/>
            </w:pPr>
            <w:r/>
            <w:r>
              <w:rPr>
                <w:rFonts w:ascii="Arial" w:hAnsi="Arial" w:eastAsia="Arial"/>
                <w:b w:val="0"/>
                <w:sz w:val="16"/>
              </w:rPr>
              <w:t>Reliable and buildable in hackathon timeline.</w:t>
            </w:r>
          </w:p>
        </w:tc>
      </w:tr>
      <w:tr>
        <w:tc>
          <w:tcPr>
            <w:tcW w:type="dxa" w:w="2016"/>
            <w:shd w:fill="EAF4F1"/>
            <w:vAlign w:val="top"/>
          </w:tcPr>
          <w:p>
            <w:pPr>
              <w:spacing w:after="0"/>
            </w:pPr>
            <w:r/>
            <w:r>
              <w:rPr>
                <w:rFonts w:ascii="Arial" w:hAnsi="Arial" w:eastAsia="Arial"/>
                <w:b w:val="0"/>
                <w:sz w:val="16"/>
              </w:rPr>
              <w:t>Auth</w:t>
            </w:r>
          </w:p>
        </w:tc>
        <w:tc>
          <w:tcPr>
            <w:tcW w:type="dxa" w:w="3456"/>
            <w:shd w:fill="EAF4F1"/>
            <w:vAlign w:val="top"/>
          </w:tcPr>
          <w:p>
            <w:pPr>
              <w:spacing w:after="0"/>
            </w:pPr>
            <w:r/>
            <w:r>
              <w:rPr>
                <w:rFonts w:ascii="Arial" w:hAnsi="Arial" w:eastAsia="Arial"/>
                <w:b w:val="0"/>
                <w:sz w:val="16"/>
              </w:rPr>
              <w:t>Firebase Auth</w:t>
            </w:r>
          </w:p>
        </w:tc>
        <w:tc>
          <w:tcPr>
            <w:tcW w:type="dxa" w:w="5472"/>
            <w:shd w:fill="EAF4F1"/>
            <w:vAlign w:val="top"/>
          </w:tcPr>
          <w:p>
            <w:pPr>
              <w:spacing w:after="0"/>
            </w:pPr>
            <w:r/>
            <w:r>
              <w:rPr>
                <w:rFonts w:ascii="Arial" w:hAnsi="Arial" w:eastAsia="Arial"/>
                <w:b w:val="0"/>
                <w:sz w:val="16"/>
              </w:rPr>
              <w:t>Optional; Google login if time allows.</w:t>
            </w:r>
          </w:p>
        </w:tc>
      </w:tr>
      <w:tr>
        <w:tc>
          <w:tcPr>
            <w:tcW w:type="dxa" w:w="2016"/>
            <w:vAlign w:val="top"/>
          </w:tcPr>
          <w:p>
            <w:pPr>
              <w:spacing w:after="0"/>
            </w:pPr>
            <w:r/>
            <w:r>
              <w:rPr>
                <w:rFonts w:ascii="Arial" w:hAnsi="Arial" w:eastAsia="Arial"/>
                <w:b w:val="0"/>
                <w:sz w:val="16"/>
              </w:rPr>
              <w:t>Hosting</w:t>
            </w:r>
          </w:p>
        </w:tc>
        <w:tc>
          <w:tcPr>
            <w:tcW w:type="dxa" w:w="3456"/>
            <w:vAlign w:val="top"/>
          </w:tcPr>
          <w:p>
            <w:pPr>
              <w:spacing w:after="0"/>
            </w:pPr>
            <w:r/>
            <w:r>
              <w:rPr>
                <w:rFonts w:ascii="Arial" w:hAnsi="Arial" w:eastAsia="Arial"/>
                <w:b w:val="0"/>
                <w:sz w:val="16"/>
              </w:rPr>
              <w:t>Vercel / Expo Go</w:t>
            </w:r>
          </w:p>
        </w:tc>
        <w:tc>
          <w:tcPr>
            <w:tcW w:type="dxa" w:w="5472"/>
            <w:vAlign w:val="top"/>
          </w:tcPr>
          <w:p>
            <w:pPr>
              <w:spacing w:after="0"/>
            </w:pPr>
            <w:r/>
            <w:r>
              <w:rPr>
                <w:rFonts w:ascii="Arial" w:hAnsi="Arial" w:eastAsia="Arial"/>
                <w:b w:val="0"/>
                <w:sz w:val="16"/>
              </w:rPr>
              <w:t>Easy judge demo.</w:t>
            </w:r>
          </w:p>
        </w:tc>
      </w:tr>
    </w:tbl>
    <w:p>
      <w:pPr>
        <w:spacing w:after="80"/>
      </w:pPr>
    </w:p>
    <w:p>
      <w:pPr>
        <w:pStyle w:val="Heading1"/>
        <w:spacing w:after="80"/>
      </w:pPr>
      <w:r>
        <w:t>18. Revised Build Order</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007866"/>
          </w:tcPr>
          <w:p>
            <w:pPr>
              <w:spacing w:after="0"/>
            </w:pPr>
            <w:r/>
            <w:r>
              <w:rPr>
                <w:rFonts w:ascii="Arial" w:hAnsi="Arial" w:eastAsia="Arial"/>
                <w:b/>
                <w:color w:val="FFFFFF"/>
                <w:sz w:val="16"/>
              </w:rPr>
              <w:t>Priority</w:t>
            </w:r>
          </w:p>
        </w:tc>
        <w:tc>
          <w:tcPr>
            <w:tcW w:type="dxa" w:w="4032"/>
            <w:shd w:fill="007866"/>
          </w:tcPr>
          <w:p>
            <w:pPr>
              <w:spacing w:after="0"/>
            </w:pPr>
            <w:r/>
            <w:r>
              <w:rPr>
                <w:rFonts w:ascii="Arial" w:hAnsi="Arial" w:eastAsia="Arial"/>
                <w:b/>
                <w:color w:val="FFFFFF"/>
                <w:sz w:val="16"/>
              </w:rPr>
              <w:t>Build Item</w:t>
            </w:r>
          </w:p>
        </w:tc>
        <w:tc>
          <w:tcPr>
            <w:tcW w:type="dxa" w:w="6768"/>
            <w:shd w:fill="007866"/>
          </w:tcPr>
          <w:p>
            <w:pPr>
              <w:spacing w:after="0"/>
            </w:pPr>
            <w:r/>
            <w:r>
              <w:rPr>
                <w:rFonts w:ascii="Arial" w:hAnsi="Arial" w:eastAsia="Arial"/>
                <w:b/>
                <w:color w:val="FFFFFF"/>
                <w:sz w:val="16"/>
              </w:rPr>
              <w:t>Purpose</w:t>
            </w:r>
          </w:p>
        </w:tc>
      </w:tr>
      <w:tr>
        <w:tc>
          <w:tcPr>
            <w:tcW w:type="dxa" w:w="1152"/>
            <w:shd w:fill="EAF4F1"/>
            <w:vAlign w:val="top"/>
          </w:tcPr>
          <w:p>
            <w:pPr>
              <w:spacing w:after="0"/>
            </w:pPr>
            <w:r/>
            <w:r>
              <w:rPr>
                <w:rFonts w:ascii="Arial" w:hAnsi="Arial" w:eastAsia="Arial"/>
                <w:b w:val="0"/>
                <w:sz w:val="16"/>
              </w:rPr>
              <w:t>P1</w:t>
            </w:r>
          </w:p>
        </w:tc>
        <w:tc>
          <w:tcPr>
            <w:tcW w:type="dxa" w:w="4032"/>
            <w:shd w:fill="EAF4F1"/>
            <w:vAlign w:val="top"/>
          </w:tcPr>
          <w:p>
            <w:pPr>
              <w:spacing w:after="0"/>
            </w:pPr>
            <w:r/>
            <w:r>
              <w:rPr>
                <w:rFonts w:ascii="Arial" w:hAnsi="Arial" w:eastAsia="Arial"/>
                <w:b w:val="0"/>
                <w:sz w:val="16"/>
              </w:rPr>
              <w:t>Hardcoded company ESG dataset</w:t>
            </w:r>
          </w:p>
        </w:tc>
        <w:tc>
          <w:tcPr>
            <w:tcW w:type="dxa" w:w="6768"/>
            <w:shd w:fill="EAF4F1"/>
            <w:vAlign w:val="top"/>
          </w:tcPr>
          <w:p>
            <w:pPr>
              <w:spacing w:after="0"/>
            </w:pPr>
            <w:r/>
            <w:r>
              <w:rPr>
                <w:rFonts w:ascii="Arial" w:hAnsi="Arial" w:eastAsia="Arial"/>
                <w:b w:val="0"/>
                <w:sz w:val="16"/>
              </w:rPr>
              <w:t>Single source of truth for signals, scores, and receipts.</w:t>
            </w:r>
          </w:p>
        </w:tc>
      </w:tr>
      <w:tr>
        <w:tc>
          <w:tcPr>
            <w:tcW w:type="dxa" w:w="1152"/>
            <w:vAlign w:val="top"/>
          </w:tcPr>
          <w:p>
            <w:pPr>
              <w:spacing w:after="0"/>
            </w:pPr>
            <w:r/>
            <w:r>
              <w:rPr>
                <w:rFonts w:ascii="Arial" w:hAnsi="Arial" w:eastAsia="Arial"/>
                <w:b w:val="0"/>
                <w:sz w:val="16"/>
              </w:rPr>
              <w:t>P1</w:t>
            </w:r>
          </w:p>
        </w:tc>
        <w:tc>
          <w:tcPr>
            <w:tcW w:type="dxa" w:w="4032"/>
            <w:vAlign w:val="top"/>
          </w:tcPr>
          <w:p>
            <w:pPr>
              <w:spacing w:after="0"/>
            </w:pPr>
            <w:r/>
            <w:r>
              <w:rPr>
                <w:rFonts w:ascii="Arial" w:hAnsi="Arial" w:eastAsia="Arial"/>
                <w:b w:val="0"/>
                <w:sz w:val="16"/>
              </w:rPr>
              <w:t>Company Detail screen</w:t>
            </w:r>
          </w:p>
        </w:tc>
        <w:tc>
          <w:tcPr>
            <w:tcW w:type="dxa" w:w="6768"/>
            <w:vAlign w:val="top"/>
          </w:tcPr>
          <w:p>
            <w:pPr>
              <w:spacing w:after="0"/>
            </w:pPr>
            <w:r/>
            <w:r>
              <w:rPr>
                <w:rFonts w:ascii="Arial" w:hAnsi="Arial" w:eastAsia="Arial"/>
                <w:b w:val="0"/>
                <w:sz w:val="16"/>
              </w:rPr>
              <w:t>Core Deathwatch evidence page.</w:t>
            </w:r>
          </w:p>
        </w:tc>
      </w:tr>
      <w:tr>
        <w:tc>
          <w:tcPr>
            <w:tcW w:type="dxa" w:w="1152"/>
            <w:shd w:fill="EAF4F1"/>
            <w:vAlign w:val="top"/>
          </w:tcPr>
          <w:p>
            <w:pPr>
              <w:spacing w:after="0"/>
            </w:pPr>
            <w:r/>
            <w:r>
              <w:rPr>
                <w:rFonts w:ascii="Arial" w:hAnsi="Arial" w:eastAsia="Arial"/>
                <w:b w:val="0"/>
                <w:sz w:val="16"/>
              </w:rPr>
              <w:t>P1</w:t>
            </w:r>
          </w:p>
        </w:tc>
        <w:tc>
          <w:tcPr>
            <w:tcW w:type="dxa" w:w="4032"/>
            <w:shd w:fill="EAF4F1"/>
            <w:vAlign w:val="top"/>
          </w:tcPr>
          <w:p>
            <w:pPr>
              <w:spacing w:after="0"/>
            </w:pPr>
            <w:r/>
            <w:r>
              <w:rPr>
                <w:rFonts w:ascii="Arial" w:hAnsi="Arial" w:eastAsia="Arial"/>
                <w:b w:val="0"/>
                <w:sz w:val="16"/>
              </w:rPr>
              <w:t>Discovery tab using same dataset</w:t>
            </w:r>
          </w:p>
        </w:tc>
        <w:tc>
          <w:tcPr>
            <w:tcW w:type="dxa" w:w="6768"/>
            <w:shd w:fill="EAF4F1"/>
            <w:vAlign w:val="top"/>
          </w:tcPr>
          <w:p>
            <w:pPr>
              <w:spacing w:after="0"/>
            </w:pPr>
            <w:r/>
            <w:r>
              <w:rPr>
                <w:rFonts w:ascii="Arial" w:hAnsi="Arial" w:eastAsia="Arial"/>
                <w:b w:val="0"/>
                <w:sz w:val="16"/>
              </w:rPr>
              <w:t>Swipeable discovery without separate scoring.</w:t>
            </w:r>
          </w:p>
        </w:tc>
      </w:tr>
      <w:tr>
        <w:tc>
          <w:tcPr>
            <w:tcW w:type="dxa" w:w="1152"/>
            <w:vAlign w:val="top"/>
          </w:tcPr>
          <w:p>
            <w:pPr>
              <w:spacing w:after="0"/>
            </w:pPr>
            <w:r/>
            <w:r>
              <w:rPr>
                <w:rFonts w:ascii="Arial" w:hAnsi="Arial" w:eastAsia="Arial"/>
                <w:b w:val="0"/>
                <w:sz w:val="16"/>
              </w:rPr>
              <w:t>P1</w:t>
            </w:r>
          </w:p>
        </w:tc>
        <w:tc>
          <w:tcPr>
            <w:tcW w:type="dxa" w:w="4032"/>
            <w:vAlign w:val="top"/>
          </w:tcPr>
          <w:p>
            <w:pPr>
              <w:spacing w:after="0"/>
            </w:pPr>
            <w:r/>
            <w:r>
              <w:rPr>
                <w:rFonts w:ascii="Arial" w:hAnsi="Arial" w:eastAsia="Arial"/>
                <w:b w:val="0"/>
                <w:sz w:val="16"/>
              </w:rPr>
              <w:t>Watchlist add/remove</w:t>
            </w:r>
          </w:p>
        </w:tc>
        <w:tc>
          <w:tcPr>
            <w:tcW w:type="dxa" w:w="6768"/>
            <w:vAlign w:val="top"/>
          </w:tcPr>
          <w:p>
            <w:pPr>
              <w:spacing w:after="0"/>
            </w:pPr>
            <w:r/>
            <w:r>
              <w:rPr>
                <w:rFonts w:ascii="Arial" w:hAnsi="Arial" w:eastAsia="Arial"/>
                <w:b w:val="0"/>
                <w:sz w:val="16"/>
              </w:rPr>
              <w:t>Lets users follow companies from Discovery or Detail.</w:t>
            </w:r>
          </w:p>
        </w:tc>
      </w:tr>
      <w:tr>
        <w:tc>
          <w:tcPr>
            <w:tcW w:type="dxa" w:w="1152"/>
            <w:shd w:fill="EAF4F1"/>
            <w:vAlign w:val="top"/>
          </w:tcPr>
          <w:p>
            <w:pPr>
              <w:spacing w:after="0"/>
            </w:pPr>
            <w:r/>
            <w:r>
              <w:rPr>
                <w:rFonts w:ascii="Arial" w:hAnsi="Arial" w:eastAsia="Arial"/>
                <w:b w:val="0"/>
                <w:sz w:val="16"/>
              </w:rPr>
              <w:t>P1</w:t>
            </w:r>
          </w:p>
        </w:tc>
        <w:tc>
          <w:tcPr>
            <w:tcW w:type="dxa" w:w="4032"/>
            <w:shd w:fill="EAF4F1"/>
            <w:vAlign w:val="top"/>
          </w:tcPr>
          <w:p>
            <w:pPr>
              <w:spacing w:after="0"/>
            </w:pPr>
            <w:r/>
            <w:r>
              <w:rPr>
                <w:rFonts w:ascii="Arial" w:hAnsi="Arial" w:eastAsia="Arial"/>
                <w:b w:val="0"/>
                <w:sz w:val="16"/>
              </w:rPr>
              <w:t>Red Flag alert simulation</w:t>
            </w:r>
          </w:p>
        </w:tc>
        <w:tc>
          <w:tcPr>
            <w:tcW w:type="dxa" w:w="6768"/>
            <w:shd w:fill="EAF4F1"/>
            <w:vAlign w:val="top"/>
          </w:tcPr>
          <w:p>
            <w:pPr>
              <w:spacing w:after="0"/>
            </w:pPr>
            <w:r/>
            <w:r>
              <w:rPr>
                <w:rFonts w:ascii="Arial" w:hAnsi="Arial" w:eastAsia="Arial"/>
                <w:b w:val="0"/>
                <w:sz w:val="16"/>
              </w:rPr>
              <w:t>Shows instant warning when followed company turns Red.</w:t>
            </w:r>
          </w:p>
        </w:tc>
      </w:tr>
      <w:tr>
        <w:tc>
          <w:tcPr>
            <w:tcW w:type="dxa" w:w="1152"/>
            <w:vAlign w:val="top"/>
          </w:tcPr>
          <w:p>
            <w:pPr>
              <w:spacing w:after="0"/>
            </w:pPr>
            <w:r/>
            <w:r>
              <w:rPr>
                <w:rFonts w:ascii="Arial" w:hAnsi="Arial" w:eastAsia="Arial"/>
                <w:b w:val="0"/>
                <w:sz w:val="16"/>
              </w:rPr>
              <w:t>P2</w:t>
            </w:r>
          </w:p>
        </w:tc>
        <w:tc>
          <w:tcPr>
            <w:tcW w:type="dxa" w:w="4032"/>
            <w:vAlign w:val="top"/>
          </w:tcPr>
          <w:p>
            <w:pPr>
              <w:spacing w:after="0"/>
            </w:pPr>
            <w:r/>
            <w:r>
              <w:rPr>
                <w:rFonts w:ascii="Arial" w:hAnsi="Arial" w:eastAsia="Arial"/>
                <w:b w:val="0"/>
                <w:sz w:val="16"/>
              </w:rPr>
              <w:t>Daily Brief screen</w:t>
            </w:r>
          </w:p>
        </w:tc>
        <w:tc>
          <w:tcPr>
            <w:tcW w:type="dxa" w:w="6768"/>
            <w:vAlign w:val="top"/>
          </w:tcPr>
          <w:p>
            <w:pPr>
              <w:spacing w:after="0"/>
            </w:pPr>
            <w:r/>
            <w:r>
              <w:rPr>
                <w:rFonts w:ascii="Arial" w:hAnsi="Arial" w:eastAsia="Arial"/>
                <w:b w:val="0"/>
                <w:sz w:val="16"/>
              </w:rPr>
              <w:t>Personalised monitoring summary.</w:t>
            </w:r>
          </w:p>
        </w:tc>
      </w:tr>
      <w:tr>
        <w:tc>
          <w:tcPr>
            <w:tcW w:type="dxa" w:w="1152"/>
            <w:shd w:fill="EAF4F1"/>
            <w:vAlign w:val="top"/>
          </w:tcPr>
          <w:p>
            <w:pPr>
              <w:spacing w:after="0"/>
            </w:pPr>
            <w:r/>
            <w:r>
              <w:rPr>
                <w:rFonts w:ascii="Arial" w:hAnsi="Arial" w:eastAsia="Arial"/>
                <w:b w:val="0"/>
                <w:sz w:val="16"/>
              </w:rPr>
              <w:t>P2</w:t>
            </w:r>
          </w:p>
        </w:tc>
        <w:tc>
          <w:tcPr>
            <w:tcW w:type="dxa" w:w="4032"/>
            <w:shd w:fill="EAF4F1"/>
            <w:vAlign w:val="top"/>
          </w:tcPr>
          <w:p>
            <w:pPr>
              <w:spacing w:after="0"/>
            </w:pPr>
            <w:r/>
            <w:r>
              <w:rPr>
                <w:rFonts w:ascii="Arial" w:hAnsi="Arial" w:eastAsia="Arial"/>
                <w:b w:val="0"/>
                <w:sz w:val="16"/>
              </w:rPr>
              <w:t>Portfolio ESG Health + streak</w:t>
            </w:r>
          </w:p>
        </w:tc>
        <w:tc>
          <w:tcPr>
            <w:tcW w:type="dxa" w:w="6768"/>
            <w:shd w:fill="EAF4F1"/>
            <w:vAlign w:val="top"/>
          </w:tcPr>
          <w:p>
            <w:pPr>
              <w:spacing w:after="0"/>
            </w:pPr>
            <w:r/>
            <w:r>
              <w:rPr>
                <w:rFonts w:ascii="Arial" w:hAnsi="Arial" w:eastAsia="Arial"/>
                <w:b w:val="0"/>
                <w:sz w:val="16"/>
              </w:rPr>
              <w:t>Gamification tied to ESG monitoring.</w:t>
            </w:r>
          </w:p>
        </w:tc>
      </w:tr>
      <w:tr>
        <w:tc>
          <w:tcPr>
            <w:tcW w:type="dxa" w:w="1152"/>
            <w:vAlign w:val="top"/>
          </w:tcPr>
          <w:p>
            <w:pPr>
              <w:spacing w:after="0"/>
            </w:pPr>
            <w:r/>
            <w:r>
              <w:rPr>
                <w:rFonts w:ascii="Arial" w:hAnsi="Arial" w:eastAsia="Arial"/>
                <w:b w:val="0"/>
                <w:sz w:val="16"/>
              </w:rPr>
              <w:t>P3</w:t>
            </w:r>
          </w:p>
        </w:tc>
        <w:tc>
          <w:tcPr>
            <w:tcW w:type="dxa" w:w="4032"/>
            <w:vAlign w:val="top"/>
          </w:tcPr>
          <w:p>
            <w:pPr>
              <w:spacing w:after="0"/>
            </w:pPr>
            <w:r/>
            <w:r>
              <w:rPr>
                <w:rFonts w:ascii="Arial" w:hAnsi="Arial" w:eastAsia="Arial"/>
                <w:b w:val="0"/>
                <w:sz w:val="16"/>
              </w:rPr>
              <w:t>Search screen</w:t>
            </w:r>
          </w:p>
        </w:tc>
        <w:tc>
          <w:tcPr>
            <w:tcW w:type="dxa" w:w="6768"/>
            <w:vAlign w:val="top"/>
          </w:tcPr>
          <w:p>
            <w:pPr>
              <w:spacing w:after="0"/>
            </w:pPr>
            <w:r/>
            <w:r>
              <w:rPr>
                <w:rFonts w:ascii="Arial" w:hAnsi="Arial" w:eastAsia="Arial"/>
                <w:b w:val="0"/>
                <w:sz w:val="16"/>
              </w:rPr>
              <w:t>Direct check for any ticker.</w:t>
            </w:r>
          </w:p>
        </w:tc>
      </w:tr>
      <w:tr>
        <w:tc>
          <w:tcPr>
            <w:tcW w:type="dxa" w:w="1152"/>
            <w:shd w:fill="EAF4F1"/>
            <w:vAlign w:val="top"/>
          </w:tcPr>
          <w:p>
            <w:pPr>
              <w:spacing w:after="0"/>
            </w:pPr>
            <w:r/>
            <w:r>
              <w:rPr>
                <w:rFonts w:ascii="Arial" w:hAnsi="Arial" w:eastAsia="Arial"/>
                <w:b w:val="0"/>
                <w:sz w:val="16"/>
              </w:rPr>
              <w:t>P3</w:t>
            </w:r>
          </w:p>
        </w:tc>
        <w:tc>
          <w:tcPr>
            <w:tcW w:type="dxa" w:w="4032"/>
            <w:shd w:fill="EAF4F1"/>
            <w:vAlign w:val="top"/>
          </w:tcPr>
          <w:p>
            <w:pPr>
              <w:spacing w:after="0"/>
            </w:pPr>
            <w:r/>
            <w:r>
              <w:rPr>
                <w:rFonts w:ascii="Arial" w:hAnsi="Arial" w:eastAsia="Arial"/>
                <w:b w:val="0"/>
                <w:sz w:val="16"/>
              </w:rPr>
              <w:t>Leaderboard / ESG Circle</w:t>
            </w:r>
          </w:p>
        </w:tc>
        <w:tc>
          <w:tcPr>
            <w:tcW w:type="dxa" w:w="6768"/>
            <w:shd w:fill="EAF4F1"/>
            <w:vAlign w:val="top"/>
          </w:tcPr>
          <w:p>
            <w:pPr>
              <w:spacing w:after="0"/>
            </w:pPr>
            <w:r/>
            <w:r>
              <w:rPr>
                <w:rFonts w:ascii="Arial" w:hAnsi="Arial" w:eastAsia="Arial"/>
                <w:b w:val="0"/>
                <w:sz w:val="16"/>
              </w:rPr>
              <w:t>Optional social layer.</w:t>
            </w:r>
          </w:p>
        </w:tc>
      </w:tr>
    </w:tbl>
    <w:p>
      <w:pPr>
        <w:spacing w:after="80"/>
      </w:pPr>
    </w:p>
    <w:p>
      <w:pPr>
        <w:pStyle w:val="Heading1"/>
        <w:spacing w:after="80"/>
      </w:pPr>
      <w:r>
        <w:t>19. Demo Stocks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448"/>
            <w:shd w:fill="007866"/>
          </w:tcPr>
          <w:p>
            <w:pPr>
              <w:spacing w:after="0"/>
            </w:pPr>
            <w:r/>
            <w:r>
              <w:rPr>
                <w:rFonts w:ascii="Arial" w:hAnsi="Arial" w:eastAsia="Arial"/>
                <w:b/>
                <w:color w:val="FFFFFF"/>
                <w:sz w:val="15"/>
              </w:rPr>
              <w:t>Stock</w:t>
            </w:r>
          </w:p>
        </w:tc>
        <w:tc>
          <w:tcPr>
            <w:tcW w:type="dxa" w:w="1296"/>
            <w:shd w:fill="007866"/>
          </w:tcPr>
          <w:p>
            <w:pPr>
              <w:spacing w:after="0"/>
            </w:pPr>
            <w:r/>
            <w:r>
              <w:rPr>
                <w:rFonts w:ascii="Arial" w:hAnsi="Arial" w:eastAsia="Arial"/>
                <w:b/>
                <w:color w:val="FFFFFF"/>
                <w:sz w:val="15"/>
              </w:rPr>
              <w:t>Signal</w:t>
            </w:r>
          </w:p>
        </w:tc>
        <w:tc>
          <w:tcPr>
            <w:tcW w:type="dxa" w:w="5472"/>
            <w:shd w:fill="007866"/>
          </w:tcPr>
          <w:p>
            <w:pPr>
              <w:spacing w:after="0"/>
            </w:pPr>
            <w:r/>
            <w:r>
              <w:rPr>
                <w:rFonts w:ascii="Arial" w:hAnsi="Arial" w:eastAsia="Arial"/>
                <w:b/>
                <w:color w:val="FFFFFF"/>
                <w:sz w:val="15"/>
              </w:rPr>
              <w:t>Key ESG Issue</w:t>
            </w:r>
          </w:p>
        </w:tc>
        <w:tc>
          <w:tcPr>
            <w:tcW w:type="dxa" w:w="1728"/>
            <w:shd w:fill="007866"/>
          </w:tcPr>
          <w:p>
            <w:pPr>
              <w:spacing w:after="0"/>
            </w:pPr>
            <w:r/>
            <w:r>
              <w:rPr>
                <w:rFonts w:ascii="Arial" w:hAnsi="Arial" w:eastAsia="Arial"/>
                <w:b/>
                <w:color w:val="FFFFFF"/>
                <w:sz w:val="15"/>
              </w:rPr>
              <w:t>Backtest Case</w:t>
            </w:r>
          </w:p>
        </w:tc>
      </w:tr>
      <w:tr>
        <w:tc>
          <w:tcPr>
            <w:tcW w:type="dxa" w:w="2448"/>
            <w:shd w:fill="EAF4F1"/>
            <w:vAlign w:val="top"/>
          </w:tcPr>
          <w:p>
            <w:pPr>
              <w:spacing w:after="0"/>
            </w:pPr>
            <w:r/>
            <w:r>
              <w:rPr>
                <w:rFonts w:ascii="Arial" w:hAnsi="Arial" w:eastAsia="Arial"/>
                <w:b w:val="0"/>
                <w:sz w:val="15"/>
              </w:rPr>
              <w:t>Apple (AAPL)</w:t>
            </w:r>
          </w:p>
        </w:tc>
        <w:tc>
          <w:tcPr>
            <w:tcW w:type="dxa" w:w="1296"/>
            <w:shd w:fill="EAF4F1"/>
            <w:vAlign w:val="top"/>
          </w:tcPr>
          <w:p>
            <w:pPr>
              <w:spacing w:after="0"/>
            </w:pPr>
            <w:r/>
            <w:r>
              <w:rPr>
                <w:rFonts w:ascii="Arial" w:hAnsi="Arial" w:eastAsia="Arial"/>
                <w:b w:val="0"/>
                <w:sz w:val="15"/>
              </w:rPr>
              <w:t>Green</w:t>
            </w:r>
          </w:p>
        </w:tc>
        <w:tc>
          <w:tcPr>
            <w:tcW w:type="dxa" w:w="5472"/>
            <w:shd w:fill="EAF4F1"/>
            <w:vAlign w:val="top"/>
          </w:tcPr>
          <w:p>
            <w:pPr>
              <w:spacing w:after="0"/>
            </w:pPr>
            <w:r/>
            <w:r>
              <w:rPr>
                <w:rFonts w:ascii="Arial" w:hAnsi="Arial" w:eastAsia="Arial"/>
                <w:b w:val="0"/>
                <w:sz w:val="15"/>
              </w:rPr>
              <w:t>Strong supply chain transparency.</w:t>
            </w:r>
          </w:p>
        </w:tc>
        <w:tc>
          <w:tcPr>
            <w:tcW w:type="dxa" w:w="1728"/>
            <w:shd w:fill="EAF4F1"/>
            <w:vAlign w:val="top"/>
          </w:tcPr>
          <w:p>
            <w:pPr>
              <w:spacing w:after="0"/>
            </w:pPr>
            <w:r/>
            <w:r>
              <w:rPr>
                <w:rFonts w:ascii="Arial" w:hAnsi="Arial" w:eastAsia="Arial"/>
                <w:b w:val="0"/>
                <w:sz w:val="15"/>
              </w:rPr>
              <w:t>-</w:t>
            </w:r>
          </w:p>
        </w:tc>
      </w:tr>
      <w:tr>
        <w:tc>
          <w:tcPr>
            <w:tcW w:type="dxa" w:w="2448"/>
            <w:vAlign w:val="top"/>
          </w:tcPr>
          <w:p>
            <w:pPr>
              <w:spacing w:after="0"/>
            </w:pPr>
            <w:r/>
            <w:r>
              <w:rPr>
                <w:rFonts w:ascii="Arial" w:hAnsi="Arial" w:eastAsia="Arial"/>
                <w:b w:val="0"/>
                <w:sz w:val="15"/>
              </w:rPr>
              <w:t>Microsoft (MSFT)</w:t>
            </w:r>
          </w:p>
        </w:tc>
        <w:tc>
          <w:tcPr>
            <w:tcW w:type="dxa" w:w="1296"/>
            <w:vAlign w:val="top"/>
          </w:tcPr>
          <w:p>
            <w:pPr>
              <w:spacing w:after="0"/>
            </w:pPr>
            <w:r/>
            <w:r>
              <w:rPr>
                <w:rFonts w:ascii="Arial" w:hAnsi="Arial" w:eastAsia="Arial"/>
                <w:b w:val="0"/>
                <w:sz w:val="15"/>
              </w:rPr>
              <w:t>Green</w:t>
            </w:r>
          </w:p>
        </w:tc>
        <w:tc>
          <w:tcPr>
            <w:tcW w:type="dxa" w:w="5472"/>
            <w:vAlign w:val="top"/>
          </w:tcPr>
          <w:p>
            <w:pPr>
              <w:spacing w:after="0"/>
            </w:pPr>
            <w:r/>
            <w:r>
              <w:rPr>
                <w:rFonts w:ascii="Arial" w:hAnsi="Arial" w:eastAsia="Arial"/>
                <w:b w:val="0"/>
                <w:sz w:val="15"/>
              </w:rPr>
              <w:t>Carbon-negative commitment appears on track.</w:t>
            </w:r>
          </w:p>
        </w:tc>
        <w:tc>
          <w:tcPr>
            <w:tcW w:type="dxa" w:w="1728"/>
            <w:vAlign w:val="top"/>
          </w:tcPr>
          <w:p>
            <w:pPr>
              <w:spacing w:after="0"/>
            </w:pPr>
            <w:r/>
            <w:r>
              <w:rPr>
                <w:rFonts w:ascii="Arial" w:hAnsi="Arial" w:eastAsia="Arial"/>
                <w:b w:val="0"/>
                <w:sz w:val="15"/>
              </w:rPr>
              <w:t>-</w:t>
            </w:r>
          </w:p>
        </w:tc>
      </w:tr>
      <w:tr>
        <w:tc>
          <w:tcPr>
            <w:tcW w:type="dxa" w:w="2448"/>
            <w:shd w:fill="EAF4F1"/>
            <w:vAlign w:val="top"/>
          </w:tcPr>
          <w:p>
            <w:pPr>
              <w:spacing w:after="0"/>
            </w:pPr>
            <w:r/>
            <w:r>
              <w:rPr>
                <w:rFonts w:ascii="Arial" w:hAnsi="Arial" w:eastAsia="Arial"/>
                <w:b w:val="0"/>
                <w:sz w:val="15"/>
              </w:rPr>
              <w:t>Nvidia (NVDA)</w:t>
            </w:r>
          </w:p>
        </w:tc>
        <w:tc>
          <w:tcPr>
            <w:tcW w:type="dxa" w:w="1296"/>
            <w:shd w:fill="EAF4F1"/>
            <w:vAlign w:val="top"/>
          </w:tcPr>
          <w:p>
            <w:pPr>
              <w:spacing w:after="0"/>
            </w:pPr>
            <w:r/>
            <w:r>
              <w:rPr>
                <w:rFonts w:ascii="Arial" w:hAnsi="Arial" w:eastAsia="Arial"/>
                <w:b w:val="0"/>
                <w:sz w:val="15"/>
              </w:rPr>
              <w:t>Watch</w:t>
            </w:r>
          </w:p>
        </w:tc>
        <w:tc>
          <w:tcPr>
            <w:tcW w:type="dxa" w:w="5472"/>
            <w:shd w:fill="EAF4F1"/>
            <w:vAlign w:val="top"/>
          </w:tcPr>
          <w:p>
            <w:pPr>
              <w:spacing w:after="0"/>
            </w:pPr>
            <w:r/>
            <w:r>
              <w:rPr>
                <w:rFonts w:ascii="Arial" w:hAnsi="Arial" w:eastAsia="Arial"/>
                <w:b w:val="0"/>
                <w:sz w:val="15"/>
              </w:rPr>
              <w:t>Supply chain labour concerns emerging.</w:t>
            </w:r>
          </w:p>
        </w:tc>
        <w:tc>
          <w:tcPr>
            <w:tcW w:type="dxa" w:w="1728"/>
            <w:shd w:fill="EAF4F1"/>
            <w:vAlign w:val="top"/>
          </w:tcPr>
          <w:p>
            <w:pPr>
              <w:spacing w:after="0"/>
            </w:pPr>
            <w:r/>
            <w:r>
              <w:rPr>
                <w:rFonts w:ascii="Arial" w:hAnsi="Arial" w:eastAsia="Arial"/>
                <w:b w:val="0"/>
                <w:sz w:val="15"/>
              </w:rPr>
              <w:t>-</w:t>
            </w:r>
          </w:p>
        </w:tc>
      </w:tr>
      <w:tr>
        <w:tc>
          <w:tcPr>
            <w:tcW w:type="dxa" w:w="2448"/>
            <w:vAlign w:val="top"/>
          </w:tcPr>
          <w:p>
            <w:pPr>
              <w:spacing w:after="0"/>
            </w:pPr>
            <w:r/>
            <w:r>
              <w:rPr>
                <w:rFonts w:ascii="Arial" w:hAnsi="Arial" w:eastAsia="Arial"/>
                <w:b w:val="0"/>
                <w:sz w:val="15"/>
              </w:rPr>
              <w:t>Amazon (AMZN)</w:t>
            </w:r>
          </w:p>
        </w:tc>
        <w:tc>
          <w:tcPr>
            <w:tcW w:type="dxa" w:w="1296"/>
            <w:vAlign w:val="top"/>
          </w:tcPr>
          <w:p>
            <w:pPr>
              <w:spacing w:after="0"/>
            </w:pPr>
            <w:r/>
            <w:r>
              <w:rPr>
                <w:rFonts w:ascii="Arial" w:hAnsi="Arial" w:eastAsia="Arial"/>
                <w:b w:val="0"/>
                <w:sz w:val="15"/>
              </w:rPr>
              <w:t>Watch</w:t>
            </w:r>
          </w:p>
        </w:tc>
        <w:tc>
          <w:tcPr>
            <w:tcW w:type="dxa" w:w="5472"/>
            <w:vAlign w:val="top"/>
          </w:tcPr>
          <w:p>
            <w:pPr>
              <w:spacing w:after="0"/>
            </w:pPr>
            <w:r/>
            <w:r>
              <w:rPr>
                <w:rFonts w:ascii="Arial" w:hAnsi="Arial" w:eastAsia="Arial"/>
                <w:b w:val="0"/>
                <w:sz w:val="15"/>
              </w:rPr>
              <w:t>Worker safety violations increasing.</w:t>
            </w:r>
          </w:p>
        </w:tc>
        <w:tc>
          <w:tcPr>
            <w:tcW w:type="dxa" w:w="1728"/>
            <w:vAlign w:val="top"/>
          </w:tcPr>
          <w:p>
            <w:pPr>
              <w:spacing w:after="0"/>
            </w:pPr>
            <w:r/>
            <w:r>
              <w:rPr>
                <w:rFonts w:ascii="Arial" w:hAnsi="Arial" w:eastAsia="Arial"/>
                <w:b w:val="0"/>
                <w:sz w:val="15"/>
              </w:rPr>
              <w:t>-</w:t>
            </w:r>
          </w:p>
        </w:tc>
      </w:tr>
      <w:tr>
        <w:tc>
          <w:tcPr>
            <w:tcW w:type="dxa" w:w="2448"/>
            <w:shd w:fill="EAF4F1"/>
            <w:vAlign w:val="top"/>
          </w:tcPr>
          <w:p>
            <w:pPr>
              <w:spacing w:after="0"/>
            </w:pPr>
            <w:r/>
            <w:r>
              <w:rPr>
                <w:rFonts w:ascii="Arial" w:hAnsi="Arial" w:eastAsia="Arial"/>
                <w:b w:val="0"/>
                <w:sz w:val="15"/>
              </w:rPr>
              <w:t>Tesla (TSLA)</w:t>
            </w:r>
          </w:p>
        </w:tc>
        <w:tc>
          <w:tcPr>
            <w:tcW w:type="dxa" w:w="1296"/>
            <w:shd w:fill="EAF4F1"/>
            <w:vAlign w:val="top"/>
          </w:tcPr>
          <w:p>
            <w:pPr>
              <w:spacing w:after="0"/>
            </w:pPr>
            <w:r/>
            <w:r>
              <w:rPr>
                <w:rFonts w:ascii="Arial" w:hAnsi="Arial" w:eastAsia="Arial"/>
                <w:b w:val="0"/>
                <w:sz w:val="15"/>
              </w:rPr>
              <w:t>Watch</w:t>
            </w:r>
          </w:p>
        </w:tc>
        <w:tc>
          <w:tcPr>
            <w:tcW w:type="dxa" w:w="5472"/>
            <w:shd w:fill="EAF4F1"/>
            <w:vAlign w:val="top"/>
          </w:tcPr>
          <w:p>
            <w:pPr>
              <w:spacing w:after="0"/>
            </w:pPr>
            <w:r/>
            <w:r>
              <w:rPr>
                <w:rFonts w:ascii="Arial" w:hAnsi="Arial" w:eastAsia="Arial"/>
                <w:b w:val="0"/>
                <w:sz w:val="15"/>
              </w:rPr>
              <w:t>Governance and labour controversy.</w:t>
            </w:r>
          </w:p>
        </w:tc>
        <w:tc>
          <w:tcPr>
            <w:tcW w:type="dxa" w:w="1728"/>
            <w:shd w:fill="EAF4F1"/>
            <w:vAlign w:val="top"/>
          </w:tcPr>
          <w:p>
            <w:pPr>
              <w:spacing w:after="0"/>
            </w:pPr>
            <w:r/>
            <w:r>
              <w:rPr>
                <w:rFonts w:ascii="Arial" w:hAnsi="Arial" w:eastAsia="Arial"/>
                <w:b w:val="0"/>
                <w:sz w:val="15"/>
              </w:rPr>
              <w:t>-</w:t>
            </w:r>
          </w:p>
        </w:tc>
      </w:tr>
      <w:tr>
        <w:tc>
          <w:tcPr>
            <w:tcW w:type="dxa" w:w="2448"/>
            <w:vAlign w:val="top"/>
          </w:tcPr>
          <w:p>
            <w:pPr>
              <w:spacing w:after="0"/>
            </w:pPr>
            <w:r/>
            <w:r>
              <w:rPr>
                <w:rFonts w:ascii="Arial" w:hAnsi="Arial" w:eastAsia="Arial"/>
                <w:b w:val="0"/>
                <w:sz w:val="15"/>
              </w:rPr>
              <w:t>ExxonMobil (XOM)</w:t>
            </w:r>
          </w:p>
        </w:tc>
        <w:tc>
          <w:tcPr>
            <w:tcW w:type="dxa" w:w="1296"/>
            <w:vAlign w:val="top"/>
          </w:tcPr>
          <w:p>
            <w:pPr>
              <w:spacing w:after="0"/>
            </w:pPr>
            <w:r/>
            <w:r>
              <w:rPr>
                <w:rFonts w:ascii="Arial" w:hAnsi="Arial" w:eastAsia="Arial"/>
                <w:b w:val="0"/>
                <w:sz w:val="15"/>
              </w:rPr>
              <w:t>Red</w:t>
            </w:r>
          </w:p>
        </w:tc>
        <w:tc>
          <w:tcPr>
            <w:tcW w:type="dxa" w:w="5472"/>
            <w:vAlign w:val="top"/>
          </w:tcPr>
          <w:p>
            <w:pPr>
              <w:spacing w:after="0"/>
            </w:pPr>
            <w:r/>
            <w:r>
              <w:rPr>
                <w:rFonts w:ascii="Arial" w:hAnsi="Arial" w:eastAsia="Arial"/>
                <w:b w:val="0"/>
                <w:sz w:val="15"/>
              </w:rPr>
              <w:t>Climate commitment reversal.</w:t>
            </w:r>
          </w:p>
        </w:tc>
        <w:tc>
          <w:tcPr>
            <w:tcW w:type="dxa" w:w="1728"/>
            <w:vAlign w:val="top"/>
          </w:tcPr>
          <w:p>
            <w:pPr>
              <w:spacing w:after="0"/>
            </w:pPr>
            <w:r/>
            <w:r>
              <w:rPr>
                <w:rFonts w:ascii="Arial" w:hAnsi="Arial" w:eastAsia="Arial"/>
                <w:b w:val="0"/>
                <w:sz w:val="15"/>
              </w:rPr>
              <w:t>Historical</w:t>
            </w:r>
          </w:p>
        </w:tc>
      </w:tr>
      <w:tr>
        <w:tc>
          <w:tcPr>
            <w:tcW w:type="dxa" w:w="2448"/>
            <w:shd w:fill="EAF4F1"/>
            <w:vAlign w:val="top"/>
          </w:tcPr>
          <w:p>
            <w:pPr>
              <w:spacing w:after="0"/>
            </w:pPr>
            <w:r/>
            <w:r>
              <w:rPr>
                <w:rFonts w:ascii="Arial" w:hAnsi="Arial" w:eastAsia="Arial"/>
                <w:b w:val="0"/>
                <w:sz w:val="15"/>
              </w:rPr>
              <w:t>Boohoo (BOO)</w:t>
            </w:r>
          </w:p>
        </w:tc>
        <w:tc>
          <w:tcPr>
            <w:tcW w:type="dxa" w:w="1296"/>
            <w:shd w:fill="EAF4F1"/>
            <w:vAlign w:val="top"/>
          </w:tcPr>
          <w:p>
            <w:pPr>
              <w:spacing w:after="0"/>
            </w:pPr>
            <w:r/>
            <w:r>
              <w:rPr>
                <w:rFonts w:ascii="Arial" w:hAnsi="Arial" w:eastAsia="Arial"/>
                <w:b w:val="0"/>
                <w:sz w:val="15"/>
              </w:rPr>
              <w:t>Red</w:t>
            </w:r>
          </w:p>
        </w:tc>
        <w:tc>
          <w:tcPr>
            <w:tcW w:type="dxa" w:w="5472"/>
            <w:shd w:fill="EAF4F1"/>
            <w:vAlign w:val="top"/>
          </w:tcPr>
          <w:p>
            <w:pPr>
              <w:spacing w:after="0"/>
            </w:pPr>
            <w:r/>
            <w:r>
              <w:rPr>
                <w:rFonts w:ascii="Arial" w:hAnsi="Arial" w:eastAsia="Arial"/>
                <w:b w:val="0"/>
                <w:sz w:val="15"/>
              </w:rPr>
              <w:t>Labour scandal, supplier violations.</w:t>
            </w:r>
          </w:p>
        </w:tc>
        <w:tc>
          <w:tcPr>
            <w:tcW w:type="dxa" w:w="1728"/>
            <w:shd w:fill="EAF4F1"/>
            <w:vAlign w:val="top"/>
          </w:tcPr>
          <w:p>
            <w:pPr>
              <w:spacing w:after="0"/>
            </w:pPr>
            <w:r/>
            <w:r>
              <w:rPr>
                <w:rFonts w:ascii="Arial" w:hAnsi="Arial" w:eastAsia="Arial"/>
                <w:b w:val="0"/>
                <w:sz w:val="15"/>
              </w:rPr>
              <w:t>2020</w:t>
            </w:r>
          </w:p>
        </w:tc>
      </w:tr>
      <w:tr>
        <w:tc>
          <w:tcPr>
            <w:tcW w:type="dxa" w:w="2448"/>
            <w:vAlign w:val="top"/>
          </w:tcPr>
          <w:p>
            <w:pPr>
              <w:spacing w:after="0"/>
            </w:pPr>
            <w:r/>
            <w:r>
              <w:rPr>
                <w:rFonts w:ascii="Arial" w:hAnsi="Arial" w:eastAsia="Arial"/>
                <w:b w:val="0"/>
                <w:sz w:val="15"/>
              </w:rPr>
              <w:t>Volkswagen (VOW)</w:t>
            </w:r>
          </w:p>
        </w:tc>
        <w:tc>
          <w:tcPr>
            <w:tcW w:type="dxa" w:w="1296"/>
            <w:vAlign w:val="top"/>
          </w:tcPr>
          <w:p>
            <w:pPr>
              <w:spacing w:after="0"/>
            </w:pPr>
            <w:r/>
            <w:r>
              <w:rPr>
                <w:rFonts w:ascii="Arial" w:hAnsi="Arial" w:eastAsia="Arial"/>
                <w:b w:val="0"/>
                <w:sz w:val="15"/>
              </w:rPr>
              <w:t>Red</w:t>
            </w:r>
          </w:p>
        </w:tc>
        <w:tc>
          <w:tcPr>
            <w:tcW w:type="dxa" w:w="5472"/>
            <w:vAlign w:val="top"/>
          </w:tcPr>
          <w:p>
            <w:pPr>
              <w:spacing w:after="0"/>
            </w:pPr>
            <w:r/>
            <w:r>
              <w:rPr>
                <w:rFonts w:ascii="Arial" w:hAnsi="Arial" w:eastAsia="Arial"/>
                <w:b w:val="0"/>
                <w:sz w:val="15"/>
              </w:rPr>
              <w:t>Emissions scandal legacy and repeat risk.</w:t>
            </w:r>
          </w:p>
        </w:tc>
        <w:tc>
          <w:tcPr>
            <w:tcW w:type="dxa" w:w="1728"/>
            <w:vAlign w:val="top"/>
          </w:tcPr>
          <w:p>
            <w:pPr>
              <w:spacing w:after="0"/>
            </w:pPr>
            <w:r/>
            <w:r>
              <w:rPr>
                <w:rFonts w:ascii="Arial" w:hAnsi="Arial" w:eastAsia="Arial"/>
                <w:b w:val="0"/>
                <w:sz w:val="15"/>
              </w:rPr>
              <w:t>2015</w:t>
            </w:r>
          </w:p>
        </w:tc>
      </w:tr>
      <w:tr>
        <w:tc>
          <w:tcPr>
            <w:tcW w:type="dxa" w:w="2448"/>
            <w:shd w:fill="EAF4F1"/>
            <w:vAlign w:val="top"/>
          </w:tcPr>
          <w:p>
            <w:pPr>
              <w:spacing w:after="0"/>
            </w:pPr>
            <w:r/>
            <w:r>
              <w:rPr>
                <w:rFonts w:ascii="Arial" w:hAnsi="Arial" w:eastAsia="Arial"/>
                <w:b w:val="0"/>
                <w:sz w:val="15"/>
              </w:rPr>
              <w:t>Goldman Sachs (GS)</w:t>
            </w:r>
          </w:p>
        </w:tc>
        <w:tc>
          <w:tcPr>
            <w:tcW w:type="dxa" w:w="1296"/>
            <w:shd w:fill="EAF4F1"/>
            <w:vAlign w:val="top"/>
          </w:tcPr>
          <w:p>
            <w:pPr>
              <w:spacing w:after="0"/>
            </w:pPr>
            <w:r/>
            <w:r>
              <w:rPr>
                <w:rFonts w:ascii="Arial" w:hAnsi="Arial" w:eastAsia="Arial"/>
                <w:b w:val="0"/>
                <w:sz w:val="15"/>
              </w:rPr>
              <w:t>Watch</w:t>
            </w:r>
          </w:p>
        </w:tc>
        <w:tc>
          <w:tcPr>
            <w:tcW w:type="dxa" w:w="5472"/>
            <w:shd w:fill="EAF4F1"/>
            <w:vAlign w:val="top"/>
          </w:tcPr>
          <w:p>
            <w:pPr>
              <w:spacing w:after="0"/>
            </w:pPr>
            <w:r/>
            <w:r>
              <w:rPr>
                <w:rFonts w:ascii="Arial" w:hAnsi="Arial" w:eastAsia="Arial"/>
                <w:b w:val="0"/>
                <w:sz w:val="15"/>
              </w:rPr>
              <w:t>Greenwashing fine from SEC.</w:t>
            </w:r>
          </w:p>
        </w:tc>
        <w:tc>
          <w:tcPr>
            <w:tcW w:type="dxa" w:w="1728"/>
            <w:shd w:fill="EAF4F1"/>
            <w:vAlign w:val="top"/>
          </w:tcPr>
          <w:p>
            <w:pPr>
              <w:spacing w:after="0"/>
            </w:pPr>
            <w:r/>
            <w:r>
              <w:rPr>
                <w:rFonts w:ascii="Arial" w:hAnsi="Arial" w:eastAsia="Arial"/>
                <w:b w:val="0"/>
                <w:sz w:val="15"/>
              </w:rPr>
              <w:t>2022</w:t>
            </w:r>
          </w:p>
        </w:tc>
      </w:tr>
      <w:tr>
        <w:tc>
          <w:tcPr>
            <w:tcW w:type="dxa" w:w="2448"/>
            <w:vAlign w:val="top"/>
          </w:tcPr>
          <w:p>
            <w:pPr>
              <w:spacing w:after="0"/>
            </w:pPr>
            <w:r/>
            <w:r>
              <w:rPr>
                <w:rFonts w:ascii="Arial" w:hAnsi="Arial" w:eastAsia="Arial"/>
                <w:b w:val="0"/>
                <w:sz w:val="15"/>
              </w:rPr>
              <w:t>DBS Group (D05.SI)</w:t>
            </w:r>
          </w:p>
        </w:tc>
        <w:tc>
          <w:tcPr>
            <w:tcW w:type="dxa" w:w="1296"/>
            <w:vAlign w:val="top"/>
          </w:tcPr>
          <w:p>
            <w:pPr>
              <w:spacing w:after="0"/>
            </w:pPr>
            <w:r/>
            <w:r>
              <w:rPr>
                <w:rFonts w:ascii="Arial" w:hAnsi="Arial" w:eastAsia="Arial"/>
                <w:b w:val="0"/>
                <w:sz w:val="15"/>
              </w:rPr>
              <w:t>Green</w:t>
            </w:r>
          </w:p>
        </w:tc>
        <w:tc>
          <w:tcPr>
            <w:tcW w:type="dxa" w:w="5472"/>
            <w:vAlign w:val="top"/>
          </w:tcPr>
          <w:p>
            <w:pPr>
              <w:spacing w:after="0"/>
            </w:pPr>
            <w:r/>
            <w:r>
              <w:rPr>
                <w:rFonts w:ascii="Arial" w:hAnsi="Arial" w:eastAsia="Arial"/>
                <w:b w:val="0"/>
                <w:sz w:val="15"/>
              </w:rPr>
              <w:t>Strong MAS-aligned ESG disclosures.</w:t>
            </w:r>
          </w:p>
        </w:tc>
        <w:tc>
          <w:tcPr>
            <w:tcW w:type="dxa" w:w="1728"/>
            <w:vAlign w:val="top"/>
          </w:tcPr>
          <w:p>
            <w:pPr>
              <w:spacing w:after="0"/>
            </w:pPr>
            <w:r/>
            <w:r>
              <w:rPr>
                <w:rFonts w:ascii="Arial" w:hAnsi="Arial" w:eastAsia="Arial"/>
                <w:b w:val="0"/>
                <w:sz w:val="15"/>
              </w:rPr>
              <w:t>-</w:t>
            </w:r>
          </w:p>
        </w:tc>
      </w:tr>
    </w:tbl>
    <w:p>
      <w:pPr>
        <w:spacing w:after="80"/>
      </w:pPr>
    </w:p>
    <w:p>
      <w:pPr>
        <w:pStyle w:val="Heading1"/>
        <w:spacing w:after="80"/>
      </w:pPr>
      <w:r>
        <w:t>20. Demo Walkthrough</w:t>
      </w:r>
    </w:p>
    <w:p>
      <w:pPr>
        <w:pStyle w:val="ListNumber"/>
        <w:spacing w:after="80"/>
      </w:pPr>
      <w:r>
        <w:t>Open the app on Discovery. Say: "Users can discover ESG changes without reading long reports."</w:t>
      </w:r>
    </w:p>
    <w:p>
      <w:pPr>
        <w:pStyle w:val="ListNumber"/>
        <w:spacing w:after="80"/>
      </w:pPr>
      <w:r>
        <w:t>Swipe to Nvidia Watch card. Tap Why This Flag? and show a simple explanation.</w:t>
      </w:r>
    </w:p>
    <w:p>
      <w:pPr>
        <w:pStyle w:val="ListNumber"/>
        <w:spacing w:after="80"/>
      </w:pPr>
      <w:r>
        <w:t>Tap See Receipts to open Company Detail. Say: "This is the Deathwatch engine: signal, score, evidence, and source confidence."</w:t>
      </w:r>
    </w:p>
    <w:p>
      <w:pPr>
        <w:pStyle w:val="ListNumber"/>
        <w:spacing w:after="80"/>
      </w:pPr>
      <w:r>
        <w:t>Add Nvidia to Watchlist.</w:t>
      </w:r>
    </w:p>
    <w:p>
      <w:pPr>
        <w:pStyle w:val="ListNumber"/>
        <w:spacing w:after="80"/>
      </w:pPr>
      <w:r>
        <w:t>Open ExxonMobil Red page and show ESG Fund Selling Pressure callout.</w:t>
      </w:r>
    </w:p>
    <w:p>
      <w:pPr>
        <w:pStyle w:val="ListNumber"/>
        <w:spacing w:after="80"/>
      </w:pPr>
      <w:r>
        <w:t>Trigger simulated Red Flag Alert for a watched company and open evidence page.</w:t>
      </w:r>
    </w:p>
    <w:p>
      <w:pPr>
        <w:pStyle w:val="ListNumber"/>
        <w:spacing w:after="80"/>
      </w:pPr>
      <w:r>
        <w:t>Open Daily Brief. Show meaningful changes and No Material Change summary.</w:t>
      </w:r>
    </w:p>
    <w:p>
      <w:pPr>
        <w:pStyle w:val="ListNumber"/>
        <w:spacing w:after="80"/>
      </w:pPr>
      <w:r>
        <w:t>Close: "Discovery helps users find ESG changes, but the signal engine remains the trusted evidence and monitoring system."</w:t>
      </w:r>
    </w:p>
    <w:p>
      <w:pPr>
        <w:pStyle w:val="Heading1"/>
        <w:spacing w:after="80"/>
      </w:pPr>
      <w:r>
        <w:t>21. Anti-Gambling and ESG-Focus Rules</w:t>
      </w:r>
    </w:p>
    <w:p>
      <w:pPr>
        <w:pStyle w:val="ListBullet"/>
        <w:spacing w:after="80"/>
      </w:pPr>
      <w:r>
        <w:t>Green / Watch / Red must never be shown as Buy / Hold / Sell.</w:t>
      </w:r>
    </w:p>
    <w:p>
      <w:pPr>
        <w:pStyle w:val="ListBullet"/>
        <w:spacing w:after="80"/>
      </w:pPr>
      <w:r>
        <w:t>Do not rank users by returns or trading success.</w:t>
      </w:r>
    </w:p>
    <w:p>
      <w:pPr>
        <w:pStyle w:val="ListBullet"/>
        <w:spacing w:after="80"/>
      </w:pPr>
      <w:r>
        <w:t>Do not show stock price and ESG signal together as if one directly causes the other.</w:t>
      </w:r>
    </w:p>
    <w:p>
      <w:pPr>
        <w:pStyle w:val="ListBullet"/>
        <w:spacing w:after="80"/>
      </w:pPr>
      <w:r>
        <w:t>Alerts must inform users, not pressure them to act immediately.</w:t>
      </w:r>
    </w:p>
    <w:p>
      <w:pPr>
        <w:pStyle w:val="ListBullet"/>
        <w:spacing w:after="80"/>
      </w:pPr>
      <w:r>
        <w:t>Discovery cards should focus on ESG evidence, not stock price movement.</w:t>
      </w:r>
    </w:p>
    <w:p>
      <w:pPr>
        <w:pStyle w:val="ListBullet"/>
        <w:spacing w:after="80"/>
      </w:pPr>
      <w:r>
        <w:t>Gamification rewards reading, monitoring, and evidence review, not trading frequency.</w:t>
      </w:r>
    </w:p>
    <w:p>
      <w:pPr>
        <w:pStyle w:val="ListBullet"/>
        <w:spacing w:after="80"/>
      </w:pPr>
      <w:r>
        <w:t>Always show uncertainty when evidence is incomplete.</w:t>
      </w:r>
    </w:p>
    <w:p>
      <w:pPr>
        <w:pStyle w:val="ListBullet"/>
        <w:spacing w:after="80"/>
      </w:pPr>
      <w:r>
        <w:t>Each signal must have receipts or explain why evidence confidence is low.</w:t>
      </w:r>
    </w:p>
    <w:p>
      <w:pPr>
        <w:pStyle w:val="Heading1"/>
        <w:spacing w:after="80"/>
      </w:pPr>
      <w:r>
        <w:t>22. Acceptance Criteria Checklist</w:t>
      </w:r>
    </w:p>
    <w:tbl>
      <w:tblPr>
        <w:tblStyle w:val="TableGrid"/>
        <w:tblW w:type="auto" w:w="0"/>
        <w:jc w:val="center"/>
        <w:tblLook w:firstColumn="1" w:firstRow="1" w:lastColumn="0" w:lastRow="0" w:noHBand="0" w:noVBand="1" w:val="04A0"/>
      </w:tblPr>
      <w:tblGrid>
        <w:gridCol w:w="5184"/>
        <w:gridCol w:w="5184"/>
      </w:tblGrid>
      <w:tr>
        <w:tc>
          <w:tcPr>
            <w:tcW w:type="dxa" w:w="2160"/>
            <w:shd w:fill="007866"/>
          </w:tcPr>
          <w:p>
            <w:pPr>
              <w:spacing w:after="0"/>
            </w:pPr>
            <w:r/>
            <w:r>
              <w:rPr>
                <w:rFonts w:ascii="Arial" w:hAnsi="Arial" w:eastAsia="Arial"/>
                <w:b/>
                <w:color w:val="FFFFFF"/>
                <w:sz w:val="16"/>
              </w:rPr>
              <w:t>Area</w:t>
            </w:r>
          </w:p>
        </w:tc>
        <w:tc>
          <w:tcPr>
            <w:tcW w:type="dxa" w:w="8496"/>
            <w:shd w:fill="007866"/>
          </w:tcPr>
          <w:p>
            <w:pPr>
              <w:spacing w:after="0"/>
            </w:pPr>
            <w:r/>
            <w:r>
              <w:rPr>
                <w:rFonts w:ascii="Arial" w:hAnsi="Arial" w:eastAsia="Arial"/>
                <w:b/>
                <w:color w:val="FFFFFF"/>
                <w:sz w:val="16"/>
              </w:rPr>
              <w:t>Must Pass</w:t>
            </w:r>
          </w:p>
        </w:tc>
      </w:tr>
      <w:tr>
        <w:tc>
          <w:tcPr>
            <w:tcW w:type="dxa" w:w="2160"/>
            <w:shd w:fill="EAF4F1"/>
            <w:vAlign w:val="top"/>
          </w:tcPr>
          <w:p>
            <w:pPr>
              <w:spacing w:after="0"/>
            </w:pPr>
            <w:r/>
            <w:r>
              <w:rPr>
                <w:rFonts w:ascii="Arial" w:hAnsi="Arial" w:eastAsia="Arial"/>
                <w:b w:val="0"/>
                <w:sz w:val="16"/>
              </w:rPr>
              <w:t>Signal engine</w:t>
            </w:r>
          </w:p>
        </w:tc>
        <w:tc>
          <w:tcPr>
            <w:tcW w:type="dxa" w:w="8496"/>
            <w:shd w:fill="EAF4F1"/>
            <w:vAlign w:val="top"/>
          </w:tcPr>
          <w:p>
            <w:pPr>
              <w:spacing w:after="0"/>
            </w:pPr>
            <w:r/>
            <w:r>
              <w:rPr>
                <w:rFonts w:ascii="Arial" w:hAnsi="Arial" w:eastAsia="Arial"/>
                <w:b w:val="0"/>
                <w:sz w:val="16"/>
              </w:rPr>
              <w:t>Each demo company has Green / Watch / Red, final score, sub-scores, and receipts.</w:t>
            </w:r>
          </w:p>
        </w:tc>
      </w:tr>
      <w:tr>
        <w:tc>
          <w:tcPr>
            <w:tcW w:type="dxa" w:w="2160"/>
            <w:vAlign w:val="top"/>
          </w:tcPr>
          <w:p>
            <w:pPr>
              <w:spacing w:after="0"/>
            </w:pPr>
            <w:r/>
            <w:r>
              <w:rPr>
                <w:rFonts w:ascii="Arial" w:hAnsi="Arial" w:eastAsia="Arial"/>
                <w:b w:val="0"/>
                <w:sz w:val="16"/>
              </w:rPr>
              <w:t>Evidence validity</w:t>
            </w:r>
          </w:p>
        </w:tc>
        <w:tc>
          <w:tcPr>
            <w:tcW w:type="dxa" w:w="8496"/>
            <w:vAlign w:val="top"/>
          </w:tcPr>
          <w:p>
            <w:pPr>
              <w:spacing w:after="0"/>
            </w:pPr>
            <w:r/>
            <w:r>
              <w:rPr>
                <w:rFonts w:ascii="Arial" w:hAnsi="Arial" w:eastAsia="Arial"/>
                <w:b w:val="0"/>
                <w:sz w:val="16"/>
              </w:rPr>
              <w:t>Every receipt has source type, grade, confidence score, date, and summary.</w:t>
            </w:r>
          </w:p>
        </w:tc>
      </w:tr>
      <w:tr>
        <w:tc>
          <w:tcPr>
            <w:tcW w:type="dxa" w:w="2160"/>
            <w:shd w:fill="EAF4F1"/>
            <w:vAlign w:val="top"/>
          </w:tcPr>
          <w:p>
            <w:pPr>
              <w:spacing w:after="0"/>
            </w:pPr>
            <w:r/>
            <w:r>
              <w:rPr>
                <w:rFonts w:ascii="Arial" w:hAnsi="Arial" w:eastAsia="Arial"/>
                <w:b w:val="0"/>
                <w:sz w:val="16"/>
              </w:rPr>
              <w:t>Discovery</w:t>
            </w:r>
          </w:p>
        </w:tc>
        <w:tc>
          <w:tcPr>
            <w:tcW w:type="dxa" w:w="8496"/>
            <w:shd w:fill="EAF4F1"/>
            <w:vAlign w:val="top"/>
          </w:tcPr>
          <w:p>
            <w:pPr>
              <w:spacing w:after="0"/>
            </w:pPr>
            <w:r/>
            <w:r>
              <w:rPr>
                <w:rFonts w:ascii="Arial" w:hAnsi="Arial" w:eastAsia="Arial"/>
                <w:b w:val="0"/>
                <w:sz w:val="16"/>
              </w:rPr>
              <w:t>Cards are generated from same dataset and link to Company Detail.</w:t>
            </w:r>
          </w:p>
        </w:tc>
      </w:tr>
      <w:tr>
        <w:tc>
          <w:tcPr>
            <w:tcW w:type="dxa" w:w="2160"/>
            <w:vAlign w:val="top"/>
          </w:tcPr>
          <w:p>
            <w:pPr>
              <w:spacing w:after="0"/>
            </w:pPr>
            <w:r/>
            <w:r>
              <w:rPr>
                <w:rFonts w:ascii="Arial" w:hAnsi="Arial" w:eastAsia="Arial"/>
                <w:b w:val="0"/>
                <w:sz w:val="16"/>
              </w:rPr>
              <w:t>Watchlist</w:t>
            </w:r>
          </w:p>
        </w:tc>
        <w:tc>
          <w:tcPr>
            <w:tcW w:type="dxa" w:w="8496"/>
            <w:vAlign w:val="top"/>
          </w:tcPr>
          <w:p>
            <w:pPr>
              <w:spacing w:after="0"/>
            </w:pPr>
            <w:r/>
            <w:r>
              <w:rPr>
                <w:rFonts w:ascii="Arial" w:hAnsi="Arial" w:eastAsia="Arial"/>
                <w:b w:val="0"/>
                <w:sz w:val="16"/>
              </w:rPr>
              <w:t>User can add/remove companies and see worst ESG risk first.</w:t>
            </w:r>
          </w:p>
        </w:tc>
      </w:tr>
      <w:tr>
        <w:tc>
          <w:tcPr>
            <w:tcW w:type="dxa" w:w="2160"/>
            <w:shd w:fill="EAF4F1"/>
            <w:vAlign w:val="top"/>
          </w:tcPr>
          <w:p>
            <w:pPr>
              <w:spacing w:after="0"/>
            </w:pPr>
            <w:r/>
            <w:r>
              <w:rPr>
                <w:rFonts w:ascii="Arial" w:hAnsi="Arial" w:eastAsia="Arial"/>
                <w:b w:val="0"/>
                <w:sz w:val="16"/>
              </w:rPr>
              <w:t>Alert</w:t>
            </w:r>
          </w:p>
        </w:tc>
        <w:tc>
          <w:tcPr>
            <w:tcW w:type="dxa" w:w="8496"/>
            <w:shd w:fill="EAF4F1"/>
            <w:vAlign w:val="top"/>
          </w:tcPr>
          <w:p>
            <w:pPr>
              <w:spacing w:after="0"/>
            </w:pPr>
            <w:r/>
            <w:r>
              <w:rPr>
                <w:rFonts w:ascii="Arial" w:hAnsi="Arial" w:eastAsia="Arial"/>
                <w:b w:val="0"/>
                <w:sz w:val="16"/>
              </w:rPr>
              <w:t>Red Flag alert simulation works only for followed companies.</w:t>
            </w:r>
          </w:p>
        </w:tc>
      </w:tr>
      <w:tr>
        <w:tc>
          <w:tcPr>
            <w:tcW w:type="dxa" w:w="2160"/>
            <w:vAlign w:val="top"/>
          </w:tcPr>
          <w:p>
            <w:pPr>
              <w:spacing w:after="0"/>
            </w:pPr>
            <w:r/>
            <w:r>
              <w:rPr>
                <w:rFonts w:ascii="Arial" w:hAnsi="Arial" w:eastAsia="Arial"/>
                <w:b w:val="0"/>
                <w:sz w:val="16"/>
              </w:rPr>
              <w:t>Daily Brief</w:t>
            </w:r>
          </w:p>
        </w:tc>
        <w:tc>
          <w:tcPr>
            <w:tcW w:type="dxa" w:w="8496"/>
            <w:vAlign w:val="top"/>
          </w:tcPr>
          <w:p>
            <w:pPr>
              <w:spacing w:after="0"/>
            </w:pPr>
            <w:r/>
            <w:r>
              <w:rPr>
                <w:rFonts w:ascii="Arial" w:hAnsi="Arial" w:eastAsia="Arial"/>
                <w:b w:val="0"/>
                <w:sz w:val="16"/>
              </w:rPr>
              <w:t>Shows meaningful changes plus No Material Change summary.</w:t>
            </w:r>
          </w:p>
        </w:tc>
      </w:tr>
      <w:tr>
        <w:tc>
          <w:tcPr>
            <w:tcW w:type="dxa" w:w="2160"/>
            <w:shd w:fill="EAF4F1"/>
            <w:vAlign w:val="top"/>
          </w:tcPr>
          <w:p>
            <w:pPr>
              <w:spacing w:after="0"/>
            </w:pPr>
            <w:r/>
            <w:r>
              <w:rPr>
                <w:rFonts w:ascii="Arial" w:hAnsi="Arial" w:eastAsia="Arial"/>
                <w:b w:val="0"/>
                <w:sz w:val="16"/>
              </w:rPr>
              <w:t>UX safety</w:t>
            </w:r>
          </w:p>
        </w:tc>
        <w:tc>
          <w:tcPr>
            <w:tcW w:type="dxa" w:w="8496"/>
            <w:shd w:fill="EAF4F1"/>
            <w:vAlign w:val="top"/>
          </w:tcPr>
          <w:p>
            <w:pPr>
              <w:spacing w:after="0"/>
            </w:pPr>
            <w:r/>
            <w:r>
              <w:rPr>
                <w:rFonts w:ascii="Arial" w:hAnsi="Arial" w:eastAsia="Arial"/>
                <w:b w:val="0"/>
                <w:sz w:val="16"/>
              </w:rPr>
              <w:t>No buy/sell wording, no profit-based gamification, no act-now alert language.</w:t>
            </w:r>
          </w:p>
        </w:tc>
      </w:tr>
      <w:tr>
        <w:tc>
          <w:tcPr>
            <w:tcW w:type="dxa" w:w="2160"/>
            <w:vAlign w:val="top"/>
          </w:tcPr>
          <w:p>
            <w:pPr>
              <w:spacing w:after="0"/>
            </w:pPr>
            <w:r/>
            <w:r>
              <w:rPr>
                <w:rFonts w:ascii="Arial" w:hAnsi="Arial" w:eastAsia="Arial"/>
                <w:b w:val="0"/>
                <w:sz w:val="16"/>
              </w:rPr>
              <w:t>Demo readiness</w:t>
            </w:r>
          </w:p>
        </w:tc>
        <w:tc>
          <w:tcPr>
            <w:tcW w:type="dxa" w:w="8496"/>
            <w:vAlign w:val="top"/>
          </w:tcPr>
          <w:p>
            <w:pPr>
              <w:spacing w:after="0"/>
            </w:pPr>
            <w:r/>
            <w:r>
              <w:rPr>
                <w:rFonts w:ascii="Arial" w:hAnsi="Arial" w:eastAsia="Arial"/>
                <w:b w:val="0"/>
                <w:sz w:val="16"/>
              </w:rPr>
              <w:t>3-4 minute judge walkthrough can be performed smoothly.</w:t>
            </w:r>
          </w:p>
        </w:tc>
      </w:tr>
    </w:tbl>
    <w:p>
      <w:pPr>
        <w:spacing w:after="80"/>
      </w:pPr>
    </w:p>
    <w:p>
      <w:pPr>
        <w:pStyle w:val="Heading1"/>
        <w:spacing w:after="80"/>
      </w:pPr>
      <w:r>
        <w:t>23. Final Positioning</w:t>
      </w:r>
    </w:p>
    <w:tbl>
      <w:tblPr>
        <w:tblStyle w:val="TableGrid"/>
        <w:tblW w:type="auto" w:w="0"/>
        <w:tblLook w:firstColumn="1" w:firstRow="1" w:lastColumn="0" w:lastRow="0" w:noHBand="0" w:noVBand="1" w:val="04A0"/>
      </w:tblPr>
      <w:tblGrid>
        <w:gridCol w:w="10368"/>
      </w:tblGrid>
      <w:tr>
        <w:tc>
          <w:tcPr>
            <w:tcW w:type="dxa" w:w="10368"/>
            <w:shd w:fill="EAF4F1"/>
          </w:tcPr>
          <w:p>
            <w:r/>
            <w:r>
              <w:rPr>
                <w:rFonts w:ascii="Arial" w:hAnsi="Arial"/>
                <w:b/>
                <w:color w:val="005A50"/>
                <w:sz w:val="18"/>
              </w:rPr>
              <w:t>Final positioning statement</w:t>
            </w:r>
            <w:r>
              <w:rPr>
                <w:sz w:val="18"/>
              </w:rPr>
              <w:br/>
              <w:t>ESG Deathwatch is a real-time ESG risk monitoring app for investors. Its core is a simple Green / Watch / Red signal backed by evidence receipts, source grading, watchlist monitoring, daily briefs, and Red Flag alerts. Discovery is an in-app tab that helps users find meaningful ESG changes more naturally, then directs them into the same evidence-backed Deathwatch analysis.</w:t>
            </w:r>
          </w:p>
        </w:tc>
      </w:tr>
    </w:tbl>
    <w:p>
      <w:pPr>
        <w:spacing w:after="80"/>
      </w:pPr>
    </w:p>
    <w:p>
      <w:pPr>
        <w:spacing w:after="80"/>
      </w:pPr>
      <w:r>
        <w:rPr>
          <w:b/>
        </w:rPr>
        <w:t xml:space="preserve">Final question ESG Deathwatch helps answer: </w:t>
      </w:r>
      <w:r>
        <w:t>Is this company quietly becoming an ESG risk, and what evidence proves it?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ESG Deathwatch Detailed Build Document | Signal Engine + Discovery Tab | Internal Build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605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78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59"/>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