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17809"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2D24E1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Session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6C012F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60: Unix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179E49" w14:textId="77777777" w:rsidR="003E27C8" w:rsidRPr="00852E10" w:rsidRDefault="006E4329" w:rsidP="003E27C8">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E27C8"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52044AA" w14:textId="77777777" w:rsidR="003E27C8" w:rsidRDefault="003E27C8" w:rsidP="003E27C8">
      <w:r w:rsidRPr="00852E10">
        <w:t>The limited permissions granted above are perpetual and will not be revoked by OASIS or its successors or assigns.</w:t>
      </w:r>
    </w:p>
    <w:p w14:paraId="3CF2D4FA" w14:textId="5F580DD5" w:rsidR="001E392A" w:rsidRPr="00960D49" w:rsidRDefault="001E392A" w:rsidP="003E27C8">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017809">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017809">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017809">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017809"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017809">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017809">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017809">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017809"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017809"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017809"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017809">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017809">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017809">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017809"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0943725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commentRangeStart w:id="6"/>
      <w:r>
        <w:t>This document serves as the specification for the CybOX Core Version 2.1.1 data model, which is one of two fundamental data models for CybOX content.</w:t>
      </w:r>
      <w:commentRangeEnd w:id="6"/>
      <w:r w:rsidR="009220F7">
        <w:rPr>
          <w:rStyle w:val="CommentReference"/>
        </w:rPr>
        <w:commentReference w:id="6"/>
      </w:r>
      <w:r>
        <w:t xml:space="preserve">       </w:t>
      </w:r>
    </w:p>
    <w:p w14:paraId="7F79C448" w14:textId="23456794"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r>
        <w:t>CybOX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0629AB51" w:rsidR="00F27904" w:rsidRDefault="00F27904" w:rsidP="00F27904">
      <w:pPr>
        <w:spacing w:after="240"/>
      </w:pPr>
      <w:bookmarkStart w:id="19" w:name="_Toc389570605"/>
      <w:bookmarkStart w:id="20"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r w:rsidR="00017809">
        <w:fldChar w:fldCharType="begin"/>
      </w:r>
      <w:r w:rsidR="00017809">
        <w:instrText xml:space="preserve"> STYLEREF 1 \s </w:instrText>
      </w:r>
      <w:r w:rsidR="00017809">
        <w:fldChar w:fldCharType="separate"/>
      </w:r>
      <w:r>
        <w:rPr>
          <w:noProof/>
        </w:rPr>
        <w:t>1</w:t>
      </w:r>
      <w:r w:rsidR="00017809">
        <w:rPr>
          <w:noProof/>
        </w:rPr>
        <w:fldChar w:fldCharType="end"/>
      </w:r>
      <w:r>
        <w:noBreakHyphen/>
      </w:r>
      <w:r w:rsidR="00017809">
        <w:fldChar w:fldCharType="begin"/>
      </w:r>
      <w:r w:rsidR="00017809">
        <w:instrText xml:space="preserve"> SEQ Table \* ARABIC \s 1 </w:instrText>
      </w:r>
      <w:r w:rsidR="00017809">
        <w:fldChar w:fldCharType="separate"/>
      </w:r>
      <w:r>
        <w:rPr>
          <w:noProof/>
        </w:rPr>
        <w:t>1</w:t>
      </w:r>
      <w:r w:rsidR="00017809">
        <w:rPr>
          <w:noProof/>
        </w:rPr>
        <w:fldChar w:fldCharType="end"/>
      </w:r>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11160690"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1160691"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1160692"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11160693"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r w:rsidR="00017809">
        <w:fldChar w:fldCharType="begin"/>
      </w:r>
      <w:r w:rsidR="00017809">
        <w:instrText xml:space="preserve"> STYLEREF 1 \s </w:instrText>
      </w:r>
      <w:r w:rsidR="00017809">
        <w:fldChar w:fldCharType="separate"/>
      </w:r>
      <w:r>
        <w:rPr>
          <w:noProof/>
        </w:rPr>
        <w:t>1</w:t>
      </w:r>
      <w:r w:rsidR="00017809">
        <w:rPr>
          <w:noProof/>
        </w:rPr>
        <w:fldChar w:fldCharType="end"/>
      </w:r>
      <w:r>
        <w:noBreakHyphen/>
      </w:r>
      <w:r w:rsidR="00017809">
        <w:fldChar w:fldCharType="begin"/>
      </w:r>
      <w:r w:rsidR="00017809">
        <w:instrText xml:space="preserve"> SEQ Figure \* ARABIC \s 1 </w:instrText>
      </w:r>
      <w:r w:rsidR="00017809">
        <w:fldChar w:fldCharType="separate"/>
      </w:r>
      <w:r>
        <w:rPr>
          <w:noProof/>
        </w:rPr>
        <w:t>1</w:t>
      </w:r>
      <w:r w:rsidR="00017809">
        <w:rPr>
          <w:noProof/>
        </w:rPr>
        <w:fldChar w:fldCharType="end"/>
      </w:r>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0" w:name="_Toc412205415"/>
      <w:bookmarkStart w:id="41" w:name="_Toc426119877"/>
      <w:r>
        <w:t>Property and Class Descriptions</w:t>
      </w:r>
      <w:bookmarkEnd w:id="40"/>
      <w:bookmarkEnd w:id="41"/>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2BC1F4FC"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55DB5"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2" w:name="_Toc85472893"/>
      <w:bookmarkStart w:id="43" w:name="_Toc287332007"/>
      <w:bookmarkStart w:id="44" w:name="_Toc409437256"/>
      <w:bookmarkStart w:id="45" w:name="_Ref428537349"/>
      <w:r>
        <w:t>Terminology</w:t>
      </w:r>
      <w:bookmarkEnd w:id="42"/>
      <w:bookmarkEnd w:id="43"/>
      <w:bookmarkEnd w:id="44"/>
      <w:bookmarkEnd w:id="45"/>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409437257"/>
      <w:bookmarkStart w:id="51" w:name="_Ref428537370"/>
      <w:r>
        <w:t>Normative</w:t>
      </w:r>
      <w:bookmarkEnd w:id="46"/>
      <w:bookmarkEnd w:id="47"/>
      <w:r>
        <w:t xml:space="preserve"> References</w:t>
      </w:r>
      <w:bookmarkEnd w:id="48"/>
      <w:bookmarkEnd w:id="49"/>
      <w:bookmarkEnd w:id="50"/>
      <w:bookmarkEnd w:id="51"/>
    </w:p>
    <w:p w14:paraId="7F51FB68" w14:textId="01480226" w:rsidR="00C02DEC" w:rsidRDefault="00C02DEC" w:rsidP="00F27904">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3" w:name="_Toc85472895"/>
      <w:bookmarkStart w:id="54" w:name="_Toc287332009"/>
      <w:bookmarkStart w:id="55" w:name="_Toc409437258"/>
      <w:bookmarkStart w:id="56" w:name="_Ref428537364"/>
      <w:r>
        <w:t>Non-Normative References</w:t>
      </w:r>
      <w:bookmarkEnd w:id="53"/>
      <w:bookmarkEnd w:id="54"/>
      <w:bookmarkEnd w:id="55"/>
      <w:bookmarkEnd w:id="56"/>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7" w:name="_Toc409437259"/>
      <w:bookmarkStart w:id="58" w:name="_Ref428537380"/>
      <w:r>
        <w:lastRenderedPageBreak/>
        <w:t xml:space="preserve">Background </w:t>
      </w:r>
      <w:commentRangeStart w:id="59"/>
      <w:r>
        <w:t>Information</w:t>
      </w:r>
      <w:bookmarkEnd w:id="57"/>
      <w:commentRangeEnd w:id="59"/>
      <w:r>
        <w:rPr>
          <w:rStyle w:val="CommentReference"/>
          <w:rFonts w:cs="Times New Roman"/>
          <w:b w:val="0"/>
          <w:bCs w:val="0"/>
          <w:color w:val="auto"/>
          <w:kern w:val="0"/>
        </w:rPr>
        <w:commentReference w:id="59"/>
      </w:r>
      <w:bookmarkEnd w:id="58"/>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0" w:name="_Toc426119879"/>
      <w:r>
        <w:t>Cyber Observables</w:t>
      </w:r>
      <w:bookmarkEnd w:id="60"/>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1" w:name="_Toc287332011"/>
      <w:bookmarkStart w:id="62" w:name="_Toc409437263"/>
      <w:r>
        <w:t>Objects</w:t>
      </w:r>
    </w:p>
    <w:p w14:paraId="72854D9A" w14:textId="51C62B7C"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comprise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3" w:name="_Ref428537399"/>
      <w:r>
        <w:lastRenderedPageBreak/>
        <w:t>CybOX Core Data Model</w:t>
      </w:r>
      <w:bookmarkEnd w:id="63"/>
    </w:p>
    <w:p w14:paraId="15227DF9" w14:textId="7FA72831" w:rsidR="00AE0702" w:rsidRDefault="00AE0702" w:rsidP="00FD22AC">
      <w:pPr>
        <w:pStyle w:val="Heading1"/>
      </w:pPr>
      <w:bookmarkStart w:id="64" w:name="_Ref428537416"/>
      <w:bookmarkStart w:id="65" w:name="_GoBack"/>
      <w:bookmarkEnd w:id="65"/>
      <w:r w:rsidRPr="00FD22AC">
        <w:lastRenderedPageBreak/>
        <w:t>Conformance</w:t>
      </w:r>
      <w:bookmarkEnd w:id="61"/>
      <w:bookmarkEnd w:id="62"/>
      <w:bookmarkEnd w:id="64"/>
    </w:p>
    <w:p w14:paraId="61BF3020" w14:textId="77777777" w:rsidR="00E304F9" w:rsidRDefault="00E304F9" w:rsidP="00E304F9"/>
    <w:p w14:paraId="4C46A4FA" w14:textId="77777777" w:rsidR="00E304F9" w:rsidRDefault="00E304F9" w:rsidP="00E304F9">
      <w:r>
        <w:t>Implementations have discretion over which parts (components, properties, extensions, controlled vocabularies, etc.) of CybOX they implement (e.g., Observable/Object).</w:t>
      </w:r>
    </w:p>
    <w:p w14:paraId="4D33E3D6" w14:textId="77777777" w:rsidR="00E304F9" w:rsidRDefault="00E304F9" w:rsidP="00E304F9">
      <w:r>
        <w:t xml:space="preserve"> </w:t>
      </w:r>
    </w:p>
    <w:p w14:paraId="5AB85A7D" w14:textId="0667FEBF" w:rsidR="00E304F9" w:rsidRDefault="00E304F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66" w:name="_Toc85472897"/>
      <w:bookmarkStart w:id="67" w:name="_Toc287332012"/>
      <w:bookmarkStart w:id="68" w:name="_Toc409437264"/>
      <w:r>
        <w:lastRenderedPageBreak/>
        <w:t>Acknowl</w:t>
      </w:r>
      <w:r w:rsidR="004D0E5E">
        <w:t>e</w:t>
      </w:r>
      <w:r w:rsidR="008F61FB">
        <w:t>dg</w:t>
      </w:r>
      <w:r w:rsidR="0052099F">
        <w:t>ments</w:t>
      </w:r>
      <w:bookmarkEnd w:id="66"/>
      <w:bookmarkEnd w:id="67"/>
      <w:bookmarkEnd w:id="68"/>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69" w:name="_Toc85472898"/>
      <w:bookmarkStart w:id="70" w:name="_Toc287332014"/>
      <w:bookmarkStart w:id="71" w:name="_Toc409437269"/>
      <w:r>
        <w:lastRenderedPageBreak/>
        <w:t>Revision History</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3E27C8" w:rsidRDefault="003E27C8">
      <w:pPr>
        <w:pStyle w:val="CommentText"/>
      </w:pPr>
      <w:r>
        <w:rPr>
          <w:rStyle w:val="CommentReference"/>
        </w:rPr>
        <w:annotationRef/>
      </w:r>
      <w:r>
        <w:t>Should all STIX docs be listed here?</w:t>
      </w:r>
    </w:p>
  </w:comment>
  <w:comment w:id="6" w:author="Beck, Desiree A." w:date="2015-09-30T15:40:00Z" w:initials="BDA">
    <w:p w14:paraId="16C74414" w14:textId="624A85F3" w:rsidR="003E27C8" w:rsidRDefault="003E27C8">
      <w:pPr>
        <w:pStyle w:val="CommentText"/>
      </w:pPr>
      <w:r>
        <w:rPr>
          <w:rStyle w:val="CommentReference"/>
        </w:rPr>
        <w:annotationRef/>
      </w:r>
      <w:r>
        <w:t>Need to revise entire document to be overview.</w:t>
      </w:r>
    </w:p>
  </w:comment>
  <w:comment w:id="34" w:author="Author" w:initials="A">
    <w:p w14:paraId="1E7041EC" w14:textId="58F80E48" w:rsidR="003E27C8" w:rsidRDefault="003E27C8" w:rsidP="00F27904">
      <w:pPr>
        <w:pStyle w:val="CommentText"/>
      </w:pPr>
      <w:r>
        <w:rPr>
          <w:rStyle w:val="CommentReference"/>
        </w:rPr>
        <w:annotationRef/>
      </w:r>
      <w:r>
        <w:rPr>
          <w:rStyle w:val="CommentReference"/>
        </w:rPr>
        <w:t>Are we going to define a color scheme like we have for STIX (each component is a different color)? Or maybe it doesn’t make sense for CybOX and all should be the same color (and this section removed)?</w:t>
      </w:r>
    </w:p>
  </w:comment>
  <w:comment w:id="35" w:author="Beck, Desiree A." w:date="2015-09-15T15:36:00Z" w:initials="BDA">
    <w:p w14:paraId="6BA42555" w14:textId="71698EF6" w:rsidR="003E27C8" w:rsidRDefault="003E27C8">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3E27C8" w:rsidRDefault="003E27C8" w:rsidP="00F27904">
      <w:pPr>
        <w:pStyle w:val="CommentText"/>
      </w:pPr>
      <w:r>
        <w:rPr>
          <w:rStyle w:val="CommentReference"/>
        </w:rPr>
        <w:annotationRef/>
      </w:r>
      <w:r>
        <w:t>Maybe we don’t need to use choice, if we introduce interfaces?</w:t>
      </w:r>
    </w:p>
  </w:comment>
  <w:comment w:id="39" w:author="Author" w:initials="A">
    <w:p w14:paraId="64423300" w14:textId="609BA470" w:rsidR="003E27C8" w:rsidRDefault="003E27C8" w:rsidP="00F27904">
      <w:pPr>
        <w:pStyle w:val="CommentText"/>
      </w:pPr>
      <w:r>
        <w:t>Recently r</w:t>
      </w:r>
      <w:r>
        <w:rPr>
          <w:rStyle w:val="CommentReference"/>
        </w:rPr>
        <w:annotationRef/>
      </w:r>
      <w:r>
        <w:t>emoved from STIX docs.</w:t>
      </w:r>
    </w:p>
  </w:comment>
  <w:comment w:id="59" w:author="Beck, Desiree A." w:date="2015-08-28T14:52:00Z" w:initials="BDA">
    <w:p w14:paraId="1E1FF467" w14:textId="704019AA" w:rsidR="003E27C8" w:rsidRDefault="003E27C8">
      <w:pPr>
        <w:pStyle w:val="CommentText"/>
      </w:pPr>
      <w:r>
        <w:rPr>
          <w:rStyle w:val="CommentReference"/>
        </w:rPr>
        <w:annotationRef/>
      </w:r>
      <w:r>
        <w:t>Is this section too short? Should it contain content from Section 2 of the STIX Indicator doc? 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Ex w15:paraId="16C74414" w15:done="0"/>
  <w15:commentEx w15:paraId="1E7041EC" w15:done="0"/>
  <w15:commentEx w15:paraId="6BA42555" w15:paraIdParent="1E7041EC" w15:done="0"/>
  <w15:commentEx w15:paraId="539DB554" w15:done="0"/>
  <w15:commentEx w15:paraId="64423300" w15:paraIdParent="539DB554" w15:done="0"/>
  <w15:commentEx w15:paraId="1E1FF4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3E27C8" w:rsidRDefault="003E27C8" w:rsidP="008C100C">
      <w:r>
        <w:separator/>
      </w:r>
    </w:p>
    <w:p w14:paraId="723A0EF3" w14:textId="77777777" w:rsidR="003E27C8" w:rsidRDefault="003E27C8" w:rsidP="008C100C"/>
    <w:p w14:paraId="385C7923" w14:textId="77777777" w:rsidR="003E27C8" w:rsidRDefault="003E27C8" w:rsidP="008C100C"/>
    <w:p w14:paraId="4EA00D1B" w14:textId="77777777" w:rsidR="003E27C8" w:rsidRDefault="003E27C8" w:rsidP="008C100C"/>
    <w:p w14:paraId="6D239308" w14:textId="77777777" w:rsidR="003E27C8" w:rsidRDefault="003E27C8" w:rsidP="008C100C"/>
    <w:p w14:paraId="08CC8C07" w14:textId="77777777" w:rsidR="003E27C8" w:rsidRDefault="003E27C8" w:rsidP="008C100C"/>
    <w:p w14:paraId="2A248E3C" w14:textId="77777777" w:rsidR="003E27C8" w:rsidRDefault="003E27C8" w:rsidP="008C100C"/>
  </w:endnote>
  <w:endnote w:type="continuationSeparator" w:id="0">
    <w:p w14:paraId="31E1A1EB" w14:textId="77777777" w:rsidR="003E27C8" w:rsidRDefault="003E27C8" w:rsidP="008C100C">
      <w:r>
        <w:continuationSeparator/>
      </w:r>
    </w:p>
    <w:p w14:paraId="380D8A64" w14:textId="77777777" w:rsidR="003E27C8" w:rsidRDefault="003E27C8" w:rsidP="008C100C"/>
    <w:p w14:paraId="7A82E5E2" w14:textId="77777777" w:rsidR="003E27C8" w:rsidRDefault="003E27C8" w:rsidP="008C100C"/>
    <w:p w14:paraId="0AB9FADA" w14:textId="77777777" w:rsidR="003E27C8" w:rsidRDefault="003E27C8" w:rsidP="008C100C"/>
    <w:p w14:paraId="1BD93877" w14:textId="77777777" w:rsidR="003E27C8" w:rsidRDefault="003E27C8" w:rsidP="008C100C"/>
    <w:p w14:paraId="7757FAB4" w14:textId="77777777" w:rsidR="003E27C8" w:rsidRDefault="003E27C8" w:rsidP="008C100C"/>
    <w:p w14:paraId="0539C48E" w14:textId="77777777" w:rsidR="003E27C8" w:rsidRDefault="003E27C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3E27C8" w:rsidRPr="00195F88" w:rsidRDefault="003E27C8"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7183AD63" w14:textId="77777777" w:rsidR="003E27C8" w:rsidRPr="00195F88" w:rsidRDefault="003E27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7809">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7809">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3E27C8" w:rsidRDefault="003E27C8" w:rsidP="008C100C">
      <w:r>
        <w:separator/>
      </w:r>
    </w:p>
    <w:p w14:paraId="73ECCF00" w14:textId="77777777" w:rsidR="003E27C8" w:rsidRDefault="003E27C8" w:rsidP="008C100C"/>
  </w:footnote>
  <w:footnote w:type="continuationSeparator" w:id="0">
    <w:p w14:paraId="27D9E047" w14:textId="77777777" w:rsidR="003E27C8" w:rsidRDefault="003E27C8" w:rsidP="008C100C">
      <w:r>
        <w:continuationSeparator/>
      </w:r>
    </w:p>
    <w:p w14:paraId="6C7DC5BA" w14:textId="77777777" w:rsidR="003E27C8" w:rsidRDefault="003E27C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4C43"/>
    <w:rsid w:val="00025117"/>
    <w:rsid w:val="0003132D"/>
    <w:rsid w:val="00035E41"/>
    <w:rsid w:val="00076EFC"/>
    <w:rsid w:val="00096E2D"/>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55DB5"/>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878"/>
    <w:rsid w:val="00B569DB"/>
    <w:rsid w:val="00B6129E"/>
    <w:rsid w:val="00B62E2E"/>
    <w:rsid w:val="00B641A5"/>
    <w:rsid w:val="00B77903"/>
    <w:rsid w:val="00B80CDB"/>
    <w:rsid w:val="00BA2083"/>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7DD41-8F78-49CE-BC49-3BEE185A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TotalTime>
  <Pages>13</Pages>
  <Words>3556</Words>
  <Characters>22496</Characters>
  <Application>Microsoft Office Word</Application>
  <DocSecurity>0</DocSecurity>
  <Lines>187</Lines>
  <Paragraphs>51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26001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56</cp:revision>
  <cp:lastPrinted>2011-08-05T16:21:00Z</cp:lastPrinted>
  <dcterms:created xsi:type="dcterms:W3CDTF">2015-08-27T22:11:00Z</dcterms:created>
  <dcterms:modified xsi:type="dcterms:W3CDTF">2015-12-09T15:05:00Z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