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09455868" w:rsidR="00C71349" w:rsidRPr="00CE06CB" w:rsidRDefault="003965A0" w:rsidP="008C100C">
      <w:pPr>
        <w:pStyle w:val="Title"/>
        <w:rPr>
          <w:sz w:val="28"/>
          <w:szCs w:val="28"/>
        </w:rPr>
      </w:pPr>
      <w:proofErr w:type="spellStart"/>
      <w:r>
        <w:rPr>
          <w:sz w:val="28"/>
          <w:szCs w:val="28"/>
        </w:rPr>
        <w:t>CybOX</w:t>
      </w:r>
      <w:proofErr w:type="spellEnd"/>
      <w:r>
        <w:rPr>
          <w:sz w:val="28"/>
          <w:szCs w:val="28"/>
        </w:rPr>
        <w:t xml:space="preserve">™ Version </w:t>
      </w:r>
      <w:r w:rsidR="005E5FAB">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16252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690533D6" w:rsidR="00E62DFD" w:rsidRDefault="003965A0" w:rsidP="00E62DFD">
      <w:pPr>
        <w:pStyle w:val="RelatedWork"/>
      </w:pPr>
      <w:proofErr w:type="spellStart"/>
      <w:r>
        <w:rPr>
          <w:i/>
        </w:rPr>
        <w:t>CybOX</w:t>
      </w:r>
      <w:proofErr w:type="spellEnd"/>
      <w:r>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7F5D20ED" w:rsidR="00E62DFD" w:rsidRDefault="003965A0" w:rsidP="00E62DFD">
      <w:pPr>
        <w:pStyle w:val="RelatedWork"/>
      </w:pPr>
      <w:proofErr w:type="spellStart"/>
      <w:r>
        <w:rPr>
          <w:i/>
        </w:rPr>
        <w:t>CybOX</w:t>
      </w:r>
      <w:proofErr w:type="spellEnd"/>
      <w:r>
        <w:rPr>
          <w:i/>
        </w:rPr>
        <w:t xml:space="preserve">™ Version </w:t>
      </w:r>
      <w:r w:rsidR="00545FD1">
        <w:rPr>
          <w:i/>
        </w:rPr>
        <w:t>2.1.1</w:t>
      </w:r>
      <w:r w:rsidR="00A85148"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4DF4E7D4" w:rsidR="00F94051" w:rsidRDefault="003965A0" w:rsidP="0041375F">
      <w:pPr>
        <w:pStyle w:val="RelatedWork"/>
      </w:pPr>
      <w:proofErr w:type="spellStart"/>
      <w:r>
        <w:rPr>
          <w:i/>
        </w:rPr>
        <w:t>CybOX</w:t>
      </w:r>
      <w:proofErr w:type="spellEnd"/>
      <w:r>
        <w:rPr>
          <w:i/>
        </w:rPr>
        <w:t xml:space="preserve">™ Version </w:t>
      </w:r>
      <w:r w:rsidR="00545FD1">
        <w:rPr>
          <w:i/>
        </w:rPr>
        <w:t>2.1.1</w:t>
      </w:r>
      <w:r w:rsidR="00A85148" w:rsidRPr="00D44DFE">
        <w:rPr>
          <w:i/>
        </w:rPr>
        <w:t xml:space="preserve"> </w:t>
      </w:r>
      <w:r w:rsidR="00755A38" w:rsidRPr="00755A38">
        <w:rPr>
          <w:i/>
        </w:rPr>
        <w:t>Part 3: Core</w:t>
      </w:r>
      <w:r w:rsidR="00E62DFD">
        <w:t xml:space="preserve">. </w:t>
      </w:r>
      <w:r w:rsidR="00D20183">
        <w:t>[URI]</w:t>
      </w:r>
    </w:p>
    <w:p w14:paraId="60E1ECFF" w14:textId="771B832F"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4</w:t>
      </w:r>
      <w:r w:rsidR="0073248C" w:rsidRPr="00755A38">
        <w:rPr>
          <w:i/>
        </w:rPr>
        <w:t xml:space="preserve">: </w:t>
      </w:r>
      <w:r w:rsidR="0073248C">
        <w:rPr>
          <w:i/>
        </w:rPr>
        <w:t>Default Extensions</w:t>
      </w:r>
      <w:r w:rsidR="0073248C">
        <w:t>. [URI]</w:t>
      </w:r>
    </w:p>
    <w:p w14:paraId="3578BE5E" w14:textId="7B2A3CC8"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5</w:t>
      </w:r>
      <w:r w:rsidR="0073248C" w:rsidRPr="00755A38">
        <w:rPr>
          <w:i/>
        </w:rPr>
        <w:t xml:space="preserve">: </w:t>
      </w:r>
      <w:r w:rsidR="0073248C">
        <w:rPr>
          <w:i/>
        </w:rPr>
        <w:t>Default Vocabularies</w:t>
      </w:r>
      <w:r w:rsidR="0073248C">
        <w:t>. [URI]</w:t>
      </w:r>
    </w:p>
    <w:p w14:paraId="71FB0DA7" w14:textId="015F7A0D"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6</w:t>
      </w:r>
      <w:r w:rsidR="0073248C" w:rsidRPr="00755A38">
        <w:rPr>
          <w:i/>
        </w:rPr>
        <w:t xml:space="preserve">: </w:t>
      </w:r>
      <w:r w:rsidR="0073248C">
        <w:rPr>
          <w:i/>
        </w:rPr>
        <w:t>UML Model</w:t>
      </w:r>
      <w:r w:rsidR="0073248C">
        <w:t>. [URI]</w:t>
      </w:r>
    </w:p>
    <w:p w14:paraId="372095AB" w14:textId="34022378"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7</w:t>
      </w:r>
      <w:r w:rsidR="0073248C" w:rsidRPr="00755A38">
        <w:rPr>
          <w:i/>
        </w:rPr>
        <w:t xml:space="preserve">: </w:t>
      </w:r>
      <w:r w:rsidR="0073248C">
        <w:rPr>
          <w:i/>
        </w:rPr>
        <w:t>API Object</w:t>
      </w:r>
      <w:r w:rsidR="0073248C">
        <w:t>. [URI]</w:t>
      </w:r>
    </w:p>
    <w:p w14:paraId="06EA00A7" w14:textId="0BD5B9A4"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8</w:t>
      </w:r>
      <w:r w:rsidR="0073248C" w:rsidRPr="00755A38">
        <w:rPr>
          <w:i/>
        </w:rPr>
        <w:t xml:space="preserve">: </w:t>
      </w:r>
      <w:r w:rsidR="0073248C">
        <w:rPr>
          <w:i/>
        </w:rPr>
        <w:t>ARP Cache Object</w:t>
      </w:r>
      <w:r w:rsidR="0073248C">
        <w:t>. [URI]</w:t>
      </w:r>
    </w:p>
    <w:p w14:paraId="43790177" w14:textId="1ED9D07B"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proofErr w:type="spellStart"/>
      <w:r>
        <w:rPr>
          <w:i/>
        </w:rPr>
        <w:t>CybOX</w:t>
      </w:r>
      <w:proofErr w:type="spellEnd"/>
      <w:r>
        <w:rPr>
          <w:i/>
        </w:rPr>
        <w:t xml:space="preserve">™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proofErr w:type="spellStart"/>
      <w:r>
        <w:rPr>
          <w:i/>
        </w:rPr>
        <w:t>CybOX</w:t>
      </w:r>
      <w:proofErr w:type="spellEnd"/>
      <w:r>
        <w:rPr>
          <w:i/>
        </w:rPr>
        <w:t xml:space="preserve">™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proofErr w:type="spellStart"/>
      <w:r>
        <w:rPr>
          <w:i/>
        </w:rPr>
        <w:t>CybOX</w:t>
      </w:r>
      <w:proofErr w:type="spellEnd"/>
      <w:r>
        <w:rPr>
          <w:i/>
        </w:rPr>
        <w:t xml:space="preserve">™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proofErr w:type="spellStart"/>
      <w:r>
        <w:rPr>
          <w:i/>
        </w:rPr>
        <w:t>CybOX</w:t>
      </w:r>
      <w:proofErr w:type="spellEnd"/>
      <w:r>
        <w:rPr>
          <w:i/>
        </w:rPr>
        <w:t xml:space="preserve">™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proofErr w:type="spellStart"/>
      <w:r>
        <w:rPr>
          <w:i/>
        </w:rPr>
        <w:t>CybOX</w:t>
      </w:r>
      <w:proofErr w:type="spellEnd"/>
      <w:r>
        <w:rPr>
          <w:i/>
        </w:rPr>
        <w:t xml:space="preserve">™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proofErr w:type="spellStart"/>
      <w:r>
        <w:rPr>
          <w:i/>
        </w:rPr>
        <w:t>CybOX</w:t>
      </w:r>
      <w:proofErr w:type="spellEnd"/>
      <w:r>
        <w:rPr>
          <w:i/>
        </w:rPr>
        <w:t xml:space="preserve">™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proofErr w:type="spellStart"/>
      <w:r>
        <w:rPr>
          <w:i/>
        </w:rPr>
        <w:t>CybOX</w:t>
      </w:r>
      <w:proofErr w:type="spellEnd"/>
      <w:r>
        <w:rPr>
          <w:i/>
        </w:rPr>
        <w:t xml:space="preserve">™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proofErr w:type="spellStart"/>
      <w:r>
        <w:rPr>
          <w:i/>
        </w:rPr>
        <w:t>CybOX</w:t>
      </w:r>
      <w:proofErr w:type="spellEnd"/>
      <w:r>
        <w:rPr>
          <w:i/>
        </w:rPr>
        <w:t xml:space="preserve">™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proofErr w:type="spellStart"/>
      <w:r>
        <w:rPr>
          <w:i/>
        </w:rPr>
        <w:t>CybOX</w:t>
      </w:r>
      <w:proofErr w:type="spellEnd"/>
      <w:r>
        <w:rPr>
          <w:i/>
        </w:rPr>
        <w:t xml:space="preserve">™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proofErr w:type="spellStart"/>
      <w:r>
        <w:rPr>
          <w:i/>
        </w:rPr>
        <w:t>CybOX</w:t>
      </w:r>
      <w:proofErr w:type="spellEnd"/>
      <w:r>
        <w:rPr>
          <w:i/>
        </w:rPr>
        <w:t xml:space="preserve">™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proofErr w:type="spellStart"/>
      <w:r>
        <w:rPr>
          <w:i/>
        </w:rPr>
        <w:t>CybOX</w:t>
      </w:r>
      <w:proofErr w:type="spellEnd"/>
      <w:r>
        <w:rPr>
          <w:i/>
        </w:rPr>
        <w:t xml:space="preserve">™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proofErr w:type="spellStart"/>
      <w:r>
        <w:rPr>
          <w:i/>
        </w:rPr>
        <w:t>CybOX</w:t>
      </w:r>
      <w:proofErr w:type="spellEnd"/>
      <w:r>
        <w:rPr>
          <w:i/>
        </w:rPr>
        <w:t xml:space="preserve">™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 xml:space="preserve">Part 35: </w:t>
      </w:r>
      <w:proofErr w:type="spellStart"/>
      <w:r w:rsidR="00FD5507">
        <w:rPr>
          <w:i/>
        </w:rPr>
        <w:t>Mutex</w:t>
      </w:r>
      <w:proofErr w:type="spellEnd"/>
      <w:r w:rsidR="00FD5507">
        <w:rPr>
          <w:i/>
        </w:rPr>
        <w:t xml:space="preserve"> Object</w:t>
      </w:r>
      <w:r w:rsidR="00FD5507">
        <w:t>. [URI]</w:t>
      </w:r>
    </w:p>
    <w:p w14:paraId="7C1A8452" w14:textId="0760F92E" w:rsidR="00FD5507" w:rsidRDefault="003965A0" w:rsidP="00FD5507">
      <w:pPr>
        <w:pStyle w:val="RelatedWork"/>
      </w:pPr>
      <w:proofErr w:type="spellStart"/>
      <w:r>
        <w:rPr>
          <w:i/>
        </w:rPr>
        <w:lastRenderedPageBreak/>
        <w:t>CybOX</w:t>
      </w:r>
      <w:proofErr w:type="spellEnd"/>
      <w:r>
        <w:rPr>
          <w:i/>
        </w:rPr>
        <w:t xml:space="preserve">™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proofErr w:type="spellStart"/>
      <w:r>
        <w:rPr>
          <w:i/>
        </w:rPr>
        <w:t>CybOX</w:t>
      </w:r>
      <w:proofErr w:type="spellEnd"/>
      <w:r>
        <w:rPr>
          <w:i/>
        </w:rPr>
        <w:t xml:space="preserve">™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proofErr w:type="spellStart"/>
      <w:r>
        <w:rPr>
          <w:i/>
        </w:rPr>
        <w:t>CybOX</w:t>
      </w:r>
      <w:proofErr w:type="spellEnd"/>
      <w:r>
        <w:rPr>
          <w:i/>
        </w:rPr>
        <w:t xml:space="preserve">™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 xml:space="preserve">Part 63: </w:t>
      </w:r>
      <w:proofErr w:type="spellStart"/>
      <w:r w:rsidR="00C05B34">
        <w:rPr>
          <w:i/>
        </w:rPr>
        <w:t>Whois</w:t>
      </w:r>
      <w:proofErr w:type="spellEnd"/>
      <w:r w:rsidR="00C05B34">
        <w:rPr>
          <w:i/>
        </w:rPr>
        <w:t xml:space="preserve"> Object</w:t>
      </w:r>
      <w:r w:rsidR="00C05B34">
        <w:t>. [URI]</w:t>
      </w:r>
    </w:p>
    <w:p w14:paraId="6AAD7172" w14:textId="63054A18"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proofErr w:type="spellStart"/>
      <w:r>
        <w:rPr>
          <w:i/>
        </w:rPr>
        <w:t>CybOX</w:t>
      </w:r>
      <w:proofErr w:type="spellEnd"/>
      <w:r>
        <w:rPr>
          <w:i/>
        </w:rPr>
        <w:t xml:space="preserve">™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proofErr w:type="spellStart"/>
      <w:r>
        <w:rPr>
          <w:i/>
        </w:rPr>
        <w:lastRenderedPageBreak/>
        <w:t>CybOX</w:t>
      </w:r>
      <w:proofErr w:type="spellEnd"/>
      <w:r>
        <w:rPr>
          <w:i/>
        </w:rPr>
        <w:t xml:space="preserve">™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proofErr w:type="spellStart"/>
      <w:r>
        <w:rPr>
          <w:i/>
        </w:rPr>
        <w:t>CybOX</w:t>
      </w:r>
      <w:proofErr w:type="spellEnd"/>
      <w:r>
        <w:rPr>
          <w:i/>
        </w:rPr>
        <w:t xml:space="preserve">™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bookmarkStart w:id="4" w:name="_GoBack"/>
      <w:r w:rsidR="00163EB3">
        <w:rPr>
          <w:rStyle w:val="Hyperlink"/>
          <w:color w:val="auto"/>
        </w:rPr>
        <w:t>stix</w:t>
      </w:r>
      <w:bookmarkEnd w:id="4"/>
      <w:r w:rsidR="00163EB3">
        <w:rPr>
          <w:rStyle w:val="Hyperlink"/>
          <w:color w:val="auto"/>
        </w:rPr>
        <w:t>/v1.2.1/csd01/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7777777" w:rsidR="001A5594" w:rsidRPr="00852E10" w:rsidRDefault="001A5594" w:rsidP="001A5594">
      <w:r>
        <w:t>Copyright © OASIS Open 2015</w:t>
      </w:r>
      <w:r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77777777" w:rsidR="001A5594" w:rsidRPr="00960D49" w:rsidRDefault="001A5594" w:rsidP="001A5594">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92C858F" w14:textId="77777777" w:rsidR="006A37A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1051459" w:history="1">
        <w:r w:rsidR="006A37A0" w:rsidRPr="00C01854">
          <w:rPr>
            <w:rStyle w:val="Hyperlink"/>
            <w:noProof/>
          </w:rPr>
          <w:t>1</w:t>
        </w:r>
        <w:r w:rsidR="006A37A0">
          <w:rPr>
            <w:rFonts w:asciiTheme="minorHAnsi" w:eastAsiaTheme="minorEastAsia" w:hAnsiTheme="minorHAnsi" w:cstheme="minorBidi"/>
            <w:noProof/>
            <w:sz w:val="22"/>
            <w:szCs w:val="22"/>
          </w:rPr>
          <w:tab/>
        </w:r>
        <w:r w:rsidR="006A37A0" w:rsidRPr="00C01854">
          <w:rPr>
            <w:rStyle w:val="Hyperlink"/>
            <w:noProof/>
          </w:rPr>
          <w:t>Introduction</w:t>
        </w:r>
        <w:r w:rsidR="006A37A0">
          <w:rPr>
            <w:noProof/>
            <w:webHidden/>
          </w:rPr>
          <w:tab/>
        </w:r>
        <w:r w:rsidR="006A37A0">
          <w:rPr>
            <w:noProof/>
            <w:webHidden/>
          </w:rPr>
          <w:fldChar w:fldCharType="begin"/>
        </w:r>
        <w:r w:rsidR="006A37A0">
          <w:rPr>
            <w:noProof/>
            <w:webHidden/>
          </w:rPr>
          <w:instrText xml:space="preserve"> PAGEREF _Toc441051459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2C0C8F6C"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0" w:history="1">
        <w:r w:rsidR="006A37A0" w:rsidRPr="00C01854">
          <w:rPr>
            <w:rStyle w:val="Hyperlink"/>
            <w:noProof/>
          </w:rPr>
          <w:t>1.1 CybOX Specification Documents</w:t>
        </w:r>
        <w:r w:rsidR="006A37A0">
          <w:rPr>
            <w:noProof/>
            <w:webHidden/>
          </w:rPr>
          <w:tab/>
        </w:r>
        <w:r w:rsidR="006A37A0">
          <w:rPr>
            <w:noProof/>
            <w:webHidden/>
          </w:rPr>
          <w:fldChar w:fldCharType="begin"/>
        </w:r>
        <w:r w:rsidR="006A37A0">
          <w:rPr>
            <w:noProof/>
            <w:webHidden/>
          </w:rPr>
          <w:instrText xml:space="preserve"> PAGEREF _Toc441051460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78E6FF38"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1" w:history="1">
        <w:r w:rsidR="006A37A0" w:rsidRPr="00C01854">
          <w:rPr>
            <w:rStyle w:val="Hyperlink"/>
            <w:noProof/>
          </w:rPr>
          <w:t>1.2 Document Conventions</w:t>
        </w:r>
        <w:r w:rsidR="006A37A0">
          <w:rPr>
            <w:noProof/>
            <w:webHidden/>
          </w:rPr>
          <w:tab/>
        </w:r>
        <w:r w:rsidR="006A37A0">
          <w:rPr>
            <w:noProof/>
            <w:webHidden/>
          </w:rPr>
          <w:fldChar w:fldCharType="begin"/>
        </w:r>
        <w:r w:rsidR="006A37A0">
          <w:rPr>
            <w:noProof/>
            <w:webHidden/>
          </w:rPr>
          <w:instrText xml:space="preserve"> PAGEREF _Toc441051461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0D9F124"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62" w:history="1">
        <w:r w:rsidR="006A37A0" w:rsidRPr="00C01854">
          <w:rPr>
            <w:rStyle w:val="Hyperlink"/>
            <w:noProof/>
          </w:rPr>
          <w:t>1.2.1 Fonts</w:t>
        </w:r>
        <w:r w:rsidR="006A37A0">
          <w:rPr>
            <w:noProof/>
            <w:webHidden/>
          </w:rPr>
          <w:tab/>
        </w:r>
        <w:r w:rsidR="006A37A0">
          <w:rPr>
            <w:noProof/>
            <w:webHidden/>
          </w:rPr>
          <w:fldChar w:fldCharType="begin"/>
        </w:r>
        <w:r w:rsidR="006A37A0">
          <w:rPr>
            <w:noProof/>
            <w:webHidden/>
          </w:rPr>
          <w:instrText xml:space="preserve"> PAGEREF _Toc441051462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404DE33"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63" w:history="1">
        <w:r w:rsidR="006A37A0" w:rsidRPr="00C01854">
          <w:rPr>
            <w:rStyle w:val="Hyperlink"/>
            <w:noProof/>
          </w:rPr>
          <w:t>1.2.2 UML Package References</w:t>
        </w:r>
        <w:r w:rsidR="006A37A0">
          <w:rPr>
            <w:noProof/>
            <w:webHidden/>
          </w:rPr>
          <w:tab/>
        </w:r>
        <w:r w:rsidR="006A37A0">
          <w:rPr>
            <w:noProof/>
            <w:webHidden/>
          </w:rPr>
          <w:fldChar w:fldCharType="begin"/>
        </w:r>
        <w:r w:rsidR="006A37A0">
          <w:rPr>
            <w:noProof/>
            <w:webHidden/>
          </w:rPr>
          <w:instrText xml:space="preserve"> PAGEREF _Toc441051463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59CD287C"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64" w:history="1">
        <w:r w:rsidR="006A37A0" w:rsidRPr="00C01854">
          <w:rPr>
            <w:rStyle w:val="Hyperlink"/>
            <w:noProof/>
          </w:rPr>
          <w:t>1.2.3 UML Diagrams</w:t>
        </w:r>
        <w:r w:rsidR="006A37A0">
          <w:rPr>
            <w:noProof/>
            <w:webHidden/>
          </w:rPr>
          <w:tab/>
        </w:r>
        <w:r w:rsidR="006A37A0">
          <w:rPr>
            <w:noProof/>
            <w:webHidden/>
          </w:rPr>
          <w:fldChar w:fldCharType="begin"/>
        </w:r>
        <w:r w:rsidR="006A37A0">
          <w:rPr>
            <w:noProof/>
            <w:webHidden/>
          </w:rPr>
          <w:instrText xml:space="preserve"> PAGEREF _Toc441051464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2E9714B5" w14:textId="77777777" w:rsidR="006A37A0" w:rsidRDefault="00162523">
      <w:pPr>
        <w:pStyle w:val="TOC4"/>
        <w:tabs>
          <w:tab w:val="right" w:leader="dot" w:pos="9350"/>
        </w:tabs>
        <w:rPr>
          <w:rFonts w:asciiTheme="minorHAnsi" w:eastAsiaTheme="minorEastAsia" w:hAnsiTheme="minorHAnsi" w:cstheme="minorBidi"/>
          <w:noProof/>
          <w:sz w:val="22"/>
          <w:szCs w:val="22"/>
        </w:rPr>
      </w:pPr>
      <w:hyperlink w:anchor="_Toc441051465" w:history="1">
        <w:r w:rsidR="006A37A0" w:rsidRPr="00C01854">
          <w:rPr>
            <w:rStyle w:val="Hyperlink"/>
            <w:noProof/>
          </w:rPr>
          <w:t>1.2.3.1 Class Properties</w:t>
        </w:r>
        <w:r w:rsidR="006A37A0">
          <w:rPr>
            <w:noProof/>
            <w:webHidden/>
          </w:rPr>
          <w:tab/>
        </w:r>
        <w:r w:rsidR="006A37A0">
          <w:rPr>
            <w:noProof/>
            <w:webHidden/>
          </w:rPr>
          <w:fldChar w:fldCharType="begin"/>
        </w:r>
        <w:r w:rsidR="006A37A0">
          <w:rPr>
            <w:noProof/>
            <w:webHidden/>
          </w:rPr>
          <w:instrText xml:space="preserve"> PAGEREF _Toc441051465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50240A9" w14:textId="77777777" w:rsidR="006A37A0" w:rsidRDefault="00162523">
      <w:pPr>
        <w:pStyle w:val="TOC4"/>
        <w:tabs>
          <w:tab w:val="right" w:leader="dot" w:pos="9350"/>
        </w:tabs>
        <w:rPr>
          <w:rFonts w:asciiTheme="minorHAnsi" w:eastAsiaTheme="minorEastAsia" w:hAnsiTheme="minorHAnsi" w:cstheme="minorBidi"/>
          <w:noProof/>
          <w:sz w:val="22"/>
          <w:szCs w:val="22"/>
        </w:rPr>
      </w:pPr>
      <w:hyperlink w:anchor="_Toc441051466" w:history="1">
        <w:r w:rsidR="006A37A0" w:rsidRPr="00C01854">
          <w:rPr>
            <w:rStyle w:val="Hyperlink"/>
            <w:noProof/>
          </w:rPr>
          <w:t>1.2.3.2 Diagram Icons and Arrow Types</w:t>
        </w:r>
        <w:r w:rsidR="006A37A0">
          <w:rPr>
            <w:noProof/>
            <w:webHidden/>
          </w:rPr>
          <w:tab/>
        </w:r>
        <w:r w:rsidR="006A37A0">
          <w:rPr>
            <w:noProof/>
            <w:webHidden/>
          </w:rPr>
          <w:fldChar w:fldCharType="begin"/>
        </w:r>
        <w:r w:rsidR="006A37A0">
          <w:rPr>
            <w:noProof/>
            <w:webHidden/>
          </w:rPr>
          <w:instrText xml:space="preserve"> PAGEREF _Toc441051466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2779C96"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7" w:history="1">
        <w:r w:rsidR="006A37A0" w:rsidRPr="00C01854">
          <w:rPr>
            <w:rStyle w:val="Hyperlink"/>
            <w:noProof/>
          </w:rPr>
          <w:t>1.3 Terminology</w:t>
        </w:r>
        <w:r w:rsidR="006A37A0">
          <w:rPr>
            <w:noProof/>
            <w:webHidden/>
          </w:rPr>
          <w:tab/>
        </w:r>
        <w:r w:rsidR="006A37A0">
          <w:rPr>
            <w:noProof/>
            <w:webHidden/>
          </w:rPr>
          <w:fldChar w:fldCharType="begin"/>
        </w:r>
        <w:r w:rsidR="006A37A0">
          <w:rPr>
            <w:noProof/>
            <w:webHidden/>
          </w:rPr>
          <w:instrText xml:space="preserve"> PAGEREF _Toc441051467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71BF16CF"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8" w:history="1">
        <w:r w:rsidR="006A37A0" w:rsidRPr="00C01854">
          <w:rPr>
            <w:rStyle w:val="Hyperlink"/>
            <w:noProof/>
          </w:rPr>
          <w:t>1.4 Normative References</w:t>
        </w:r>
        <w:r w:rsidR="006A37A0">
          <w:rPr>
            <w:noProof/>
            <w:webHidden/>
          </w:rPr>
          <w:tab/>
        </w:r>
        <w:r w:rsidR="006A37A0">
          <w:rPr>
            <w:noProof/>
            <w:webHidden/>
          </w:rPr>
          <w:fldChar w:fldCharType="begin"/>
        </w:r>
        <w:r w:rsidR="006A37A0">
          <w:rPr>
            <w:noProof/>
            <w:webHidden/>
          </w:rPr>
          <w:instrText xml:space="preserve"> PAGEREF _Toc441051468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4ADAE7D4" w14:textId="77777777" w:rsidR="006A37A0" w:rsidRDefault="00162523">
      <w:pPr>
        <w:pStyle w:val="TOC1"/>
        <w:rPr>
          <w:rFonts w:asciiTheme="minorHAnsi" w:eastAsiaTheme="minorEastAsia" w:hAnsiTheme="minorHAnsi" w:cstheme="minorBidi"/>
          <w:noProof/>
          <w:sz w:val="22"/>
          <w:szCs w:val="22"/>
        </w:rPr>
      </w:pPr>
      <w:hyperlink w:anchor="_Toc441051469" w:history="1">
        <w:r w:rsidR="006A37A0" w:rsidRPr="00C01854">
          <w:rPr>
            <w:rStyle w:val="Hyperlink"/>
            <w:noProof/>
          </w:rPr>
          <w:t>2</w:t>
        </w:r>
        <w:r w:rsidR="006A37A0">
          <w:rPr>
            <w:rFonts w:asciiTheme="minorHAnsi" w:eastAsiaTheme="minorEastAsia" w:hAnsiTheme="minorHAnsi" w:cstheme="minorBidi"/>
            <w:noProof/>
            <w:sz w:val="22"/>
            <w:szCs w:val="22"/>
          </w:rPr>
          <w:tab/>
        </w:r>
        <w:r w:rsidR="006A37A0" w:rsidRPr="00C01854">
          <w:rPr>
            <w:rStyle w:val="Hyperlink"/>
            <w:noProof/>
          </w:rPr>
          <w:t>Language Modularity</w:t>
        </w:r>
        <w:r w:rsidR="006A37A0">
          <w:rPr>
            <w:noProof/>
            <w:webHidden/>
          </w:rPr>
          <w:tab/>
        </w:r>
        <w:r w:rsidR="006A37A0">
          <w:rPr>
            <w:noProof/>
            <w:webHidden/>
          </w:rPr>
          <w:fldChar w:fldCharType="begin"/>
        </w:r>
        <w:r w:rsidR="006A37A0">
          <w:rPr>
            <w:noProof/>
            <w:webHidden/>
          </w:rPr>
          <w:instrText xml:space="preserve"> PAGEREF _Toc441051469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4AFC87C2"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0" w:history="1">
        <w:r w:rsidR="006A37A0" w:rsidRPr="00C01854">
          <w:rPr>
            <w:rStyle w:val="Hyperlink"/>
            <w:noProof/>
          </w:rPr>
          <w:t>2.1 Core Data Model</w:t>
        </w:r>
        <w:r w:rsidR="006A37A0">
          <w:rPr>
            <w:noProof/>
            <w:webHidden/>
          </w:rPr>
          <w:tab/>
        </w:r>
        <w:r w:rsidR="006A37A0">
          <w:rPr>
            <w:noProof/>
            <w:webHidden/>
          </w:rPr>
          <w:fldChar w:fldCharType="begin"/>
        </w:r>
        <w:r w:rsidR="006A37A0">
          <w:rPr>
            <w:noProof/>
            <w:webHidden/>
          </w:rPr>
          <w:instrText xml:space="preserve"> PAGEREF _Toc441051470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54F0EBDA"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1" w:history="1">
        <w:r w:rsidR="006A37A0" w:rsidRPr="00C01854">
          <w:rPr>
            <w:rStyle w:val="Hyperlink"/>
            <w:noProof/>
          </w:rPr>
          <w:t>2.2 Objects Models</w:t>
        </w:r>
        <w:r w:rsidR="006A37A0">
          <w:rPr>
            <w:noProof/>
            <w:webHidden/>
          </w:rPr>
          <w:tab/>
        </w:r>
        <w:r w:rsidR="006A37A0">
          <w:rPr>
            <w:noProof/>
            <w:webHidden/>
          </w:rPr>
          <w:fldChar w:fldCharType="begin"/>
        </w:r>
        <w:r w:rsidR="006A37A0">
          <w:rPr>
            <w:noProof/>
            <w:webHidden/>
          </w:rPr>
          <w:instrText xml:space="preserve"> PAGEREF _Toc441051471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3994E3E3"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2" w:history="1">
        <w:r w:rsidR="006A37A0" w:rsidRPr="00C01854">
          <w:rPr>
            <w:rStyle w:val="Hyperlink"/>
            <w:noProof/>
          </w:rPr>
          <w:t>2.3 Common Data Model</w:t>
        </w:r>
        <w:r w:rsidR="006A37A0">
          <w:rPr>
            <w:noProof/>
            <w:webHidden/>
          </w:rPr>
          <w:tab/>
        </w:r>
        <w:r w:rsidR="006A37A0">
          <w:rPr>
            <w:noProof/>
            <w:webHidden/>
          </w:rPr>
          <w:fldChar w:fldCharType="begin"/>
        </w:r>
        <w:r w:rsidR="006A37A0">
          <w:rPr>
            <w:noProof/>
            <w:webHidden/>
          </w:rPr>
          <w:instrText xml:space="preserve"> PAGEREF _Toc441051472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1FF73F34"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73" w:history="1">
        <w:r w:rsidR="006A37A0" w:rsidRPr="00C01854">
          <w:rPr>
            <w:rStyle w:val="Hyperlink"/>
            <w:noProof/>
          </w:rPr>
          <w:t>2.3.1 Object Property Model</w:t>
        </w:r>
        <w:r w:rsidR="006A37A0">
          <w:rPr>
            <w:noProof/>
            <w:webHidden/>
          </w:rPr>
          <w:tab/>
        </w:r>
        <w:r w:rsidR="006A37A0">
          <w:rPr>
            <w:noProof/>
            <w:webHidden/>
          </w:rPr>
          <w:fldChar w:fldCharType="begin"/>
        </w:r>
        <w:r w:rsidR="006A37A0">
          <w:rPr>
            <w:noProof/>
            <w:webHidden/>
          </w:rPr>
          <w:instrText xml:space="preserve"> PAGEREF _Toc441051473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6B406928"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4" w:history="1">
        <w:r w:rsidR="006A37A0" w:rsidRPr="00C01854">
          <w:rPr>
            <w:rStyle w:val="Hyperlink"/>
            <w:noProof/>
          </w:rPr>
          <w:t>2.4 Default Extensions Data Model</w:t>
        </w:r>
        <w:r w:rsidR="006A37A0">
          <w:rPr>
            <w:noProof/>
            <w:webHidden/>
          </w:rPr>
          <w:tab/>
        </w:r>
        <w:r w:rsidR="006A37A0">
          <w:rPr>
            <w:noProof/>
            <w:webHidden/>
          </w:rPr>
          <w:fldChar w:fldCharType="begin"/>
        </w:r>
        <w:r w:rsidR="006A37A0">
          <w:rPr>
            <w:noProof/>
            <w:webHidden/>
          </w:rPr>
          <w:instrText xml:space="preserve"> PAGEREF _Toc441051474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210F175F"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5" w:history="1">
        <w:r w:rsidR="006A37A0" w:rsidRPr="00C01854">
          <w:rPr>
            <w:rStyle w:val="Hyperlink"/>
            <w:noProof/>
          </w:rPr>
          <w:t>2.5 Default Vocabularies</w:t>
        </w:r>
        <w:r w:rsidR="006A37A0">
          <w:rPr>
            <w:noProof/>
            <w:webHidden/>
          </w:rPr>
          <w:tab/>
        </w:r>
        <w:r w:rsidR="006A37A0">
          <w:rPr>
            <w:noProof/>
            <w:webHidden/>
          </w:rPr>
          <w:fldChar w:fldCharType="begin"/>
        </w:r>
        <w:r w:rsidR="006A37A0">
          <w:rPr>
            <w:noProof/>
            <w:webHidden/>
          </w:rPr>
          <w:instrText xml:space="preserve"> PAGEREF _Toc441051475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5B006A75"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6" w:history="1">
        <w:r w:rsidR="006A37A0" w:rsidRPr="00C01854">
          <w:rPr>
            <w:rStyle w:val="Hyperlink"/>
            <w:noProof/>
          </w:rPr>
          <w:t>2.6 Basic Data Types</w:t>
        </w:r>
        <w:r w:rsidR="006A37A0">
          <w:rPr>
            <w:noProof/>
            <w:webHidden/>
          </w:rPr>
          <w:tab/>
        </w:r>
        <w:r w:rsidR="006A37A0">
          <w:rPr>
            <w:noProof/>
            <w:webHidden/>
          </w:rPr>
          <w:fldChar w:fldCharType="begin"/>
        </w:r>
        <w:r w:rsidR="006A37A0">
          <w:rPr>
            <w:noProof/>
            <w:webHidden/>
          </w:rPr>
          <w:instrText xml:space="preserve"> PAGEREF _Toc441051476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3A00E744"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77" w:history="1">
        <w:r w:rsidR="006A37A0" w:rsidRPr="00C01854">
          <w:rPr>
            <w:rStyle w:val="Hyperlink"/>
            <w:noProof/>
          </w:rPr>
          <w:t>2.6.1 Common Basic Data Types</w:t>
        </w:r>
        <w:r w:rsidR="006A37A0">
          <w:rPr>
            <w:noProof/>
            <w:webHidden/>
          </w:rPr>
          <w:tab/>
        </w:r>
        <w:r w:rsidR="006A37A0">
          <w:rPr>
            <w:noProof/>
            <w:webHidden/>
          </w:rPr>
          <w:fldChar w:fldCharType="begin"/>
        </w:r>
        <w:r w:rsidR="006A37A0">
          <w:rPr>
            <w:noProof/>
            <w:webHidden/>
          </w:rPr>
          <w:instrText xml:space="preserve"> PAGEREF _Toc441051477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4FB4F099"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78" w:history="1">
        <w:r w:rsidR="006A37A0" w:rsidRPr="00C01854">
          <w:rPr>
            <w:rStyle w:val="Hyperlink"/>
            <w:noProof/>
          </w:rPr>
          <w:t>2.6.2 Specializations of the BasicString Data Type</w:t>
        </w:r>
        <w:r w:rsidR="006A37A0">
          <w:rPr>
            <w:noProof/>
            <w:webHidden/>
          </w:rPr>
          <w:tab/>
        </w:r>
        <w:r w:rsidR="006A37A0">
          <w:rPr>
            <w:noProof/>
            <w:webHidden/>
          </w:rPr>
          <w:fldChar w:fldCharType="begin"/>
        </w:r>
        <w:r w:rsidR="006A37A0">
          <w:rPr>
            <w:noProof/>
            <w:webHidden/>
          </w:rPr>
          <w:instrText xml:space="preserve"> PAGEREF _Toc441051478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6B7EEFB3" w14:textId="77777777" w:rsidR="006A37A0" w:rsidRDefault="00162523">
      <w:pPr>
        <w:pStyle w:val="TOC1"/>
        <w:rPr>
          <w:rFonts w:asciiTheme="minorHAnsi" w:eastAsiaTheme="minorEastAsia" w:hAnsiTheme="minorHAnsi" w:cstheme="minorBidi"/>
          <w:noProof/>
          <w:sz w:val="22"/>
          <w:szCs w:val="22"/>
        </w:rPr>
      </w:pPr>
      <w:hyperlink w:anchor="_Toc441051479" w:history="1">
        <w:r w:rsidR="006A37A0" w:rsidRPr="00C01854">
          <w:rPr>
            <w:rStyle w:val="Hyperlink"/>
            <w:noProof/>
          </w:rPr>
          <w:t>3</w:t>
        </w:r>
        <w:r w:rsidR="006A37A0">
          <w:rPr>
            <w:rFonts w:asciiTheme="minorHAnsi" w:eastAsiaTheme="minorEastAsia" w:hAnsiTheme="minorHAnsi" w:cstheme="minorBidi"/>
            <w:noProof/>
            <w:sz w:val="22"/>
            <w:szCs w:val="22"/>
          </w:rPr>
          <w:tab/>
        </w:r>
        <w:r w:rsidR="006A37A0" w:rsidRPr="00C01854">
          <w:rPr>
            <w:rStyle w:val="Hyperlink"/>
            <w:noProof/>
          </w:rPr>
          <w:t>Data Model Conventions</w:t>
        </w:r>
        <w:r w:rsidR="006A37A0">
          <w:rPr>
            <w:noProof/>
            <w:webHidden/>
          </w:rPr>
          <w:tab/>
        </w:r>
        <w:r w:rsidR="006A37A0">
          <w:rPr>
            <w:noProof/>
            <w:webHidden/>
          </w:rPr>
          <w:fldChar w:fldCharType="begin"/>
        </w:r>
        <w:r w:rsidR="006A37A0">
          <w:rPr>
            <w:noProof/>
            <w:webHidden/>
          </w:rPr>
          <w:instrText xml:space="preserve"> PAGEREF _Toc441051479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7FBEA939"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0" w:history="1">
        <w:r w:rsidR="006A37A0" w:rsidRPr="00C01854">
          <w:rPr>
            <w:rStyle w:val="Hyperlink"/>
            <w:noProof/>
          </w:rPr>
          <w:t>3.1 UML Packages</w:t>
        </w:r>
        <w:r w:rsidR="006A37A0">
          <w:rPr>
            <w:noProof/>
            <w:webHidden/>
          </w:rPr>
          <w:tab/>
        </w:r>
        <w:r w:rsidR="006A37A0">
          <w:rPr>
            <w:noProof/>
            <w:webHidden/>
          </w:rPr>
          <w:fldChar w:fldCharType="begin"/>
        </w:r>
        <w:r w:rsidR="006A37A0">
          <w:rPr>
            <w:noProof/>
            <w:webHidden/>
          </w:rPr>
          <w:instrText xml:space="preserve"> PAGEREF _Toc441051480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506EF202"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1" w:history="1">
        <w:r w:rsidR="006A37A0" w:rsidRPr="00C01854">
          <w:rPr>
            <w:rStyle w:val="Hyperlink"/>
            <w:noProof/>
          </w:rPr>
          <w:t>3.2 Naming Conventions</w:t>
        </w:r>
        <w:r w:rsidR="006A37A0">
          <w:rPr>
            <w:noProof/>
            <w:webHidden/>
          </w:rPr>
          <w:tab/>
        </w:r>
        <w:r w:rsidR="006A37A0">
          <w:rPr>
            <w:noProof/>
            <w:webHidden/>
          </w:rPr>
          <w:fldChar w:fldCharType="begin"/>
        </w:r>
        <w:r w:rsidR="006A37A0">
          <w:rPr>
            <w:noProof/>
            <w:webHidden/>
          </w:rPr>
          <w:instrText xml:space="preserve"> PAGEREF _Toc441051481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4B470BC5"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2" w:history="1">
        <w:r w:rsidR="006A37A0" w:rsidRPr="00C01854">
          <w:rPr>
            <w:rStyle w:val="Hyperlink"/>
            <w:noProof/>
          </w:rPr>
          <w:t>3.3 Identifiers</w:t>
        </w:r>
        <w:r w:rsidR="006A37A0">
          <w:rPr>
            <w:noProof/>
            <w:webHidden/>
          </w:rPr>
          <w:tab/>
        </w:r>
        <w:r w:rsidR="006A37A0">
          <w:rPr>
            <w:noProof/>
            <w:webHidden/>
          </w:rPr>
          <w:fldChar w:fldCharType="begin"/>
        </w:r>
        <w:r w:rsidR="006A37A0">
          <w:rPr>
            <w:noProof/>
            <w:webHidden/>
          </w:rPr>
          <w:instrText xml:space="preserve"> PAGEREF _Toc441051482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7F9B649F" w14:textId="77777777" w:rsidR="006A37A0" w:rsidRDefault="00162523">
      <w:pPr>
        <w:pStyle w:val="TOC1"/>
        <w:rPr>
          <w:rFonts w:asciiTheme="minorHAnsi" w:eastAsiaTheme="minorEastAsia" w:hAnsiTheme="minorHAnsi" w:cstheme="minorBidi"/>
          <w:noProof/>
          <w:sz w:val="22"/>
          <w:szCs w:val="22"/>
        </w:rPr>
      </w:pPr>
      <w:hyperlink w:anchor="_Toc441051483" w:history="1">
        <w:r w:rsidR="006A37A0" w:rsidRPr="00C01854">
          <w:rPr>
            <w:rStyle w:val="Hyperlink"/>
            <w:noProof/>
          </w:rPr>
          <w:t>4</w:t>
        </w:r>
        <w:r w:rsidR="006A37A0">
          <w:rPr>
            <w:rFonts w:asciiTheme="minorHAnsi" w:eastAsiaTheme="minorEastAsia" w:hAnsiTheme="minorHAnsi" w:cstheme="minorBidi"/>
            <w:noProof/>
            <w:sz w:val="22"/>
            <w:szCs w:val="22"/>
          </w:rPr>
          <w:tab/>
        </w:r>
        <w:r w:rsidR="006A37A0" w:rsidRPr="00C01854">
          <w:rPr>
            <w:rStyle w:val="Hyperlink"/>
            <w:noProof/>
          </w:rPr>
          <w:t>Relationships to Other Externally-defined Data Models</w:t>
        </w:r>
        <w:r w:rsidR="006A37A0">
          <w:rPr>
            <w:noProof/>
            <w:webHidden/>
          </w:rPr>
          <w:tab/>
        </w:r>
        <w:r w:rsidR="006A37A0">
          <w:rPr>
            <w:noProof/>
            <w:webHidden/>
          </w:rPr>
          <w:fldChar w:fldCharType="begin"/>
        </w:r>
        <w:r w:rsidR="006A37A0">
          <w:rPr>
            <w:noProof/>
            <w:webHidden/>
          </w:rPr>
          <w:instrText xml:space="preserve"> PAGEREF _Toc441051483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077022B9"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4" w:history="1">
        <w:r w:rsidR="006A37A0" w:rsidRPr="00C01854">
          <w:rPr>
            <w:rStyle w:val="Hyperlink"/>
            <w:noProof/>
          </w:rPr>
          <w:t>4.1 Customer Information Quality (CIQ)</w:t>
        </w:r>
        <w:r w:rsidR="006A37A0">
          <w:rPr>
            <w:noProof/>
            <w:webHidden/>
          </w:rPr>
          <w:tab/>
        </w:r>
        <w:r w:rsidR="006A37A0">
          <w:rPr>
            <w:noProof/>
            <w:webHidden/>
          </w:rPr>
          <w:fldChar w:fldCharType="begin"/>
        </w:r>
        <w:r w:rsidR="006A37A0">
          <w:rPr>
            <w:noProof/>
            <w:webHidden/>
          </w:rPr>
          <w:instrText xml:space="preserve"> PAGEREF _Toc441051484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3F0C987"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5" w:history="1">
        <w:r w:rsidR="006A37A0" w:rsidRPr="00C01854">
          <w:rPr>
            <w:rStyle w:val="Hyperlink"/>
            <w:noProof/>
          </w:rPr>
          <w:t>4.2 Common Platform Enumeration (CPE)</w:t>
        </w:r>
        <w:r w:rsidR="006A37A0">
          <w:rPr>
            <w:noProof/>
            <w:webHidden/>
          </w:rPr>
          <w:tab/>
        </w:r>
        <w:r w:rsidR="006A37A0">
          <w:rPr>
            <w:noProof/>
            <w:webHidden/>
          </w:rPr>
          <w:fldChar w:fldCharType="begin"/>
        </w:r>
        <w:r w:rsidR="006A37A0">
          <w:rPr>
            <w:noProof/>
            <w:webHidden/>
          </w:rPr>
          <w:instrText xml:space="preserve"> PAGEREF _Toc441051485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7703454" w14:textId="77777777" w:rsidR="006A37A0" w:rsidRDefault="00162523">
      <w:pPr>
        <w:pStyle w:val="TOC1"/>
        <w:rPr>
          <w:rFonts w:asciiTheme="minorHAnsi" w:eastAsiaTheme="minorEastAsia" w:hAnsiTheme="minorHAnsi" w:cstheme="minorBidi"/>
          <w:noProof/>
          <w:sz w:val="22"/>
          <w:szCs w:val="22"/>
        </w:rPr>
      </w:pPr>
      <w:hyperlink w:anchor="_Toc441051486" w:history="1">
        <w:r w:rsidR="006A37A0" w:rsidRPr="00C01854">
          <w:rPr>
            <w:rStyle w:val="Hyperlink"/>
            <w:noProof/>
          </w:rPr>
          <w:t>5</w:t>
        </w:r>
        <w:r w:rsidR="006A37A0">
          <w:rPr>
            <w:rFonts w:asciiTheme="minorHAnsi" w:eastAsiaTheme="minorEastAsia" w:hAnsiTheme="minorHAnsi" w:cstheme="minorBidi"/>
            <w:noProof/>
            <w:sz w:val="22"/>
            <w:szCs w:val="22"/>
          </w:rPr>
          <w:tab/>
        </w:r>
        <w:r w:rsidR="006A37A0" w:rsidRPr="00C01854">
          <w:rPr>
            <w:rStyle w:val="Hyperlink"/>
            <w:noProof/>
          </w:rPr>
          <w:t>Conformance</w:t>
        </w:r>
        <w:r w:rsidR="006A37A0">
          <w:rPr>
            <w:noProof/>
            <w:webHidden/>
          </w:rPr>
          <w:tab/>
        </w:r>
        <w:r w:rsidR="006A37A0">
          <w:rPr>
            <w:noProof/>
            <w:webHidden/>
          </w:rPr>
          <w:fldChar w:fldCharType="begin"/>
        </w:r>
        <w:r w:rsidR="006A37A0">
          <w:rPr>
            <w:noProof/>
            <w:webHidden/>
          </w:rPr>
          <w:instrText xml:space="preserve"> PAGEREF _Toc441051486 \h </w:instrText>
        </w:r>
        <w:r w:rsidR="006A37A0">
          <w:rPr>
            <w:noProof/>
            <w:webHidden/>
          </w:rPr>
        </w:r>
        <w:r w:rsidR="006A37A0">
          <w:rPr>
            <w:noProof/>
            <w:webHidden/>
          </w:rPr>
          <w:fldChar w:fldCharType="separate"/>
        </w:r>
        <w:r w:rsidR="006A37A0">
          <w:rPr>
            <w:noProof/>
            <w:webHidden/>
          </w:rPr>
          <w:t>19</w:t>
        </w:r>
        <w:r w:rsidR="006A37A0">
          <w:rPr>
            <w:noProof/>
            <w:webHidden/>
          </w:rPr>
          <w:fldChar w:fldCharType="end"/>
        </w:r>
      </w:hyperlink>
    </w:p>
    <w:p w14:paraId="26947720" w14:textId="77777777" w:rsidR="006A37A0" w:rsidRDefault="00162523">
      <w:pPr>
        <w:pStyle w:val="TOC1"/>
        <w:rPr>
          <w:rFonts w:asciiTheme="minorHAnsi" w:eastAsiaTheme="minorEastAsia" w:hAnsiTheme="minorHAnsi" w:cstheme="minorBidi"/>
          <w:noProof/>
          <w:sz w:val="22"/>
          <w:szCs w:val="22"/>
        </w:rPr>
      </w:pPr>
      <w:hyperlink w:anchor="_Toc441051487" w:history="1">
        <w:r w:rsidR="006A37A0" w:rsidRPr="00C01854">
          <w:rPr>
            <w:rStyle w:val="Hyperlink"/>
            <w:noProof/>
          </w:rPr>
          <w:t>Appendix A. Acknowledgments</w:t>
        </w:r>
        <w:r w:rsidR="006A37A0">
          <w:rPr>
            <w:noProof/>
            <w:webHidden/>
          </w:rPr>
          <w:tab/>
        </w:r>
        <w:r w:rsidR="006A37A0">
          <w:rPr>
            <w:noProof/>
            <w:webHidden/>
          </w:rPr>
          <w:fldChar w:fldCharType="begin"/>
        </w:r>
        <w:r w:rsidR="006A37A0">
          <w:rPr>
            <w:noProof/>
            <w:webHidden/>
          </w:rPr>
          <w:instrText xml:space="preserve"> PAGEREF _Toc441051487 \h </w:instrText>
        </w:r>
        <w:r w:rsidR="006A37A0">
          <w:rPr>
            <w:noProof/>
            <w:webHidden/>
          </w:rPr>
        </w:r>
        <w:r w:rsidR="006A37A0">
          <w:rPr>
            <w:noProof/>
            <w:webHidden/>
          </w:rPr>
          <w:fldChar w:fldCharType="separate"/>
        </w:r>
        <w:r w:rsidR="006A37A0">
          <w:rPr>
            <w:noProof/>
            <w:webHidden/>
          </w:rPr>
          <w:t>20</w:t>
        </w:r>
        <w:r w:rsidR="006A37A0">
          <w:rPr>
            <w:noProof/>
            <w:webHidden/>
          </w:rPr>
          <w:fldChar w:fldCharType="end"/>
        </w:r>
      </w:hyperlink>
    </w:p>
    <w:p w14:paraId="28AABCCD" w14:textId="77777777" w:rsidR="006A37A0" w:rsidRDefault="00162523">
      <w:pPr>
        <w:pStyle w:val="TOC1"/>
        <w:rPr>
          <w:rFonts w:asciiTheme="minorHAnsi" w:eastAsiaTheme="minorEastAsia" w:hAnsiTheme="minorHAnsi" w:cstheme="minorBidi"/>
          <w:noProof/>
          <w:sz w:val="22"/>
          <w:szCs w:val="22"/>
        </w:rPr>
      </w:pPr>
      <w:hyperlink w:anchor="_Toc441051488" w:history="1">
        <w:r w:rsidR="006A37A0" w:rsidRPr="00C01854">
          <w:rPr>
            <w:rStyle w:val="Hyperlink"/>
            <w:noProof/>
          </w:rPr>
          <w:t>Appendix B. Revision History</w:t>
        </w:r>
        <w:r w:rsidR="006A37A0">
          <w:rPr>
            <w:noProof/>
            <w:webHidden/>
          </w:rPr>
          <w:tab/>
        </w:r>
        <w:r w:rsidR="006A37A0">
          <w:rPr>
            <w:noProof/>
            <w:webHidden/>
          </w:rPr>
          <w:fldChar w:fldCharType="begin"/>
        </w:r>
        <w:r w:rsidR="006A37A0">
          <w:rPr>
            <w:noProof/>
            <w:webHidden/>
          </w:rPr>
          <w:instrText xml:space="preserve"> PAGEREF _Toc441051488 \h </w:instrText>
        </w:r>
        <w:r w:rsidR="006A37A0">
          <w:rPr>
            <w:noProof/>
            <w:webHidden/>
          </w:rPr>
        </w:r>
        <w:r w:rsidR="006A37A0">
          <w:rPr>
            <w:noProof/>
            <w:webHidden/>
          </w:rPr>
          <w:fldChar w:fldCharType="separate"/>
        </w:r>
        <w:r w:rsidR="006A37A0">
          <w:rPr>
            <w:noProof/>
            <w:webHidden/>
          </w:rPr>
          <w:t>21</w:t>
        </w:r>
        <w:r w:rsidR="006A37A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41051459"/>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w:t>
      </w:r>
      <w:proofErr w:type="spellStart"/>
      <w:r w:rsidRPr="00B92F54">
        <w:t>CybOX</w:t>
      </w:r>
      <w:proofErr w:type="spellEnd"/>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7"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8" w:name="_CybOX_Specification_Documents"/>
      <w:bookmarkStart w:id="9" w:name="_Toc412205405"/>
      <w:bookmarkStart w:id="10" w:name="_Ref412300941"/>
      <w:bookmarkStart w:id="11" w:name="_Ref412622367"/>
      <w:bookmarkStart w:id="12" w:name="_Toc426119867"/>
      <w:bookmarkEnd w:id="7"/>
      <w:bookmarkEnd w:id="8"/>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3" w:name="_Toc441051460"/>
      <w:r>
        <w:t>CybOX Specification Documents</w:t>
      </w:r>
      <w:bookmarkEnd w:id="9"/>
      <w:bookmarkEnd w:id="10"/>
      <w:bookmarkEnd w:id="11"/>
      <w:bookmarkEnd w:id="12"/>
      <w:bookmarkEnd w:id="13"/>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4" w:name="_Ref394437867"/>
      <w:bookmarkStart w:id="15" w:name="_Toc426119868"/>
      <w:bookmarkStart w:id="16" w:name="_Toc441051461"/>
      <w:r>
        <w:t>Document Conventions</w:t>
      </w:r>
      <w:bookmarkEnd w:id="14"/>
      <w:bookmarkEnd w:id="15"/>
      <w:bookmarkEnd w:id="16"/>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7" w:name="_Toc389570603"/>
      <w:bookmarkStart w:id="18" w:name="_Toc389581073"/>
      <w:bookmarkStart w:id="19" w:name="_Toc426119870"/>
      <w:bookmarkStart w:id="20" w:name="_Toc441051462"/>
      <w:r>
        <w:t>Fonts</w:t>
      </w:r>
      <w:bookmarkEnd w:id="17"/>
      <w:bookmarkEnd w:id="18"/>
      <w:bookmarkEnd w:id="19"/>
      <w:bookmarkEnd w:id="20"/>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w:t>
      </w:r>
      <w:r w:rsidR="00283F60" w:rsidRPr="00F7784C">
        <w:rPr>
          <w:rFonts w:ascii="Arial" w:hAnsi="Arial" w:cs="Arial"/>
          <w:sz w:val="20"/>
          <w:szCs w:val="20"/>
        </w:rPr>
        <w:t xml:space="preserve"> </w:t>
      </w:r>
      <w:hyperlink w:anchor="AdditionalArtifacts" w:history="1">
        <w:proofErr w:type="spellStart"/>
        <w:r w:rsidR="003965A0">
          <w:rPr>
            <w:rStyle w:val="Hyperlink"/>
            <w:rFonts w:ascii="Arial" w:hAnsi="Arial" w:cs="Arial"/>
            <w:i/>
            <w:sz w:val="20"/>
            <w:szCs w:val="20"/>
          </w:rPr>
          <w:t>CybOX</w:t>
        </w:r>
        <w:proofErr w:type="spellEnd"/>
        <w:r w:rsidR="003965A0">
          <w:rPr>
            <w:rStyle w:val="Hyperlink"/>
            <w:rFonts w:ascii="Arial" w:hAnsi="Arial" w:cs="Arial"/>
            <w:i/>
            <w:sz w:val="20"/>
            <w:szCs w:val="20"/>
          </w:rPr>
          <w:t xml:space="preserve">™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1" w:name="_Ref394486021"/>
      <w:bookmarkStart w:id="22" w:name="_Toc426119871"/>
      <w:bookmarkStart w:id="23" w:name="_Toc441051463"/>
      <w:r>
        <w:t>UML Package References</w:t>
      </w:r>
      <w:bookmarkEnd w:id="21"/>
      <w:bookmarkEnd w:id="22"/>
      <w:bookmarkEnd w:id="23"/>
    </w:p>
    <w:p w14:paraId="35E75B08" w14:textId="59F9EC88" w:rsidR="00F27904" w:rsidRDefault="00F27904" w:rsidP="00F27904">
      <w:pPr>
        <w:spacing w:after="240"/>
      </w:pPr>
      <w:bookmarkStart w:id="24" w:name="_Toc389570605"/>
      <w:bookmarkStart w:id="25"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6" w:name="_Toc426119872"/>
      <w:bookmarkStart w:id="27" w:name="_Toc441051464"/>
      <w:r w:rsidRPr="00904E02">
        <w:t>UML Diagrams</w:t>
      </w:r>
      <w:bookmarkEnd w:id="24"/>
      <w:bookmarkEnd w:id="25"/>
      <w:bookmarkEnd w:id="26"/>
      <w:bookmarkEnd w:id="27"/>
    </w:p>
    <w:p w14:paraId="2C13A805" w14:textId="77777777" w:rsidR="00F27904" w:rsidRDefault="00F27904" w:rsidP="00F27904">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2" w:name="_Toc426119873"/>
      <w:bookmarkStart w:id="33" w:name="_Toc441051465"/>
      <w:r>
        <w:t>Class Properties</w:t>
      </w:r>
      <w:bookmarkEnd w:id="28"/>
      <w:bookmarkEnd w:id="32"/>
      <w:bookmarkEnd w:id="33"/>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4" w:name="_Toc398719453"/>
      <w:bookmarkStart w:id="35" w:name="_Toc426119874"/>
      <w:bookmarkStart w:id="36" w:name="_Toc441051466"/>
      <w:r>
        <w:t>Diagram Icons and Arrow Types</w:t>
      </w:r>
      <w:bookmarkEnd w:id="34"/>
      <w:bookmarkEnd w:id="35"/>
      <w:bookmarkEnd w:id="36"/>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7" w:name="_Ref397637630"/>
      <w:bookmarkStart w:id="38" w:name="_Ref397935245"/>
      <w:bookmarkStart w:id="39" w:name="_Toc398719454"/>
      <w:r w:rsidRPr="00305518">
        <w:t xml:space="preserve">Table </w:t>
      </w:r>
      <w:fldSimple w:instr=" STYLEREF 1 \s ">
        <w:r>
          <w:rPr>
            <w:noProof/>
          </w:rPr>
          <w:t>1</w:t>
        </w:r>
      </w:fldSimple>
      <w:r>
        <w:noBreakHyphen/>
      </w:r>
      <w:fldSimple w:instr=" SEQ Table \* ARABIC \s 1 ">
        <w:r>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22.1pt" o:ole="">
                  <v:imagedata r:id="rId28" o:title=""/>
                </v:shape>
                <o:OLEObject Type="Embed" ProgID="PBrush" ShapeID="_x0000_i1025" DrawAspect="Content" ObjectID="_1517654720"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7654721"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7654722"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5.65pt" o:ole="">
                  <v:imagedata r:id="rId35" o:title=""/>
                </v:shape>
                <o:OLEObject Type="Embed" ProgID="PBrush" ShapeID="_x0000_i1028" DrawAspect="Content" ObjectID="_1517654723"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40" w:name="_Toc85472893"/>
      <w:bookmarkStart w:id="41" w:name="_Toc287332007"/>
      <w:bookmarkStart w:id="42" w:name="_Ref428537349"/>
      <w:bookmarkStart w:id="43" w:name="_Toc441051467"/>
      <w:bookmarkEnd w:id="29"/>
      <w:bookmarkEnd w:id="30"/>
      <w:bookmarkEnd w:id="31"/>
      <w:bookmarkEnd w:id="38"/>
      <w:bookmarkEnd w:id="39"/>
      <w:r>
        <w:t>Terminology</w:t>
      </w:r>
      <w:bookmarkEnd w:id="40"/>
      <w:bookmarkEnd w:id="41"/>
      <w:bookmarkEnd w:id="42"/>
      <w:bookmarkEnd w:id="43"/>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Ref428537370"/>
      <w:bookmarkStart w:id="49" w:name="_Toc441051468"/>
      <w:bookmarkStart w:id="50" w:name="_Normative_References"/>
      <w:bookmarkEnd w:id="50"/>
      <w:r>
        <w:t>Normative</w:t>
      </w:r>
      <w:bookmarkEnd w:id="44"/>
      <w:bookmarkEnd w:id="45"/>
      <w:r>
        <w:t xml:space="preserve"> References</w:t>
      </w:r>
      <w:bookmarkEnd w:id="46"/>
      <w:bookmarkEnd w:id="47"/>
      <w:bookmarkEnd w:id="48"/>
      <w:bookmarkEnd w:id="49"/>
    </w:p>
    <w:p w14:paraId="7F51FB68" w14:textId="01480226" w:rsidR="00C02DEC" w:rsidRDefault="00C02DEC" w:rsidP="00F27904">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2" w:name="CIQ"/>
      <w:bookmarkEnd w:id="52"/>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3" w:name="W3DT"/>
      <w:r>
        <w:rPr>
          <w:b/>
        </w:rPr>
        <w:t>W3DT</w:t>
      </w:r>
      <w:bookmarkEnd w:id="53"/>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4" w:name="capec"/>
      <w:r>
        <w:rPr>
          <w:rStyle w:val="Refterm"/>
        </w:rPr>
        <w:t>CAPEC</w:t>
      </w:r>
      <w:bookmarkEnd w:id="5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5" w:name="cee"/>
      <w:r>
        <w:rPr>
          <w:rStyle w:val="Refterm"/>
        </w:rPr>
        <w:t>CEE</w:t>
      </w:r>
      <w:bookmarkEnd w:id="55"/>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6" w:name="cve"/>
      <w:r w:rsidRPr="00924B44">
        <w:rPr>
          <w:b/>
        </w:rPr>
        <w:t>CVE</w:t>
      </w:r>
      <w:bookmarkEnd w:id="56"/>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7" w:name="cwe"/>
      <w:r w:rsidRPr="00924B44">
        <w:rPr>
          <w:b/>
        </w:rPr>
        <w:t>CWE</w:t>
      </w:r>
      <w:bookmarkEnd w:id="57"/>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8" w:name="iso8601"/>
      <w:r>
        <w:rPr>
          <w:b/>
        </w:rPr>
        <w:t>ISO8601</w:t>
      </w:r>
      <w:bookmarkEnd w:id="58"/>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9" w:name="rfc3986"/>
      <w:r>
        <w:rPr>
          <w:rStyle w:val="Refterm"/>
        </w:rPr>
        <w:t>RFC3986</w:t>
      </w:r>
      <w:bookmarkEnd w:id="59"/>
      <w:r>
        <w:rPr>
          <w:rStyle w:val="Refterm"/>
        </w:rPr>
        <w:t>]</w:t>
      </w:r>
      <w:r>
        <w:rPr>
          <w:rStyle w:val="Refterm"/>
        </w:rPr>
        <w:tab/>
      </w:r>
      <w:r w:rsidRPr="00861DC0">
        <w:rPr>
          <w:rStyle w:val="Refterm"/>
          <w:b w:val="0"/>
        </w:rPr>
        <w:t xml:space="preserve">Berners-Lee, T., Fielding, R. and </w:t>
      </w:r>
      <w:proofErr w:type="spellStart"/>
      <w:r w:rsidRPr="00861DC0">
        <w:rPr>
          <w:rStyle w:val="Refterm"/>
          <w:b w:val="0"/>
        </w:rPr>
        <w:t>Masinter</w:t>
      </w:r>
      <w:proofErr w:type="spellEnd"/>
      <w:r w:rsidRPr="00861DC0">
        <w:rPr>
          <w:rStyle w:val="Refterm"/>
          <w:b w:val="0"/>
        </w:rPr>
        <w:t>,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60" w:name="rfc5646"/>
      <w:r w:rsidRPr="00924B44">
        <w:rPr>
          <w:b/>
        </w:rPr>
        <w:t>RFC5646</w:t>
      </w:r>
      <w:bookmarkEnd w:id="60"/>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1" w:name="W3Name"/>
      <w:r>
        <w:rPr>
          <w:b/>
        </w:rPr>
        <w:t>W3Name</w:t>
      </w:r>
      <w:bookmarkEnd w:id="61"/>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2" w:name="_Toc85472895"/>
      <w:bookmarkStart w:id="63" w:name="_Toc287332009"/>
      <w:bookmarkStart w:id="64" w:name="_Ref428000779"/>
      <w:bookmarkStart w:id="65" w:name="_Toc429676493"/>
      <w:r>
        <w:t>Non-Normative References</w:t>
      </w:r>
      <w:bookmarkEnd w:id="62"/>
      <w:bookmarkEnd w:id="63"/>
      <w:bookmarkEnd w:id="64"/>
      <w:bookmarkEnd w:id="65"/>
    </w:p>
    <w:p w14:paraId="29CC9EDA" w14:textId="77777777" w:rsidR="00B14616" w:rsidRPr="00F64287" w:rsidRDefault="00B14616" w:rsidP="00B14616">
      <w:pPr>
        <w:pStyle w:val="Ref"/>
      </w:pPr>
      <w:r>
        <w:rPr>
          <w:b/>
        </w:rPr>
        <w:t>[</w:t>
      </w:r>
      <w:bookmarkStart w:id="66" w:name="UML241"/>
      <w:r w:rsidRPr="00581416">
        <w:rPr>
          <w:b/>
        </w:rPr>
        <w:t>UML-2.4.1</w:t>
      </w:r>
      <w:bookmarkEnd w:id="66"/>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7" w:name="_Ref427252903"/>
      <w:bookmarkStart w:id="68" w:name="_Toc429676494"/>
      <w:bookmarkStart w:id="69" w:name="_Toc441051469"/>
      <w:bookmarkStart w:id="70" w:name="_Toc287332011"/>
      <w:r>
        <w:lastRenderedPageBreak/>
        <w:t>Language Modularity</w:t>
      </w:r>
      <w:bookmarkEnd w:id="67"/>
      <w:bookmarkEnd w:id="68"/>
      <w:bookmarkEnd w:id="69"/>
    </w:p>
    <w:p w14:paraId="20215C88" w14:textId="77777777" w:rsidR="007B68B9" w:rsidRDefault="007B68B9" w:rsidP="007B68B9">
      <w:pPr>
        <w:pStyle w:val="Heading2"/>
      </w:pPr>
      <w:bookmarkStart w:id="71" w:name="_Ref427251669"/>
      <w:bookmarkStart w:id="72" w:name="_Toc429676495"/>
      <w:bookmarkStart w:id="73" w:name="_Toc441051470"/>
      <w:r>
        <w:t>Core Data Model</w:t>
      </w:r>
      <w:bookmarkEnd w:id="71"/>
      <w:bookmarkEnd w:id="72"/>
      <w:bookmarkEnd w:id="73"/>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proofErr w:type="spellStart"/>
        <w:r w:rsidR="003965A0">
          <w:rPr>
            <w:rStyle w:val="Hyperlink"/>
            <w:i/>
          </w:rPr>
          <w:t>CybOX</w:t>
        </w:r>
        <w:proofErr w:type="spellEnd"/>
        <w:r w:rsidR="003965A0">
          <w:rPr>
            <w:rStyle w:val="Hyperlink"/>
            <w:i/>
          </w:rPr>
          <w:t xml:space="preserve">™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bookmarkStart w:id="74" w:name="_Ref440010819"/>
      <w:bookmarkStart w:id="75" w:name="_Toc441051471"/>
      <w:r>
        <w:t>Objects Models</w:t>
      </w:r>
      <w:bookmarkEnd w:id="74"/>
      <w:bookmarkEnd w:id="75"/>
    </w:p>
    <w:p w14:paraId="62B31C52" w14:textId="1825F493"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are pertinent to the cyber thread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xml:space="preserve">.  Some of the Object data models are very simple (e.g. </w:t>
      </w:r>
      <w:proofErr w:type="spellStart"/>
      <w:r w:rsidR="000223AD">
        <w:rPr>
          <w:color w:val="000000"/>
          <w:szCs w:val="20"/>
        </w:rPr>
        <w:t>DNS_Cache</w:t>
      </w:r>
      <w:proofErr w:type="spellEnd"/>
      <w:r w:rsidR="000223AD">
        <w:rPr>
          <w:color w:val="000000"/>
          <w:szCs w:val="20"/>
        </w:rPr>
        <w:t>), containing one or</w:t>
      </w:r>
      <w:r w:rsidR="00162523">
        <w:rPr>
          <w:color w:val="000000"/>
          <w:szCs w:val="20"/>
        </w:rPr>
        <w:t xml:space="preserve"> two UML classes or data types; o</w:t>
      </w:r>
      <w:r w:rsidR="000223AD">
        <w:rPr>
          <w:color w:val="000000"/>
          <w:szCs w:val="20"/>
        </w:rPr>
        <w:t xml:space="preserve">thers are quite complex, encompassing many UML classes (e.g., </w:t>
      </w:r>
      <w:proofErr w:type="spellStart"/>
      <w:r w:rsidR="000223AD">
        <w:rPr>
          <w:color w:val="000000"/>
          <w:szCs w:val="20"/>
        </w:rPr>
        <w:t>PDF_File</w:t>
      </w:r>
      <w:proofErr w:type="spellEnd"/>
      <w:r w:rsidR="000223AD">
        <w:rPr>
          <w:color w:val="000000"/>
          <w:szCs w:val="20"/>
        </w:rPr>
        <w:t>).</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5ED7E94E" w14:textId="77777777" w:rsidR="007B68B9" w:rsidRDefault="007B68B9" w:rsidP="007B68B9">
      <w:pPr>
        <w:pStyle w:val="Heading2"/>
      </w:pPr>
      <w:bookmarkStart w:id="76" w:name="_Ref427251679"/>
      <w:bookmarkStart w:id="77" w:name="_Toc429676496"/>
      <w:bookmarkStart w:id="78" w:name="_Toc441051472"/>
      <w:r>
        <w:t>Common Data Model</w:t>
      </w:r>
      <w:bookmarkEnd w:id="76"/>
      <w:bookmarkEnd w:id="77"/>
      <w:bookmarkEnd w:id="78"/>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proofErr w:type="spellStart"/>
        <w:r w:rsidR="003965A0">
          <w:rPr>
            <w:rStyle w:val="Hyperlink"/>
            <w:i/>
          </w:rPr>
          <w:t>CybOX</w:t>
        </w:r>
        <w:proofErr w:type="spellEnd"/>
        <w:r w:rsidR="003965A0">
          <w:rPr>
            <w:rStyle w:val="Hyperlink"/>
            <w:i/>
          </w:rPr>
          <w:t xml:space="preserve">™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79" w:name="_Toc441051473"/>
      <w:r>
        <w:t>Object Property Model</w:t>
      </w:r>
      <w:bookmarkEnd w:id="79"/>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0" w:name="_Ref440010652"/>
      <w:r>
        <w:t xml:space="preserve">Figure </w:t>
      </w:r>
      <w:fldSimple w:instr=" STYLEREF 1 \s ">
        <w:r w:rsidR="00103374">
          <w:rPr>
            <w:noProof/>
          </w:rPr>
          <w:t>2</w:t>
        </w:r>
      </w:fldSimple>
      <w:r w:rsidR="00276A04">
        <w:noBreakHyphen/>
      </w:r>
      <w:fldSimple w:instr=" SEQ Figure \* ARABIC \s 1 ">
        <w:r w:rsidR="00103374">
          <w:rPr>
            <w:noProof/>
          </w:rPr>
          <w:t>1</w:t>
        </w:r>
      </w:fldSimple>
      <w:bookmarkEnd w:id="80"/>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proofErr w:type="spellStart"/>
      <w:r w:rsidR="007F0758" w:rsidRPr="007F0758">
        <w:rPr>
          <w:rFonts w:ascii="Courier New" w:hAnsi="Courier New" w:cs="Courier New"/>
        </w:rPr>
        <w:t>ObjectType</w:t>
      </w:r>
      <w:proofErr w:type="spellEnd"/>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w:t>
      </w:r>
      <w:proofErr w:type="spellStart"/>
      <w:r w:rsidR="007F0758">
        <w:t>toplevel</w:t>
      </w:r>
      <w:proofErr w:type="spellEnd"/>
      <w:r w:rsidR="007F0758">
        <w:t xml:space="preserve">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 xml:space="preserve">an </w:t>
      </w:r>
      <w:proofErr w:type="spellStart"/>
      <w:r w:rsidR="002D4FC2">
        <w:t>ObjectType</w:t>
      </w:r>
      <w:proofErr w:type="spellEnd"/>
      <w:r w:rsidR="002D4FC2">
        <w:t xml:space="preserv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proofErr w:type="spellStart"/>
      <w:r w:rsidRPr="009F1D89">
        <w:rPr>
          <w:rFonts w:ascii="Courier New" w:hAnsi="Courier New" w:cs="Courier New"/>
          <w:sz w:val="20"/>
          <w:szCs w:val="20"/>
        </w:rPr>
        <w:t>ObjectPropertyType</w:t>
      </w:r>
      <w:proofErr w:type="spellEnd"/>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lastRenderedPageBreak/>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1" w:name="_Ref441053328"/>
      <w:r>
        <w:t xml:space="preserve">Figure </w:t>
      </w:r>
      <w:fldSimple w:instr=" STYLEREF 1 \s ">
        <w:r w:rsidR="00C22887">
          <w:rPr>
            <w:noProof/>
          </w:rPr>
          <w:t>2</w:t>
        </w:r>
      </w:fldSimple>
      <w:r w:rsidR="00276A04">
        <w:noBreakHyphen/>
      </w:r>
      <w:fldSimple w:instr=" SEQ Figure \* ARABIC \s 1 ">
        <w:r w:rsidR="00C22887">
          <w:rPr>
            <w:noProof/>
          </w:rPr>
          <w:t>2</w:t>
        </w:r>
      </w:fldSimple>
      <w:bookmarkEnd w:id="81"/>
      <w:r>
        <w:t xml:space="preserve">. Toplevel class of </w:t>
      </w:r>
      <w:r w:rsidR="009F1D89">
        <w:t xml:space="preserve">the </w:t>
      </w:r>
      <w:proofErr w:type="spellStart"/>
      <w:r w:rsidRPr="00F640A8">
        <w:rPr>
          <w:rFonts w:ascii="Courier New" w:hAnsi="Courier New" w:cs="Courier New"/>
        </w:rPr>
        <w:t>Email_Message_Object</w:t>
      </w:r>
      <w:proofErr w:type="spellEnd"/>
      <w:r>
        <w:t xml:space="preserve"> data model</w:t>
      </w:r>
    </w:p>
    <w:p w14:paraId="7635ED39" w14:textId="0F42AEBE" w:rsidR="00F640A8" w:rsidRDefault="00F640A8" w:rsidP="00F640A8">
      <w:r>
        <w:t xml:space="preserve">The </w:t>
      </w:r>
      <w:proofErr w:type="spellStart"/>
      <w:r w:rsidRPr="007C38DE">
        <w:rPr>
          <w:rFonts w:ascii="Courier New" w:hAnsi="Courier New" w:cs="Courier New"/>
        </w:rPr>
        <w:t>EmailMessageObjectType</w:t>
      </w:r>
      <w:proofErr w:type="spellEnd"/>
      <w:r>
        <w:t xml:space="preserve"> </w:t>
      </w:r>
      <w:r w:rsidR="007C38DE">
        <w:t xml:space="preserve">class </w:t>
      </w:r>
      <w:r>
        <w:t xml:space="preserve">extends the </w:t>
      </w:r>
      <w:proofErr w:type="spellStart"/>
      <w:r w:rsidRPr="007C38DE">
        <w:rPr>
          <w:rFonts w:ascii="Courier New" w:hAnsi="Courier New" w:cs="Courier New"/>
        </w:rPr>
        <w:t>ObjectPropertiesType</w:t>
      </w:r>
      <w:proofErr w:type="spellEnd"/>
      <w:r>
        <w:t xml:space="preserve">, and therefore can be used in the </w:t>
      </w:r>
      <w:proofErr w:type="spellStart"/>
      <w:r w:rsidRPr="007C38DE">
        <w:rPr>
          <w:rFonts w:ascii="Courier New" w:hAnsi="Courier New" w:cs="Courier New"/>
        </w:rPr>
        <w:t>ObjectType</w:t>
      </w:r>
      <w:proofErr w:type="spellEnd"/>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proofErr w:type="spellStart"/>
      <w:r w:rsidRPr="007C38DE">
        <w:rPr>
          <w:rFonts w:ascii="Courier New" w:hAnsi="Courier New" w:cs="Courier New"/>
        </w:rPr>
        <w:t>StringObjectPropertyType</w:t>
      </w:r>
      <w:proofErr w:type="spellEnd"/>
      <w:r>
        <w:t xml:space="preserve">, an extension of </w:t>
      </w:r>
      <w:proofErr w:type="spellStart"/>
      <w:r w:rsidRPr="007C38DE">
        <w:rPr>
          <w:rFonts w:ascii="Courier New" w:hAnsi="Courier New" w:cs="Courier New"/>
        </w:rPr>
        <w:t>ObjectPropertyType</w:t>
      </w:r>
      <w:proofErr w:type="spellEnd"/>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2" w:name="_Ref441053288"/>
      <w:r>
        <w:t xml:space="preserve">Figure </w:t>
      </w:r>
      <w:fldSimple w:instr=" STYLEREF 1 \s ">
        <w:r w:rsidR="001E5278">
          <w:rPr>
            <w:noProof/>
          </w:rPr>
          <w:t>2</w:t>
        </w:r>
      </w:fldSimple>
      <w:r w:rsidR="00276A04">
        <w:noBreakHyphen/>
      </w:r>
      <w:fldSimple w:instr=" SEQ Figure \* ARABIC \s 1 ">
        <w:r w:rsidR="001E5278">
          <w:rPr>
            <w:noProof/>
          </w:rPr>
          <w:t>3</w:t>
        </w:r>
      </w:fldSimple>
      <w:bookmarkEnd w:id="82"/>
      <w:r>
        <w:t>. Details of other classes</w:t>
      </w:r>
      <w:r w:rsidR="00C047E3">
        <w:t xml:space="preserve"> of the </w:t>
      </w:r>
      <w:proofErr w:type="spellStart"/>
      <w:r w:rsidR="00C047E3">
        <w:t>Email_Message_O</w:t>
      </w:r>
      <w:r>
        <w:t>bject</w:t>
      </w:r>
      <w:proofErr w:type="spellEnd"/>
      <w:r>
        <w:t xml:space="preserve"> data model</w:t>
      </w:r>
    </w:p>
    <w:p w14:paraId="05CAEFEF" w14:textId="3FA94172" w:rsidR="00F640A8" w:rsidRDefault="00C047E3" w:rsidP="00F640A8">
      <w:r>
        <w:t xml:space="preserve">Expanding the detail of </w:t>
      </w:r>
      <w:r w:rsidR="007C38DE">
        <w:t xml:space="preserve">the </w:t>
      </w:r>
      <w:proofErr w:type="spellStart"/>
      <w:r w:rsidRPr="007C38DE">
        <w:rPr>
          <w:rFonts w:ascii="Courier New" w:hAnsi="Courier New" w:cs="Courier New"/>
        </w:rPr>
        <w:t>EmailHeaderType</w:t>
      </w:r>
      <w:proofErr w:type="spellEnd"/>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proofErr w:type="spellStart"/>
      <w:r w:rsidRPr="00C047E3">
        <w:rPr>
          <w:rFonts w:ascii="Courier New" w:hAnsi="Courier New" w:cs="Courier New"/>
        </w:rPr>
        <w:t>ObjectPropertyType</w:t>
      </w:r>
      <w:proofErr w:type="spellEnd"/>
      <w:r>
        <w:t xml:space="preserve"> class </w:t>
      </w:r>
      <w:r w:rsidR="00312868">
        <w:t xml:space="preserve">(e.g., </w:t>
      </w:r>
      <w:proofErr w:type="spellStart"/>
      <w:r w:rsidR="00312868">
        <w:rPr>
          <w:rFonts w:ascii="Courier New" w:hAnsi="Courier New" w:cs="Courier New"/>
        </w:rPr>
        <w:t>Integer</w:t>
      </w:r>
      <w:r w:rsidR="00312868" w:rsidRPr="007C38DE">
        <w:rPr>
          <w:rFonts w:ascii="Courier New" w:hAnsi="Courier New" w:cs="Courier New"/>
        </w:rPr>
        <w:t>ObjectPropertyType</w:t>
      </w:r>
      <w:proofErr w:type="spellEnd"/>
      <w:r w:rsidR="00312868">
        <w:t xml:space="preserve">) </w:t>
      </w:r>
      <w:r>
        <w:t xml:space="preserve">it also makes use of a class from </w:t>
      </w:r>
      <w:r w:rsidR="00312868">
        <w:t xml:space="preserve">the domain model of </w:t>
      </w:r>
      <w:r>
        <w:t>another Obje</w:t>
      </w:r>
      <w:r w:rsidR="00312868">
        <w:t xml:space="preserve">ct </w:t>
      </w:r>
      <w:r>
        <w:t>(</w:t>
      </w:r>
      <w:proofErr w:type="spellStart"/>
      <w:r w:rsidRPr="00C047E3">
        <w:rPr>
          <w:rFonts w:ascii="Courier New" w:hAnsi="Courier New" w:cs="Courier New"/>
        </w:rPr>
        <w:t>AddressObjectType</w:t>
      </w:r>
      <w:proofErr w:type="spellEnd"/>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3" w:name="_Ref441053419"/>
      <w:r>
        <w:t xml:space="preserve">Figure </w:t>
      </w:r>
      <w:fldSimple w:instr=" STYLEREF 1 \s ">
        <w:r w:rsidR="001E5278">
          <w:rPr>
            <w:noProof/>
          </w:rPr>
          <w:t>2</w:t>
        </w:r>
      </w:fldSimple>
      <w:r>
        <w:noBreakHyphen/>
      </w:r>
      <w:fldSimple w:instr=" SEQ Figure \* ARABIC \s 1 ">
        <w:r w:rsidR="001E5278">
          <w:rPr>
            <w:noProof/>
          </w:rPr>
          <w:t>4</w:t>
        </w:r>
      </w:fldSimple>
      <w:bookmarkEnd w:id="83"/>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proofErr w:type="spellStart"/>
      <w:r w:rsidR="009F1D89">
        <w:rPr>
          <w:rFonts w:ascii="Courier New" w:hAnsi="Courier New" w:cs="Courier New"/>
        </w:rPr>
        <w:t>BaseO</w:t>
      </w:r>
      <w:r w:rsidRPr="007C38DE">
        <w:rPr>
          <w:rFonts w:ascii="Courier New" w:hAnsi="Courier New" w:cs="Courier New"/>
        </w:rPr>
        <w:t>bjectPropertyType</w:t>
      </w:r>
      <w:proofErr w:type="spellEnd"/>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proofErr w:type="spellStart"/>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proofErr w:type="spellEnd"/>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proofErr w:type="spellStart"/>
      <w:r w:rsidR="006214F1" w:rsidRPr="006214F1">
        <w:rPr>
          <w:rFonts w:ascii="Courier New" w:hAnsi="Courier New" w:cs="Courier New"/>
        </w:rPr>
        <w:t>BaseObjectPropertyGroup</w:t>
      </w:r>
      <w:proofErr w:type="spellEnd"/>
      <w:r w:rsidR="006214F1">
        <w:rPr>
          <w:rFonts w:cs="Arial"/>
        </w:rPr>
        <w:t xml:space="preserve"> are used</w:t>
      </w:r>
      <w:r>
        <w:rPr>
          <w:rFonts w:cs="Arial"/>
        </w:rPr>
        <w:t xml:space="preserve"> only</w:t>
      </w:r>
      <w:r w:rsidR="006214F1">
        <w:rPr>
          <w:rFonts w:cs="Arial"/>
        </w:rPr>
        <w:t xml:space="preserve"> when specifying an actual observation and properties from </w:t>
      </w:r>
      <w:proofErr w:type="spellStart"/>
      <w:r w:rsidR="006214F1" w:rsidRPr="006214F1">
        <w:rPr>
          <w:rFonts w:ascii="Courier New" w:hAnsi="Courier New" w:cs="Courier New"/>
        </w:rPr>
        <w:t>PatternFieldGroup</w:t>
      </w:r>
      <w:proofErr w:type="spellEnd"/>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4" w:name="_Ref404938597"/>
      <w:bookmarkStart w:id="85" w:name="_Toc421724790"/>
      <w:bookmarkStart w:id="86" w:name="_Toc429676508"/>
      <w:bookmarkStart w:id="87" w:name="_Toc441051474"/>
      <w:r>
        <w:t>Default Extensions</w:t>
      </w:r>
      <w:bookmarkEnd w:id="84"/>
      <w:r>
        <w:t xml:space="preserve"> Data Model</w:t>
      </w:r>
      <w:bookmarkEnd w:id="85"/>
      <w:bookmarkEnd w:id="86"/>
      <w:bookmarkEnd w:id="87"/>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proofErr w:type="spellStart"/>
        <w:r w:rsidR="003965A0">
          <w:rPr>
            <w:rStyle w:val="Hyperlink"/>
            <w:i/>
          </w:rPr>
          <w:t>CybOX</w:t>
        </w:r>
        <w:proofErr w:type="spellEnd"/>
        <w:r w:rsidR="003965A0">
          <w:rPr>
            <w:rStyle w:val="Hyperlink"/>
            <w:i/>
          </w:rPr>
          <w:t xml:space="preserve">™ Version </w:t>
        </w:r>
        <w:r w:rsidR="00983238">
          <w:rPr>
            <w:rStyle w:val="Hyperlink"/>
            <w:i/>
          </w:rPr>
          <w:t>2.1.1 Part 4</w:t>
        </w:r>
        <w:r w:rsidRPr="00942D23">
          <w:rPr>
            <w:rStyle w:val="Hyperlink"/>
            <w:i/>
          </w:rPr>
          <w:t xml:space="preserve">: </w:t>
        </w:r>
        <w:r>
          <w:rPr>
            <w:rStyle w:val="Hyperlink"/>
            <w:i/>
          </w:rPr>
          <w:t>Def</w:t>
        </w:r>
        <w:r>
          <w:rPr>
            <w:rStyle w:val="Hyperlink"/>
            <w:i/>
          </w:rPr>
          <w:t>a</w:t>
        </w:r>
        <w:r>
          <w:rPr>
            <w:rStyle w:val="Hyperlink"/>
            <w:i/>
          </w:rPr>
          <w:t xml:space="preserve">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8" w:name="_Ref404938565"/>
      <w:bookmarkStart w:id="89" w:name="_Toc421724791"/>
      <w:bookmarkStart w:id="90" w:name="_Toc429676509"/>
      <w:bookmarkStart w:id="91" w:name="_Toc441051475"/>
      <w:r>
        <w:lastRenderedPageBreak/>
        <w:t>Default Vocabularies</w:t>
      </w:r>
      <w:bookmarkEnd w:id="88"/>
      <w:bookmarkEnd w:id="89"/>
      <w:bookmarkEnd w:id="90"/>
      <w:bookmarkEnd w:id="91"/>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proofErr w:type="spellStart"/>
        <w:r w:rsidR="003965A0">
          <w:rPr>
            <w:rStyle w:val="Hyperlink"/>
            <w:i/>
          </w:rPr>
          <w:t>CybOX</w:t>
        </w:r>
        <w:proofErr w:type="spellEnd"/>
        <w:r w:rsidR="003965A0">
          <w:rPr>
            <w:rStyle w:val="Hyperlink"/>
            <w:i/>
          </w:rPr>
          <w:t xml:space="preserve">™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2" w:name="_Toc421724792"/>
      <w:bookmarkStart w:id="93" w:name="_Toc429676510"/>
      <w:bookmarkStart w:id="94" w:name="_Ref440018055"/>
      <w:bookmarkStart w:id="95" w:name="_Toc441051476"/>
      <w:r>
        <w:t>Basic Data Types</w:t>
      </w:r>
      <w:bookmarkEnd w:id="92"/>
      <w:bookmarkEnd w:id="93"/>
      <w:bookmarkEnd w:id="94"/>
      <w:bookmarkEnd w:id="95"/>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w:t>
      </w:r>
      <w:proofErr w:type="spellStart"/>
      <w:r>
        <w:t>CybOX</w:t>
      </w:r>
      <w:proofErr w:type="spellEnd"/>
      <w:r>
        <w:t xml:space="preserve">.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proofErr w:type="spellStart"/>
      <w:r w:rsidR="00A2160A" w:rsidRPr="00A2160A">
        <w:rPr>
          <w:rFonts w:ascii="Courier New" w:hAnsi="Courier New" w:cs="Courier New"/>
        </w:rPr>
        <w:t>BaseObjectPropertyType</w:t>
      </w:r>
      <w:proofErr w:type="spellEnd"/>
      <w:r w:rsidR="00A2160A">
        <w:t xml:space="preserve"> (e.g.</w:t>
      </w:r>
      <w:r w:rsidR="00EE7C1C">
        <w:t>,</w:t>
      </w:r>
      <w:r w:rsidR="00A2160A">
        <w:t xml:space="preserve"> </w:t>
      </w:r>
      <w:proofErr w:type="spellStart"/>
      <w:r w:rsidR="00A2160A" w:rsidRPr="00A2160A">
        <w:rPr>
          <w:rFonts w:ascii="Courier New" w:hAnsi="Courier New" w:cs="Courier New"/>
        </w:rPr>
        <w:t>StringObjectPropertyType</w:t>
      </w:r>
      <w:proofErr w:type="spellEnd"/>
      <w:r w:rsidR="00A2160A">
        <w:t xml:space="preserve">, </w:t>
      </w:r>
      <w:proofErr w:type="spellStart"/>
      <w:r w:rsidR="00A2160A" w:rsidRPr="00A2160A">
        <w:rPr>
          <w:rFonts w:ascii="Courier New" w:hAnsi="Courier New" w:cs="Courier New"/>
        </w:rPr>
        <w:t>HexBinaryObjectPropertyType</w:t>
      </w:r>
      <w:proofErr w:type="spellEnd"/>
      <w:r w:rsidR="00EE7C1C">
        <w:rPr>
          <w:rFonts w:ascii="Courier New" w:hAnsi="Courier New" w:cs="Courier New"/>
        </w:rPr>
        <w:t xml:space="preserve">, </w:t>
      </w:r>
      <w:r w:rsidR="00EE7C1C">
        <w:t>etc.</w:t>
      </w:r>
      <w:r w:rsidR="00A2160A">
        <w:t xml:space="preserve">).  The latter data types </w:t>
      </w:r>
      <w:proofErr w:type="gramStart"/>
      <w:r w:rsidR="00A2160A">
        <w:t>permits</w:t>
      </w:r>
      <w:proofErr w:type="gramEnd"/>
      <w:r w:rsidR="00A2160A">
        <w:t xml:space="preserve">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6" w:name="_Ref417204726"/>
      <w:bookmarkStart w:id="97" w:name="_Toc421724793"/>
      <w:bookmarkStart w:id="98" w:name="_Toc429676511"/>
      <w:bookmarkStart w:id="99" w:name="_Toc441051477"/>
      <w:r>
        <w:t>Common Basic Data Types</w:t>
      </w:r>
      <w:bookmarkEnd w:id="96"/>
      <w:bookmarkEnd w:id="97"/>
      <w:bookmarkEnd w:id="98"/>
      <w:bookmarkEnd w:id="99"/>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0"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100"/>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w:t>
            </w:r>
            <w:r>
              <w:lastRenderedPageBreak/>
              <w:t>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1" w:name="_Ref417204737"/>
      <w:bookmarkStart w:id="102" w:name="_Toc421724794"/>
      <w:bookmarkStart w:id="103" w:name="_Toc429676512"/>
      <w:bookmarkStart w:id="104" w:name="_Toc441051478"/>
      <w:r>
        <w:t>Specializations of the BasicString Data Type</w:t>
      </w:r>
      <w:bookmarkEnd w:id="101"/>
      <w:bookmarkEnd w:id="102"/>
      <w:bookmarkEnd w:id="103"/>
      <w:bookmarkEnd w:id="104"/>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5"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10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6" w:name="_Ref427252917"/>
      <w:bookmarkStart w:id="107" w:name="_Toc429676513"/>
      <w:bookmarkStart w:id="108" w:name="_Toc441051479"/>
      <w:r>
        <w:lastRenderedPageBreak/>
        <w:t>Data Model Conventions</w:t>
      </w:r>
      <w:bookmarkEnd w:id="106"/>
      <w:bookmarkEnd w:id="107"/>
      <w:bookmarkEnd w:id="108"/>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proofErr w:type="spellStart"/>
        <w:r w:rsidR="003965A0">
          <w:rPr>
            <w:rStyle w:val="Hyperlink"/>
            <w:i/>
          </w:rPr>
          <w:t>CybOX</w:t>
        </w:r>
        <w:proofErr w:type="spellEnd"/>
        <w:r w:rsidR="003965A0">
          <w:rPr>
            <w:rStyle w:val="Hyperlink"/>
            <w:i/>
          </w:rPr>
          <w:t xml:space="preserve">™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9" w:name="_Toc421724796"/>
      <w:bookmarkStart w:id="110" w:name="_Toc429676514"/>
      <w:bookmarkStart w:id="111" w:name="_Toc441051480"/>
      <w:r>
        <w:t>UML Packages</w:t>
      </w:r>
      <w:bookmarkEnd w:id="109"/>
      <w:bookmarkEnd w:id="110"/>
      <w:bookmarkEnd w:id="111"/>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2" w:name="_Ref396992627"/>
      <w:r w:rsidRPr="00305518">
        <w:t xml:space="preserve">Table </w:t>
      </w:r>
      <w:fldSimple w:instr=" STYLEREF 1 \s ">
        <w:r w:rsidR="001A457F">
          <w:rPr>
            <w:noProof/>
          </w:rPr>
          <w:t>3</w:t>
        </w:r>
      </w:fldSimple>
      <w:r>
        <w:noBreakHyphen/>
      </w:r>
      <w:fldSimple w:instr=" SEQ Table \* ARABIC \s 1 ">
        <w:r w:rsidR="001A457F">
          <w:rPr>
            <w:noProof/>
          </w:rPr>
          <w:t>1</w:t>
        </w:r>
      </w:fldSimple>
      <w:bookmarkEnd w:id="112"/>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proofErr w:type="spellStart"/>
            <w:r>
              <w:rPr>
                <w:b/>
              </w:rPr>
              <w:t>cybox</w:t>
            </w:r>
            <w:proofErr w:type="spellEnd"/>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proofErr w:type="spellStart"/>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roofErr w:type="spellEnd"/>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proofErr w:type="spellStart"/>
            <w:r>
              <w:rPr>
                <w:rFonts w:ascii="Courier New" w:hAnsi="Courier New" w:cs="Courier New"/>
                <w:sz w:val="22"/>
              </w:rPr>
              <w:t>cybox</w:t>
            </w:r>
            <w:r w:rsidR="004C59FC">
              <w:rPr>
                <w:rFonts w:ascii="Courier New" w:hAnsi="Courier New" w:cs="Courier New"/>
                <w:sz w:val="22"/>
              </w:rPr>
              <w:t>Common:ConfidenceType</w:t>
            </w:r>
            <w:proofErr w:type="spellEnd"/>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proofErr w:type="spellStart"/>
            <w:r>
              <w:rPr>
                <w:b/>
              </w:rPr>
              <w:t>cybox</w:t>
            </w:r>
            <w:r w:rsidR="004C59FC" w:rsidRPr="00663949">
              <w:rPr>
                <w:b/>
              </w:rPr>
              <w:t>Vocabs</w:t>
            </w:r>
            <w:proofErr w:type="spellEnd"/>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proofErr w:type="spellStart"/>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roofErr w:type="spellEnd"/>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3" w:name="_Toc421724797"/>
      <w:bookmarkStart w:id="114" w:name="_Toc429676515"/>
      <w:bookmarkStart w:id="115" w:name="_Toc441051481"/>
      <w:r>
        <w:lastRenderedPageBreak/>
        <w:t>Naming Conventions</w:t>
      </w:r>
      <w:bookmarkEnd w:id="113"/>
      <w:bookmarkEnd w:id="114"/>
      <w:bookmarkEnd w:id="115"/>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6" w:name="_Ref404253845"/>
      <w:r w:rsidRPr="00236A31">
        <w:t xml:space="preserve">Table </w:t>
      </w:r>
      <w:fldSimple w:instr=" STYLEREF 1 \s ">
        <w:r w:rsidR="001A457F">
          <w:rPr>
            <w:noProof/>
          </w:rPr>
          <w:t>3</w:t>
        </w:r>
      </w:fldSimple>
      <w:r w:rsidRPr="00236A31">
        <w:noBreakHyphen/>
      </w:r>
      <w:fldSimple w:instr=" SEQ Table \* ARABIC \s 1 ">
        <w:r w:rsidR="001A457F">
          <w:rPr>
            <w:noProof/>
          </w:rPr>
          <w:t>2</w:t>
        </w:r>
      </w:fldSimple>
      <w:bookmarkEnd w:id="116"/>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7" w:name="_Toc421724798"/>
      <w:bookmarkStart w:id="118" w:name="_Toc429676516"/>
      <w:bookmarkStart w:id="119" w:name="_Toc441051482"/>
      <w:bookmarkStart w:id="120" w:name="_Ref400990175"/>
      <w:r>
        <w:t>Identifiers</w:t>
      </w:r>
      <w:bookmarkEnd w:id="117"/>
      <w:bookmarkEnd w:id="118"/>
      <w:bookmarkEnd w:id="119"/>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0"/>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namespace</w:t>
      </w:r>
      <w:proofErr w:type="gramStart"/>
      <w:r>
        <w:rPr>
          <w:rFonts w:ascii="Courier New" w:hAnsi="Courier New" w:cs="Courier New"/>
          <w:color w:val="auto"/>
          <w:sz w:val="20"/>
          <w:szCs w:val="20"/>
        </w:rPr>
        <w:t>]:[</w:t>
      </w:r>
      <w:proofErr w:type="gramEnd"/>
      <w:r>
        <w:rPr>
          <w:rFonts w:ascii="Courier New" w:hAnsi="Courier New" w:cs="Courier New"/>
          <w:color w:val="auto"/>
          <w:sz w:val="20"/>
          <w:szCs w:val="20"/>
        </w:rPr>
        <w:t xml:space="preserv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1" w:name="_Ref427252564"/>
      <w:bookmarkStart w:id="122" w:name="_Toc429676517"/>
      <w:bookmarkStart w:id="123" w:name="_Toc441051483"/>
      <w:r>
        <w:lastRenderedPageBreak/>
        <w:t>Relationships to Other Externally-defined Data Models</w:t>
      </w:r>
      <w:bookmarkEnd w:id="121"/>
      <w:bookmarkEnd w:id="122"/>
      <w:bookmarkEnd w:id="123"/>
    </w:p>
    <w:p w14:paraId="766F7212" w14:textId="3C48A20E" w:rsidR="004C59FC" w:rsidRDefault="003965A0" w:rsidP="004C59FC">
      <w:pPr>
        <w:spacing w:after="240"/>
      </w:pPr>
      <w:proofErr w:type="spellStart"/>
      <w:r>
        <w:t>CybOX</w:t>
      </w:r>
      <w:proofErr w:type="spellEnd"/>
      <w:r>
        <w:t xml:space="preserve">™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proofErr w:type="spellStart"/>
        <w:r w:rsidR="003965A0">
          <w:rPr>
            <w:rStyle w:val="Hyperlink"/>
            <w:i/>
          </w:rPr>
          <w:t>CybOX</w:t>
        </w:r>
        <w:proofErr w:type="spellEnd"/>
        <w:r w:rsidR="003965A0">
          <w:rPr>
            <w:rStyle w:val="Hyperlink"/>
            <w:i/>
          </w:rPr>
          <w:t xml:space="preserve">™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4" w:name="_Toc421724802"/>
      <w:bookmarkStart w:id="125" w:name="_Toc429676520"/>
      <w:bookmarkStart w:id="126" w:name="_Toc441051484"/>
      <w:r>
        <w:t>Customer Information Quality (CIQ)</w:t>
      </w:r>
      <w:bookmarkEnd w:id="124"/>
      <w:bookmarkEnd w:id="125"/>
      <w:bookmarkEnd w:id="126"/>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proofErr w:type="spellStart"/>
      <w:r w:rsidR="00B15917">
        <w:t>CybOX</w:t>
      </w:r>
      <w:proofErr w:type="spellEnd"/>
      <w:r>
        <w:t xml:space="preserve"> Common </w:t>
      </w:r>
      <w:proofErr w:type="spellStart"/>
      <w:r w:rsidRPr="00F7544B">
        <w:rPr>
          <w:rFonts w:ascii="Courier New" w:hAnsi="Courier New" w:cs="Courier New"/>
        </w:rPr>
        <w:t>AddressAbstractType</w:t>
      </w:r>
      <w:proofErr w:type="spellEnd"/>
      <w:r>
        <w:t xml:space="preserve"> and </w:t>
      </w:r>
      <w:proofErr w:type="spellStart"/>
      <w:r w:rsidRPr="00F7544B">
        <w:rPr>
          <w:rFonts w:ascii="Courier New" w:hAnsi="Courier New" w:cs="Courier New"/>
        </w:rPr>
        <w:t>IdentityType</w:t>
      </w:r>
      <w:proofErr w:type="spellEnd"/>
      <w:r>
        <w:t xml:space="preserve"> classes, </w:t>
      </w:r>
      <w:proofErr w:type="spellStart"/>
      <w:r w:rsidR="003965A0">
        <w:t>CybOX</w:t>
      </w:r>
      <w:proofErr w:type="spellEnd"/>
      <w:r w:rsidR="003965A0">
        <w:t xml:space="preserve">™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7" w:name="_Toc441051485"/>
      <w:r>
        <w:t>Common Platform Enumeration (CPE)</w:t>
      </w:r>
      <w:bookmarkEnd w:id="127"/>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28" w:name="_Ref428537416"/>
      <w:bookmarkStart w:id="129" w:name="_Toc441051486"/>
      <w:r w:rsidRPr="00FD22AC">
        <w:lastRenderedPageBreak/>
        <w:t>Conformance</w:t>
      </w:r>
      <w:bookmarkEnd w:id="70"/>
      <w:bookmarkEnd w:id="128"/>
      <w:bookmarkEnd w:id="129"/>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0" w:name="_Toc85472897"/>
      <w:bookmarkStart w:id="131" w:name="_Toc287332012"/>
      <w:bookmarkStart w:id="132" w:name="_Toc441051487"/>
      <w:r>
        <w:lastRenderedPageBreak/>
        <w:t>Acknowl</w:t>
      </w:r>
      <w:r w:rsidR="004D0E5E">
        <w:t>e</w:t>
      </w:r>
      <w:r w:rsidR="008F61FB">
        <w:t>dg</w:t>
      </w:r>
      <w:r w:rsidR="0052099F">
        <w:t>ments</w:t>
      </w:r>
      <w:bookmarkEnd w:id="130"/>
      <w:bookmarkEnd w:id="131"/>
      <w:bookmarkEnd w:id="132"/>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proofErr w:type="spellStart"/>
      <w:r>
        <w:t>Liron</w:t>
      </w:r>
      <w:proofErr w:type="spellEnd"/>
      <w:r>
        <w:t xml:space="preserve"> Schiff, </w:t>
      </w:r>
      <w:proofErr w:type="spellStart"/>
      <w:r>
        <w:t>Comilion</w:t>
      </w:r>
      <w:proofErr w:type="spellEnd"/>
      <w:r>
        <w:t xml:space="preserve"> (mobile) Ltd.</w:t>
      </w:r>
    </w:p>
    <w:p w14:paraId="4C9B529F" w14:textId="77777777" w:rsidR="0085044C" w:rsidRDefault="0085044C" w:rsidP="0085044C">
      <w:pPr>
        <w:pStyle w:val="Contributor"/>
      </w:pPr>
      <w:r>
        <w:t xml:space="preserve">Jane </w:t>
      </w:r>
      <w:proofErr w:type="spellStart"/>
      <w:r>
        <w:t>Ginn</w:t>
      </w:r>
      <w:proofErr w:type="spellEnd"/>
      <w:r>
        <w:t>,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proofErr w:type="spellStart"/>
      <w:r>
        <w:t>Ryusuke</w:t>
      </w:r>
      <w:proofErr w:type="spellEnd"/>
      <w:r>
        <w:t xml:space="preserve"> </w:t>
      </w:r>
      <w:proofErr w:type="spellStart"/>
      <w:r>
        <w:t>Masuoka</w:t>
      </w:r>
      <w:proofErr w:type="spellEnd"/>
      <w:r>
        <w:t>,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 xml:space="preserve">Jason </w:t>
      </w:r>
      <w:proofErr w:type="spellStart"/>
      <w:r>
        <w:t>Keirstead</w:t>
      </w:r>
      <w:proofErr w:type="spellEnd"/>
      <w:r>
        <w:t>, IBM</w:t>
      </w:r>
    </w:p>
    <w:p w14:paraId="39EAA24D" w14:textId="77777777" w:rsidR="0085044C" w:rsidRDefault="0085044C" w:rsidP="0085044C">
      <w:pPr>
        <w:pStyle w:val="Contributor"/>
      </w:pPr>
      <w:r>
        <w:t xml:space="preserve">Paul Martini, </w:t>
      </w:r>
      <w:proofErr w:type="spellStart"/>
      <w:r>
        <w:t>iboss</w:t>
      </w:r>
      <w:proofErr w:type="spellEnd"/>
      <w:r>
        <w:t>, Inc.</w:t>
      </w:r>
    </w:p>
    <w:p w14:paraId="79612D53" w14:textId="77777777" w:rsidR="0085044C" w:rsidRDefault="0085044C" w:rsidP="0085044C">
      <w:pPr>
        <w:pStyle w:val="Contributor"/>
      </w:pPr>
      <w:r>
        <w:t xml:space="preserve">Jerome </w:t>
      </w:r>
      <w:proofErr w:type="spellStart"/>
      <w:r>
        <w:t>Athias</w:t>
      </w:r>
      <w:proofErr w:type="spellEnd"/>
      <w:r>
        <w:t>, Individual</w:t>
      </w:r>
    </w:p>
    <w:p w14:paraId="2014C2B0" w14:textId="77777777" w:rsidR="0085044C" w:rsidRDefault="0085044C" w:rsidP="0085044C">
      <w:pPr>
        <w:pStyle w:val="Contributor"/>
      </w:pPr>
      <w:proofErr w:type="spellStart"/>
      <w:r>
        <w:t>Sanjiv</w:t>
      </w:r>
      <w:proofErr w:type="spellEnd"/>
      <w:r>
        <w:t xml:space="preserve"> </w:t>
      </w:r>
      <w:proofErr w:type="spellStart"/>
      <w:r>
        <w:t>Kalkar</w:t>
      </w:r>
      <w:proofErr w:type="spellEnd"/>
      <w:r>
        <w:t>,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079E51" w14:textId="77777777" w:rsidR="0085044C" w:rsidRDefault="0085044C" w:rsidP="008504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15A34" w14:textId="77777777" w:rsidR="0085044C" w:rsidRDefault="0085044C" w:rsidP="008504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FE2907" w14:textId="77777777" w:rsidR="0085044C" w:rsidRDefault="0085044C" w:rsidP="008504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78A47E" w14:textId="77777777" w:rsidR="0085044C" w:rsidRDefault="0085044C" w:rsidP="008504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 xml:space="preserve">Takahiro </w:t>
      </w:r>
      <w:proofErr w:type="spellStart"/>
      <w:r>
        <w:t>Kakumaru</w:t>
      </w:r>
      <w:proofErr w:type="spellEnd"/>
      <w:r>
        <w:t>,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 xml:space="preserve">Igor </w:t>
      </w:r>
      <w:proofErr w:type="spellStart"/>
      <w:r>
        <w:t>Baikalov</w:t>
      </w:r>
      <w:proofErr w:type="spellEnd"/>
      <w:r>
        <w:t xml:space="preserve">, </w:t>
      </w:r>
      <w:proofErr w:type="spellStart"/>
      <w:r>
        <w:t>Securonix</w:t>
      </w:r>
      <w:proofErr w:type="spellEnd"/>
    </w:p>
    <w:p w14:paraId="32E5EF06" w14:textId="77777777" w:rsidR="0085044C" w:rsidRDefault="0085044C" w:rsidP="0085044C">
      <w:pPr>
        <w:pStyle w:val="Contributor"/>
      </w:pPr>
      <w:r>
        <w:t xml:space="preserve">Bernd </w:t>
      </w:r>
      <w:proofErr w:type="spellStart"/>
      <w:r>
        <w:t>Grobauer</w:t>
      </w:r>
      <w:proofErr w:type="spellEnd"/>
      <w:r>
        <w:t>,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3" w:name="_Toc85472898"/>
      <w:bookmarkStart w:id="134" w:name="_Toc287332014"/>
      <w:bookmarkStart w:id="135" w:name="_Toc441051488"/>
      <w:r>
        <w:lastRenderedPageBreak/>
        <w:t>Revision History</w:t>
      </w:r>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162523" w:rsidRDefault="00162523">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959C1" w14:textId="77777777" w:rsidR="00D648FE" w:rsidRDefault="00D648FE" w:rsidP="008C100C">
      <w:r>
        <w:separator/>
      </w:r>
    </w:p>
    <w:p w14:paraId="64151AF3" w14:textId="77777777" w:rsidR="00D648FE" w:rsidRDefault="00D648FE" w:rsidP="008C100C"/>
    <w:p w14:paraId="18B7D451" w14:textId="77777777" w:rsidR="00D648FE" w:rsidRDefault="00D648FE" w:rsidP="008C100C"/>
    <w:p w14:paraId="5F58DA73" w14:textId="77777777" w:rsidR="00D648FE" w:rsidRDefault="00D648FE" w:rsidP="008C100C"/>
    <w:p w14:paraId="6EC1625D" w14:textId="77777777" w:rsidR="00D648FE" w:rsidRDefault="00D648FE" w:rsidP="008C100C"/>
    <w:p w14:paraId="0BE77BE8" w14:textId="77777777" w:rsidR="00D648FE" w:rsidRDefault="00D648FE" w:rsidP="008C100C"/>
    <w:p w14:paraId="4A8918F8" w14:textId="77777777" w:rsidR="00D648FE" w:rsidRDefault="00D648FE" w:rsidP="008C100C"/>
  </w:endnote>
  <w:endnote w:type="continuationSeparator" w:id="0">
    <w:p w14:paraId="0F431951" w14:textId="77777777" w:rsidR="00D648FE" w:rsidRDefault="00D648FE" w:rsidP="008C100C">
      <w:r>
        <w:continuationSeparator/>
      </w:r>
    </w:p>
    <w:p w14:paraId="1C2EE815" w14:textId="77777777" w:rsidR="00D648FE" w:rsidRDefault="00D648FE" w:rsidP="008C100C"/>
    <w:p w14:paraId="4E8A352F" w14:textId="77777777" w:rsidR="00D648FE" w:rsidRDefault="00D648FE" w:rsidP="008C100C"/>
    <w:p w14:paraId="272737D3" w14:textId="77777777" w:rsidR="00D648FE" w:rsidRDefault="00D648FE" w:rsidP="008C100C"/>
    <w:p w14:paraId="269554C6" w14:textId="77777777" w:rsidR="00D648FE" w:rsidRDefault="00D648FE" w:rsidP="008C100C"/>
    <w:p w14:paraId="49E1EF78" w14:textId="77777777" w:rsidR="00D648FE" w:rsidRDefault="00D648FE" w:rsidP="008C100C"/>
    <w:p w14:paraId="7BACA9A1" w14:textId="77777777" w:rsidR="00D648FE" w:rsidRDefault="00D648F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162523" w:rsidRPr="00195F88" w:rsidRDefault="0016252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162523" w:rsidRPr="00195F88" w:rsidRDefault="0016252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965A0">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965A0">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EF40C" w14:textId="77777777" w:rsidR="00D648FE" w:rsidRDefault="00D648FE" w:rsidP="008C100C">
      <w:r>
        <w:separator/>
      </w:r>
    </w:p>
    <w:p w14:paraId="5C655A15" w14:textId="77777777" w:rsidR="00D648FE" w:rsidRDefault="00D648FE" w:rsidP="008C100C"/>
  </w:footnote>
  <w:footnote w:type="continuationSeparator" w:id="0">
    <w:p w14:paraId="5683069B" w14:textId="77777777" w:rsidR="00D648FE" w:rsidRDefault="00D648FE" w:rsidP="008C100C">
      <w:r>
        <w:continuationSeparator/>
      </w:r>
    </w:p>
    <w:p w14:paraId="7BA15B78" w14:textId="77777777" w:rsidR="00D648FE" w:rsidRDefault="00D648FE"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9034C"/>
    <w:rsid w:val="00E947B6"/>
    <w:rsid w:val="00E977AD"/>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4" Type="http://schemas.openxmlformats.org/officeDocument/2006/relationships/hyperlink" Target="http://www.mitre.org/" TargetMode="External"/><Relationship Id="rId15" Type="http://schemas.openxmlformats.org/officeDocument/2006/relationships/hyperlink" Target="mailto:rpiazza@mitre.org" TargetMode="External"/><Relationship Id="rId16" Type="http://schemas.openxmlformats.org/officeDocument/2006/relationships/hyperlink" Target="http://www.mitre.org/" TargetMode="External"/><Relationship Id="rId17" Type="http://schemas.openxmlformats.org/officeDocument/2006/relationships/hyperlink" Target="mailto:dbeck@mitre.org" TargetMode="External"/><Relationship Id="rId18" Type="http://schemas.openxmlformats.org/officeDocument/2006/relationships/hyperlink" Target="http://www.mitre.org/" TargetMode="External"/><Relationship Id="rId19" Type="http://schemas.openxmlformats.org/officeDocument/2006/relationships/comments" Target="comments.xml"/><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fontTable" Target="fontTable.xml"/><Relationship Id="rId55" Type="http://schemas.microsoft.com/office/2011/relationships/people" Target="people.xml"/><Relationship Id="rId56" Type="http://schemas.openxmlformats.org/officeDocument/2006/relationships/theme" Target="theme/theme1.xml"/><Relationship Id="rId40" Type="http://schemas.openxmlformats.org/officeDocument/2006/relationships/hyperlink" Target="http://www.w3.org/TR/xmlschema-2" TargetMode="External"/><Relationship Id="rId41" Type="http://schemas.openxmlformats.org/officeDocument/2006/relationships/hyperlink" Target="http://capec.mitre.org/" TargetMode="External"/><Relationship Id="rId42" Type="http://schemas.openxmlformats.org/officeDocument/2006/relationships/hyperlink" Target="http://cee.mitre.org" TargetMode="External"/><Relationship Id="rId43" Type="http://schemas.openxmlformats.org/officeDocument/2006/relationships/hyperlink" Target="http://cve.mitre.org" TargetMode="External"/><Relationship Id="rId44" Type="http://schemas.openxmlformats.org/officeDocument/2006/relationships/hyperlink" Target="http://cwe.mitre.org" TargetMode="External"/><Relationship Id="rId45" Type="http://schemas.openxmlformats.org/officeDocument/2006/relationships/hyperlink" Target="http://www.iso.org/iso/home/standards/iso8601.htm" TargetMode="External"/><Relationship Id="rId46" Type="http://schemas.openxmlformats.org/officeDocument/2006/relationships/hyperlink" Target="https://www.ietf.org/rfc/rfc3986.txt" TargetMode="External"/><Relationship Id="rId47" Type="http://schemas.openxmlformats.org/officeDocument/2006/relationships/hyperlink" Target="http://www.ietf.org/rfc/rfc5646.txt" TargetMode="External"/><Relationship Id="rId48" Type="http://schemas.openxmlformats.org/officeDocument/2006/relationships/hyperlink" Target="http://www.w3.org/TR/REC-xml-names" TargetMode="External"/><Relationship Id="rId49" Type="http://schemas.openxmlformats.org/officeDocument/2006/relationships/hyperlink" Target="http://www.omg.org/spec/UML/2.4.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oleObject" Target="embeddings/oleObject2.bin"/><Relationship Id="rId33" Type="http://schemas.openxmlformats.org/officeDocument/2006/relationships/image" Target="media/image5.png"/><Relationship Id="rId34" Type="http://schemas.openxmlformats.org/officeDocument/2006/relationships/oleObject" Target="embeddings/oleObject3.bin"/><Relationship Id="rId35" Type="http://schemas.openxmlformats.org/officeDocument/2006/relationships/image" Target="media/image6.png"/><Relationship Id="rId36" Type="http://schemas.openxmlformats.org/officeDocument/2006/relationships/oleObject" Target="embeddings/oleObject4.bin"/><Relationship Id="rId37" Type="http://schemas.openxmlformats.org/officeDocument/2006/relationships/hyperlink" Target="http://www.ietf.org/rfc/rfc2119.txt" TargetMode="External"/><Relationship Id="rId38" Type="http://schemas.openxmlformats.org/officeDocument/2006/relationships/hyperlink" Target="http://cpe.mitre.org" TargetMode="External"/><Relationship Id="rId39" Type="http://schemas.openxmlformats.org/officeDocument/2006/relationships/hyperlink" Target="http://docs.oasis-open.org/ciq/v3.0/specs/ciq-specs-v3.html" TargetMode="External"/><Relationship Id="rId20" Type="http://schemas.microsoft.com/office/2011/relationships/commentsExtended" Target="commentsExtended.xm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tc-process" TargetMode="Externa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gif"/><Relationship Id="rId27" Type="http://schemas.openxmlformats.org/officeDocument/2006/relationships/image" Target="cid:image003.gif@01D05428.2B30AE20" TargetMode="External"/><Relationship Id="rId28" Type="http://schemas.openxmlformats.org/officeDocument/2006/relationships/image" Target="media/image2.png"/><Relationship Id="rId29" Type="http://schemas.openxmlformats.org/officeDocument/2006/relationships/oleObject" Target="embeddings/oleObject1.bin"/><Relationship Id="rId10" Type="http://schemas.openxmlformats.org/officeDocument/2006/relationships/hyperlink" Target="http://www.dhs.gov/office-cybersecurity-and-communications" TargetMode="External"/><Relationship Id="rId11" Type="http://schemas.openxmlformats.org/officeDocument/2006/relationships/hyperlink" Target="mailto:trey@soltra.com" TargetMode="External"/><Relationship Id="rId12" Type="http://schemas.openxmlformats.org/officeDocument/2006/relationships/hyperlink" Target="http://www.soltr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4C8D0-EFFB-5F40-813C-048FF636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192</TotalTime>
  <Pages>22</Pages>
  <Words>6872</Words>
  <Characters>39177</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45958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Kirillov, Ivan A.</cp:lastModifiedBy>
  <cp:revision>87</cp:revision>
  <cp:lastPrinted>2011-08-05T16:21:00Z</cp:lastPrinted>
  <dcterms:created xsi:type="dcterms:W3CDTF">2015-08-27T22:11:00Z</dcterms:created>
  <dcterms:modified xsi:type="dcterms:W3CDTF">2016-02-22T20:59:00Z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