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b/>
          <w:bCs/>
          <w:sz w:val="56"/>
          <w:szCs w:val="56"/>
        </w:rPr>
        <w:t xml:space="preserve">Global Rate Limiter as a Service</w:t>
      </w:r>
    </w:p>
    <w:p>
      <w:pPr>
        <w:spacing w:after="400"/>
      </w:pPr>
      <w:r>
        <w:rPr>
          <w:color w:val="555555"/>
          <w:sz w:val="30"/>
          <w:szCs w:val="30"/>
        </w:rPr>
        <w:t xml:space="preserve">Architecture &amp; Design Decisions Documentation</w:t>
      </w:r>
    </w:p>
    <w:p>
      <w:pPr>
        <w:spacing w:after="120"/>
      </w:pPr>
      <w:r>
        <w:t xml:space="preserve">This document records the full system design and the reasoning behind every technology and architecture choice, so each decision can be defended on its own merits rather than taken as a default.</w:t>
      </w:r>
    </w:p>
    <w:p>
      <w:r>
        <w:br w:type="page"/>
      </w:r>
    </w:p>
    <w:p>
      <w:pPr>
        <w:pStyle w:val="Heading1"/>
        <w:spacing w:after="150" w:before="300"/>
      </w:pPr>
      <w:r>
        <w:t xml:space="preserve">1. Overview</w:t>
      </w:r>
    </w:p>
    <w:p>
      <w:pPr>
        <w:pStyle w:val="Heading2"/>
        <w:spacing w:after="120" w:before="240"/>
      </w:pPr>
      <w:r>
        <w:t xml:space="preserve">1.1 Context</w:t>
      </w:r>
    </w:p>
    <w:p>
      <w:pPr>
        <w:spacing w:after="120"/>
      </w:pPr>
      <w:r>
        <w:t xml:space="preserve">The organization depends on hundreds of external APIs (banking services, logistics providers, AI models) with strict usage quotas tied directly to pricing and availability. Each microservice currently manages its own rate limiting internally, so when multiple instances of the same service run concurrently, each instance assumes it owns the full quota. This causes frequent 429 (Too Many Requests) errors and avoidable financial penalties.</w:t>
      </w:r>
    </w:p>
    <w:p>
      <w:pPr>
        <w:pStyle w:val="Heading2"/>
        <w:spacing w:after="120" w:before="240"/>
      </w:pPr>
      <w:r>
        <w:t xml:space="preserve">1.2 Goal</w:t>
      </w:r>
    </w:p>
    <w:p>
      <w:pPr>
        <w:spacing w:after="120"/>
      </w:pPr>
      <w:r>
        <w:t xml:space="preserve">Design and implement a High Availability (HA) service that centrally limits the number of requests sent to third-party APIs, giving every instance of every microservice an accurate, shared view of remaining quota per client.</w:t>
      </w:r>
    </w:p>
    <w:p>
      <w:pPr>
        <w:pStyle w:val="Heading2"/>
        <w:spacing w:after="120" w:before="240"/>
      </w:pPr>
      <w:r>
        <w:t xml:space="preserve">1.3 Requirements Addressed</w:t>
      </w:r>
    </w:p>
    <w:p>
      <w:pPr>
        <w:pStyle w:val="ListParagraph"/>
        <w:numPr>
          <w:ilvl w:val="0"/>
          <w:numId w:val="1"/>
        </w:numPr>
        <w:spacing w:after="60"/>
      </w:pPr>
      <w:r>
        <w:t xml:space="preserve">Per-client configurable limits (e.g. Client A: 100 req/min, Client B: 5000 req/min).</w:t>
      </w:r>
    </w:p>
    <w:p>
      <w:pPr>
        <w:pStyle w:val="ListParagraph"/>
        <w:numPr>
          <w:ilvl w:val="0"/>
          <w:numId w:val="1"/>
        </w:numPr>
        <w:spacing w:after="60"/>
      </w:pPr>
      <w:r>
        <w:t xml:space="preserve">Cluster-accurate checks: correctness must not depend on which service instance handles a request.</w:t>
      </w:r>
    </w:p>
    <w:p>
      <w:pPr>
        <w:pStyle w:val="ListParagraph"/>
        <w:numPr>
          <w:ilvl w:val="0"/>
          <w:numId w:val="1"/>
        </w:numPr>
        <w:spacing w:after="60"/>
      </w:pPr>
      <w:r>
        <w:t xml:space="preserve">Sub-few-millisecond latency on the rate-limit check itself.</w:t>
      </w:r>
    </w:p>
    <w:p>
      <w:pPr>
        <w:pStyle w:val="ListParagraph"/>
        <w:numPr>
          <w:ilvl w:val="0"/>
          <w:numId w:val="1"/>
        </w:numPr>
        <w:spacing w:after="60"/>
      </w:pPr>
      <w:r>
        <w:t xml:space="preserve">Fail-safe behavior: a database/cache outage must not block all traffic.</w:t>
      </w:r>
    </w:p>
    <w:p>
      <w:pPr>
        <w:pStyle w:val="ListParagraph"/>
        <w:numPr>
          <w:ilvl w:val="0"/>
          <w:numId w:val="1"/>
        </w:numPr>
        <w:spacing w:after="60"/>
      </w:pPr>
      <w:r>
        <w:t xml:space="preserve">Every approved request logged for analytics and billing, without slowing the hot path.</w:t>
      </w:r>
    </w:p>
    <w:p>
      <w:pPr>
        <w:pStyle w:val="ListParagraph"/>
        <w:numPr>
          <w:ilvl w:val="0"/>
          <w:numId w:val="1"/>
        </w:numPr>
        <w:spacing w:after="60"/>
      </w:pPr>
      <w:r>
        <w:t xml:space="preserve">A dashboard with real-time usage, complex filters, and trend graphs (10/15/30-day windows).</w:t>
      </w:r>
    </w:p>
    <w:p>
      <w:pPr>
        <w:pStyle w:val="Heading1"/>
        <w:spacing w:after="150" w:before="300"/>
      </w:pPr>
      <w:r>
        <w:t xml:space="preserve">2. Architecture Summary</w:t>
      </w:r>
    </w:p>
    <w:p>
      <w:pPr>
        <w:spacing w:after="120"/>
      </w:pPr>
      <w:r>
        <w:t xml:space="preserve">The system is split into two independently deployable Go services plus supporting infrastructure, so that the latency-critical rate-check path is physically isolated from admin and analytics workloads.</w:t>
      </w:r>
    </w:p>
    <w:p>
      <w:pPr>
        <w:pStyle w:val="Heading2"/>
        <w:spacing w:after="120" w:before="240"/>
      </w:pPr>
      <w:r>
        <w:t xml:space="preserve">2.1 Components</w:t>
      </w:r>
    </w:p>
    <w:p>
      <w:pPr>
        <w:pStyle w:val="ListParagraph"/>
        <w:numPr>
          <w:ilvl w:val="0"/>
          <w:numId w:val="1"/>
        </w:numPr>
        <w:spacing w:after="60"/>
      </w:pPr>
      <w:r>
        <w:t xml:space="preserve">nginx — load balancer, round-robin, no sticky sessions, front of the rate-limiter cluster.</w:t>
      </w:r>
    </w:p>
    <w:p>
      <w:pPr>
        <w:pStyle w:val="ListParagraph"/>
        <w:numPr>
          <w:ilvl w:val="0"/>
          <w:numId w:val="1"/>
        </w:numPr>
        <w:spacing w:after="60"/>
      </w:pPr>
      <w:r>
        <w:t xml:space="preserve">rate-limiter service (×3 replicas) — exposes /check, talks only to Redis.</w:t>
      </w:r>
    </w:p>
    <w:p>
      <w:pPr>
        <w:pStyle w:val="ListParagraph"/>
        <w:numPr>
          <w:ilvl w:val="0"/>
          <w:numId w:val="1"/>
        </w:numPr>
        <w:spacing w:after="60"/>
      </w:pPr>
      <w:r>
        <w:t xml:space="preserve">control-plane service — exposes /admin (limit management) and hosts the background Redis Streams consumer that writes into TimescaleDB. Grafana reads business data directly from TimescaleDB.</w:t>
      </w:r>
    </w:p>
    <w:p>
      <w:pPr>
        <w:pStyle w:val="ListParagraph"/>
        <w:numPr>
          <w:ilvl w:val="0"/>
          <w:numId w:val="1"/>
        </w:numPr>
        <w:spacing w:after="60"/>
      </w:pPr>
      <w:r>
        <w:t xml:space="preserve">Redis (Sentinel: 1 master, 1 replica, 3 sentinels) — GCRA rate-limit state, per-client limit config, API-key lookup, and the Streams transport for approved-request events.</w:t>
      </w:r>
    </w:p>
    <w:p>
      <w:pPr>
        <w:pStyle w:val="ListParagraph"/>
        <w:numPr>
          <w:ilvl w:val="0"/>
          <w:numId w:val="1"/>
        </w:numPr>
        <w:spacing w:after="60"/>
      </w:pPr>
      <w:r>
        <w:t xml:space="preserve">TimescaleDB — durable store for analytics/billing data, queried by Grafana for trend graphs and filters.</w:t>
      </w:r>
    </w:p>
    <w:p>
      <w:pPr>
        <w:pStyle w:val="ListParagraph"/>
        <w:numPr>
          <w:ilvl w:val="0"/>
          <w:numId w:val="1"/>
        </w:numPr>
        <w:spacing w:after="60"/>
      </w:pPr>
      <w:r>
        <w:t xml:space="preserve">Prometheus — scrapes operational metrics (latency, circuit-breaker state) from both Go services.</w:t>
      </w:r>
    </w:p>
    <w:p>
      <w:pPr>
        <w:pStyle w:val="ListParagraph"/>
        <w:numPr>
          <w:ilvl w:val="0"/>
          <w:numId w:val="1"/>
        </w:numPr>
        <w:spacing w:after="60"/>
      </w:pPr>
      <w:r>
        <w:t xml:space="preserve">Grafana — two panel sets: business usage dashboard (from TimescaleDB) and operational dashboard (from Prometheus).</w:t>
      </w:r>
    </w:p>
    <w:p>
      <w:pPr>
        <w:pStyle w:val="ListParagraph"/>
        <w:numPr>
          <w:ilvl w:val="0"/>
          <w:numId w:val="1"/>
        </w:numPr>
        <w:spacing w:after="60"/>
      </w:pPr>
      <w:r>
        <w:t xml:space="preserve">k6 — load, correctness-under-load, and automated chaos (Redis-kill) test scenarios, run via a separate Docker Compose test overlay.</w:t>
      </w:r>
    </w:p>
    <w:p>
      <w:pPr>
        <w:spacing w:after="120"/>
      </w:pPr>
      <w:r>
        <w:t xml:space="preserve">See the accompanying Excalidraw-generated architecture diagram (PNG) for the full component and data-flow map.</w:t>
      </w:r>
    </w:p>
    <w:p>
      <w:r>
        <w:br w:type="page"/>
      </w:r>
    </w:p>
    <w:p>
      <w:pPr>
        <w:pStyle w:val="Heading1"/>
        <w:spacing w:after="150" w:before="300"/>
      </w:pPr>
      <w:r>
        <w:t xml:space="preserve">3. Technology &amp; Design Decision Log</w:t>
      </w:r>
    </w:p>
    <w:p>
      <w:pPr>
        <w:spacing w:after="120"/>
      </w:pPr>
      <w:r>
        <w:t xml:space="preserve">Each row summarizes a decision made during design, the alternatives considered, and why the chosen option best fits this system's specific requirements — not just general best practice.</w:t>
      </w:r>
    </w:p>
    <w:p>
      <w:pPr>
        <w:pStyle w:val="Heading2"/>
        <w:spacing w:after="120" w:before="240"/>
      </w:pPr>
      <w:r>
        <w:t xml:space="preserve">3.1 Core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560"/>
      </w:tblGrid>
      <w:tr>
        <w:trPr>
          <w:tblHeader/>
        </w:trPr>
        <w:tc>
          <w:tcPr>
            <w:tcW w:type="dxa" w:w="2200"/>
            <w:shd w:fill="2F5496" w:val="clear"/>
          </w:tcPr>
          <w:p>
            <w:r>
              <w:rPr>
                <w:b/>
                <w:bCs/>
                <w:color w:val="FFFFFF"/>
              </w:rPr>
              <w:t xml:space="preserve">Area</w:t>
            </w:r>
          </w:p>
        </w:tc>
        <w:tc>
          <w:tcPr>
            <w:tcW w:type="dxa" w:w="2600"/>
            <w:shd w:fill="2F5496" w:val="clear"/>
          </w:tcPr>
          <w:p>
            <w:r>
              <w:rPr>
                <w:b/>
                <w:bCs/>
                <w:color w:val="FFFFFF"/>
              </w:rPr>
              <w:t xml:space="preserve">Decision</w:t>
            </w:r>
          </w:p>
        </w:tc>
        <w:tc>
          <w:tcPr>
            <w:tcW w:type="dxa" w:w="4560"/>
            <w:shd w:fill="2F5496" w:val="clear"/>
          </w:tcPr>
          <w:p>
            <w:r>
              <w:rPr>
                <w:b/>
                <w:bCs/>
                <w:color w:val="FFFFFF"/>
              </w:rPr>
              <w:t xml:space="preserve">Rationale</w:t>
            </w:r>
          </w:p>
        </w:tc>
      </w:tr>
      <w:tr>
        <w:tc>
          <w:tcPr>
            <w:tcW w:type="dxa" w:w="2200"/>
          </w:tcPr>
          <w:p>
            <w:r>
              <w:t xml:space="preserve">Language</w:t>
            </w:r>
          </w:p>
        </w:tc>
        <w:tc>
          <w:tcPr>
            <w:tcW w:type="dxa" w:w="2600"/>
          </w:tcPr>
          <w:p>
            <w:r>
              <w:t xml:space="preserve">Go</w:t>
            </w:r>
          </w:p>
        </w:tc>
        <w:tc>
          <w:tcPr>
            <w:tcW w:type="dxa" w:w="4560"/>
          </w:tcPr>
          <w:p>
            <w:r>
              <w:t xml:space="preserve">Concurrency model (goroutines) suits a sub-millisecond, high-throughput check path without GC-pause risk of JVM langs or GIL contention in Python. Built-in race detector (-race) directly supports the required race-condition unit tests. Compiles to a single static binary, keeping Docker images small and startup simple.</w:t>
            </w:r>
          </w:p>
        </w:tc>
      </w:tr>
      <w:tr>
        <w:tc>
          <w:tcPr>
            <w:tcW w:type="dxa" w:w="2200"/>
          </w:tcPr>
          <w:p>
            <w:r>
              <w:t xml:space="preserve">Go vs Rust</w:t>
            </w:r>
          </w:p>
        </w:tc>
        <w:tc>
          <w:tcPr>
            <w:tcW w:type="dxa" w:w="2600"/>
          </w:tcPr>
          <w:p>
            <w:r>
              <w:t xml:space="preserve">Go chosen over Rust</w:t>
            </w:r>
          </w:p>
        </w:tc>
        <w:tc>
          <w:tcPr>
            <w:tcW w:type="dxa" w:w="4560"/>
          </w:tcPr>
          <w:p>
            <w:r>
              <w:t xml:space="preserve">The hard problem here is distributed correctness across cluster instances (solved via an atomic Redis/Lua operation), not local memory safety — an area where Rust's borrow checker offers no advantage, since it cannot prevent a race between two separate processes reading/writing the same Redis key. Rust's zero-GC-pause property is a real edge for extreme tail latency, but this is a broad, time-boxed deliverable (dashboard, chaos tests, Docker, docs) where Go's faster iteration loop reduces delivery risk without sacrificing the actual correctness guarantee needed.</w:t>
            </w:r>
          </w:p>
        </w:tc>
      </w:tr>
      <w:tr>
        <w:tc>
          <w:tcPr>
            <w:tcW w:type="dxa" w:w="2200"/>
          </w:tcPr>
          <w:p>
            <w:r>
              <w:t xml:space="preserve">Rate-limiting algorithm</w:t>
            </w:r>
          </w:p>
        </w:tc>
        <w:tc>
          <w:tcPr>
            <w:tcW w:type="dxa" w:w="2600"/>
          </w:tcPr>
          <w:p>
            <w:r>
              <w:t xml:space="preserve">GCRA (Generic Cell Rate Algorithm), atomic Lua script in Redis</w:t>
            </w:r>
          </w:p>
        </w:tc>
        <w:tc>
          <w:tcPr>
            <w:tcW w:type="dxa" w:w="4560"/>
          </w:tcPr>
          <w:p>
            <w:r>
              <w:t xml:space="preserve">Fixed-window counters allow boundary bursts of up to 2x the limit — unacceptable given the brief's own framing around financial penalties from over-quota bursts. Sliding-window logs are accurate but store a timestamp per request, expensive at 5000 req/min. GCRA gives O(1) memory per client (a single theoretical-arrival-time value), a single atomic Redis round trip (solving the cluster-accuracy requirement), and configurable burst tolerance per client (solving the per-client-limits requirement) — all three hard requirements from one mechanism.</w:t>
            </w:r>
          </w:p>
        </w:tc>
      </w:tr>
    </w:tbl>
    <w:p>
      <w:pPr>
        <w:pStyle w:val="Heading2"/>
        <w:spacing w:after="120" w:before="240"/>
      </w:pPr>
      <w:r>
        <w:t xml:space="preserve">3.2 Data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900"/>
        <w:gridCol w:w="4260"/>
      </w:tblGrid>
      <w:tr>
        <w:trPr>
          <w:tblHeader/>
        </w:trPr>
        <w:tc>
          <w:tcPr>
            <w:tcW w:type="dxa" w:w="2200"/>
            <w:shd w:fill="2F5496" w:val="clear"/>
          </w:tcPr>
          <w:p>
            <w:r>
              <w:rPr>
                <w:b/>
                <w:bCs/>
                <w:color w:val="FFFFFF"/>
              </w:rPr>
              <w:t xml:space="preserve">Area</w:t>
            </w:r>
          </w:p>
        </w:tc>
        <w:tc>
          <w:tcPr>
            <w:tcW w:type="dxa" w:w="2900"/>
            <w:shd w:fill="2F5496" w:val="clear"/>
          </w:tcPr>
          <w:p>
            <w:r>
              <w:rPr>
                <w:b/>
                <w:bCs/>
                <w:color w:val="FFFFFF"/>
              </w:rPr>
              <w:t xml:space="preserve">Decision</w:t>
            </w:r>
          </w:p>
        </w:tc>
        <w:tc>
          <w:tcPr>
            <w:tcW w:type="dxa" w:w="4260"/>
            <w:shd w:fill="2F5496" w:val="clear"/>
          </w:tcPr>
          <w:p>
            <w:r>
              <w:rPr>
                <w:b/>
                <w:bCs/>
                <w:color w:val="FFFFFF"/>
              </w:rPr>
              <w:t xml:space="preserve">Rationale</w:t>
            </w:r>
          </w:p>
        </w:tc>
      </w:tr>
      <w:tr>
        <w:tc>
          <w:tcPr>
            <w:tcW w:type="dxa" w:w="2200"/>
          </w:tcPr>
          <w:p>
            <w:r>
              <w:t xml:space="preserve">Rate-limit / config store</w:t>
            </w:r>
          </w:p>
        </w:tc>
        <w:tc>
          <w:tcPr>
            <w:tcW w:type="dxa" w:w="2900"/>
          </w:tcPr>
          <w:p>
            <w:r>
              <w:t xml:space="preserve">Redis, Sentinel topology (1 master, 1 replica, 3 sentinels)</w:t>
            </w:r>
          </w:p>
        </w:tc>
        <w:tc>
          <w:tcPr>
            <w:tcW w:type="dxa" w:w="4260"/>
          </w:tcPr>
          <w:p>
            <w:r>
              <w:t xml:space="preserve">Redis's atomic EVAL is what makes GCRA's cluster-wide correctness possible in a single round trip. A single Redis instance would be a single point of failure, contradicting the HA requirement in the brief's own title. Sentinel provides automated failover; 3 sentinels (rather than 1) give genuine quorum-based failover decisions rather than a single node's unverified opinion — meaningful specifically because the design includes an automated chaos test that kills the Redis primary mid-load-test, which only proves real resilience if failover itself is quorum-backed.</w:t>
            </w:r>
          </w:p>
        </w:tc>
      </w:tr>
      <w:tr>
        <w:tc>
          <w:tcPr>
            <w:tcW w:type="dxa" w:w="2200"/>
          </w:tcPr>
          <w:p>
            <w:r>
              <w:t xml:space="preserve">Per-client limit config storage</w:t>
            </w:r>
          </w:p>
        </w:tc>
        <w:tc>
          <w:tcPr>
            <w:tcW w:type="dxa" w:w="2900"/>
          </w:tcPr>
          <w:p>
            <w:r>
              <w:t xml:space="preserve">Stored in Redis (client_limits:{id}, api_keys:{key} → client_id)</w:t>
            </w:r>
          </w:p>
        </w:tc>
        <w:tc>
          <w:tcPr>
            <w:tcW w:type="dxa" w:w="4260"/>
          </w:tcPr>
          <w:p>
            <w:r>
              <w:t xml:space="preserve">Keeps a single source of truth: the same store already governs GCRA state, so an admin write via PUT /admin/clients/{id}/limits is instantly visible to all rate-limiter replicas on their very next check — no config file, no cache invalidation, no redeploy, no second system to keep in sync.</w:t>
            </w:r>
          </w:p>
        </w:tc>
      </w:tr>
      <w:tr>
        <w:tc>
          <w:tcPr>
            <w:tcW w:type="dxa" w:w="2200"/>
          </w:tcPr>
          <w:p>
            <w:r>
              <w:t xml:space="preserve">Analytics/billing transport</w:t>
            </w:r>
          </w:p>
        </w:tc>
        <w:tc>
          <w:tcPr>
            <w:tcW w:type="dxa" w:w="2900"/>
          </w:tcPr>
          <w:p>
            <w:r>
              <w:t xml:space="preserve">Redis Streams (approved-request events)</w:t>
            </w:r>
          </w:p>
        </w:tc>
        <w:tc>
          <w:tcPr>
            <w:tcW w:type="dxa" w:w="4260"/>
          </w:tcPr>
          <w:p>
            <w:r>
              <w:t xml:space="preserve">Adds zero new infrastructure (Redis is already running for GCRA), while fully decoupling the billing/analytics write from the latency-critical check path. A background consumer in the control-plane service drains the stream asynchronously, so logging can never slow down /check.</w:t>
            </w:r>
          </w:p>
        </w:tc>
      </w:tr>
      <w:tr>
        <w:tc>
          <w:tcPr>
            <w:tcW w:type="dxa" w:w="2200"/>
          </w:tcPr>
          <w:p>
            <w:r>
              <w:t xml:space="preserve">Analytics/billing store</w:t>
            </w:r>
          </w:p>
        </w:tc>
        <w:tc>
          <w:tcPr>
            <w:tcW w:type="dxa" w:w="2900"/>
          </w:tcPr>
          <w:p>
            <w:r>
              <w:t xml:space="preserve">TimescaleDB (Postgres + time-series extension)</w:t>
            </w:r>
          </w:p>
        </w:tc>
        <w:tc>
          <w:tcPr>
            <w:tcW w:type="dxa" w:w="4260"/>
          </w:tcPr>
          <w:p>
            <w:r>
              <w:t xml:space="preserve">The dashboard's actual requirement — trend graphs and aggregations (e.g. average response time) over rolling 10/15/30-day windows with filters — is a time-bucketed query pattern that Redis is not built for. TimescaleDB provides this via continuous aggregates on top of familiar SQL, avoiding hand-rolled rollup logic while still directly answering the dashboard's filtering requirement.</w:t>
            </w:r>
          </w:p>
        </w:tc>
      </w:tr>
    </w:tbl>
    <w:p>
      <w:r>
        <w:br w:type="page"/>
      </w:r>
    </w:p>
    <w:p>
      <w:pPr>
        <w:pStyle w:val="Heading2"/>
        <w:spacing w:after="120" w:before="240"/>
      </w:pPr>
      <w:r>
        <w:t xml:space="preserve">3.3 Resilience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760"/>
      </w:tblGrid>
      <w:tr>
        <w:trPr>
          <w:tblHeader/>
        </w:trPr>
        <w:tc>
          <w:tcPr>
            <w:tcW w:type="dxa" w:w="2200"/>
            <w:shd w:fill="2F5496" w:val="clear"/>
          </w:tcPr>
          <w:p>
            <w:r>
              <w:rPr>
                <w:b/>
                <w:bCs/>
                <w:color w:val="FFFFFF"/>
              </w:rPr>
              <w:t xml:space="preserve">Area</w:t>
            </w:r>
          </w:p>
        </w:tc>
        <w:tc>
          <w:tcPr>
            <w:tcW w:type="dxa" w:w="3400"/>
            <w:shd w:fill="2F5496" w:val="clear"/>
          </w:tcPr>
          <w:p>
            <w:r>
              <w:rPr>
                <w:b/>
                <w:bCs/>
                <w:color w:val="FFFFFF"/>
              </w:rPr>
              <w:t xml:space="preserve">Decision</w:t>
            </w:r>
          </w:p>
        </w:tc>
        <w:tc>
          <w:tcPr>
            <w:tcW w:type="dxa" w:w="3760"/>
            <w:shd w:fill="2F5496" w:val="clear"/>
          </w:tcPr>
          <w:p>
            <w:r>
              <w:rPr>
                <w:b/>
                <w:bCs/>
                <w:color w:val="FFFFFF"/>
              </w:rPr>
              <w:t xml:space="preserve">Rationale</w:t>
            </w:r>
          </w:p>
        </w:tc>
      </w:tr>
      <w:tr>
        <w:tc>
          <w:tcPr>
            <w:tcW w:type="dxa" w:w="2200"/>
          </w:tcPr>
          <w:p>
            <w:r>
              <w:t xml:space="preserve">Fail-safe strategy</w:t>
            </w:r>
          </w:p>
        </w:tc>
        <w:tc>
          <w:tcPr>
            <w:tcW w:type="dxa" w:w="3400"/>
          </w:tcPr>
          <w:p>
            <w:r>
              <w:t xml:space="preserve">Fail-open with a local, in-memory circuit-breaker fallback per instance</w:t>
            </w:r>
          </w:p>
        </w:tc>
        <w:tc>
          <w:tcPr>
            <w:tcW w:type="dxa" w:w="3760"/>
          </w:tcPr>
          <w:p>
            <w:r>
              <w:t xml:space="preserve">The requirement is explicit: a database/cache outage must not block all traffic. Plain fail-open satisfies the literal requirement but loses all rate limiting during an outage — the exact over-quota / financial-penalty scenario the brief opens with. A local, per-instance token-bucket fallback (consulted only once Redis is confirmed unreachable via a circuit breaker) keeps limiting active in a degraded, best-effort mode rather than disabling it entirely, and is surfaced to callers via an X-RateLimit-Degraded response header so the degraded state is observable, not silent.</w:t>
            </w:r>
          </w:p>
        </w:tc>
      </w:tr>
      <w:tr>
        <w:tc>
          <w:tcPr>
            <w:tcW w:type="dxa" w:w="2200"/>
          </w:tcPr>
          <w:p>
            <w:r>
              <w:t xml:space="preserve">Sentinel-aware client connection</w:t>
            </w:r>
          </w:p>
        </w:tc>
        <w:tc>
          <w:tcPr>
            <w:tcW w:type="dxa" w:w="3400"/>
          </w:tcPr>
          <w:p>
            <w:r>
              <w:t xml:space="preserve">Sentinel-aware Redis client (e.g. go-redis NewFailoverClient)</w:t>
            </w:r>
          </w:p>
        </w:tc>
        <w:tc>
          <w:tcPr>
            <w:tcW w:type="dxa" w:w="3760"/>
          </w:tcPr>
          <w:p>
            <w:r>
              <w:t xml:space="preserve">Connecting directly to a fixed master hostname defeats the purpose of Sentinel: after a failover, that hostname would point at a dead node. A Sentinel-aware client asks the sentinels for the current primary and reconnects automatically on failover, which is the piece of application code that actually makes the 3-sentinel decision meaningful rather than cosmetic.</w:t>
            </w:r>
          </w:p>
        </w:tc>
      </w:tr>
      <w:tr>
        <w:tc>
          <w:tcPr>
            <w:tcW w:type="dxa" w:w="2200"/>
          </w:tcPr>
          <w:p>
            <w:r>
              <w:t xml:space="preserve">Startup ordering</w:t>
            </w:r>
          </w:p>
        </w:tc>
        <w:tc>
          <w:tcPr>
            <w:tcW w:type="dxa" w:w="3400"/>
          </w:tcPr>
          <w:p>
            <w:r>
              <w:t xml:space="preserve">Compose health checks (depends_on: condition: service_healthy) + application-level retry-with-backoff</w:t>
            </w:r>
          </w:p>
        </w:tc>
        <w:tc>
          <w:tcPr>
            <w:tcW w:type="dxa" w:w="3760"/>
          </w:tcPr>
          <w:p>
            <w:r>
              <w:t xml:space="preserve">depends_on alone only waits for a container to start, not for Redis/Sentinel/TimescaleDB to actually accept connections, causing noisy crash-loops on cold start. Health checks fix clean startup ordering in the demo; retry-with-backoff in the Go services themselves is a complementary, production-relevant safeguard for connection loss after startup, which health checks alone don't cover.</w:t>
            </w:r>
          </w:p>
        </w:tc>
      </w:tr>
    </w:tbl>
    <w:p>
      <w:pPr>
        <w:pStyle w:val="Heading2"/>
        <w:spacing w:after="120" w:before="240"/>
      </w:pPr>
      <w:r>
        <w:t xml:space="preserve">3.4 Service Topology &amp; Contracts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560"/>
      </w:tblGrid>
      <w:tr>
        <w:trPr>
          <w:tblHeader/>
        </w:trPr>
        <w:tc>
          <w:tcPr>
            <w:tcW w:type="dxa" w:w="2200"/>
            <w:shd w:fill="2F5496" w:val="clear"/>
          </w:tcPr>
          <w:p>
            <w:r>
              <w:rPr>
                <w:b/>
                <w:bCs/>
                <w:color w:val="FFFFFF"/>
              </w:rPr>
              <w:t xml:space="preserve">Area</w:t>
            </w:r>
          </w:p>
        </w:tc>
        <w:tc>
          <w:tcPr>
            <w:tcW w:type="dxa" w:w="3600"/>
            <w:shd w:fill="2F5496" w:val="clear"/>
          </w:tcPr>
          <w:p>
            <w:r>
              <w:rPr>
                <w:b/>
                <w:bCs/>
                <w:color w:val="FFFFFF"/>
              </w:rPr>
              <w:t xml:space="preserve">Decision</w:t>
            </w:r>
          </w:p>
        </w:tc>
        <w:tc>
          <w:tcPr>
            <w:tcW w:type="dxa" w:w="3560"/>
            <w:shd w:fill="2F5496" w:val="clear"/>
          </w:tcPr>
          <w:p>
            <w:r>
              <w:rPr>
                <w:b/>
                <w:bCs/>
                <w:color w:val="FFFFFF"/>
              </w:rPr>
              <w:t xml:space="preserve">Rationale</w:t>
            </w:r>
          </w:p>
        </w:tc>
      </w:tr>
      <w:tr>
        <w:tc>
          <w:tcPr>
            <w:tcW w:type="dxa" w:w="2200"/>
          </w:tcPr>
          <w:p>
            <w:r>
              <w:t xml:space="preserve">Service split</w:t>
            </w:r>
          </w:p>
        </w:tc>
        <w:tc>
          <w:tcPr>
            <w:tcW w:type="dxa" w:w="3600"/>
          </w:tcPr>
          <w:p>
            <w:r>
              <w:t xml:space="preserve">Two services: rate-limiter (Redis-only, /check) and control-plane (admin API + Streams consumer + dashboard datasource)</w:t>
            </w:r>
          </w:p>
        </w:tc>
        <w:tc>
          <w:tcPr>
            <w:tcW w:type="dxa" w:w="3560"/>
          </w:tcPr>
          <w:p>
            <w:r>
              <w:t xml:space="preserve">A single monolithic service would let dashboard/admin query load contend with the ultra-low-latency check path for CPU, connection pools, and scheduling. Splitting isolates the hot path from everything else and maps cleanly onto the two data stores (rate-limiter → Redis only, control-plane → Redis writes + TimescaleDB reads). A three-way split (separating admin from dashboard) was considered and rejected: nothing in the requirements calls for independently scaling admin vs. dashboard traffic, so a third deployable would add operational cost with no corresponding benefit.</w:t>
            </w:r>
          </w:p>
        </w:tc>
      </w:tr>
      <w:tr>
        <w:tc>
          <w:tcPr>
            <w:tcW w:type="dxa" w:w="2200"/>
          </w:tcPr>
          <w:p>
            <w:r>
              <w:t xml:space="preserve">Authentication (/check)</w:t>
            </w:r>
          </w:p>
        </w:tc>
        <w:tc>
          <w:tcPr>
            <w:tcW w:type="dxa" w:w="3600"/>
          </w:tcPr>
          <w:p>
            <w:r>
              <w:t xml:space="preserve">Per-client API key, validated via a Redis lookup already co-located with the GCRA check</w:t>
            </w:r>
          </w:p>
        </w:tc>
        <w:tc>
          <w:tcPr>
            <w:tcW w:type="dxa" w:w="3560"/>
          </w:tcPr>
          <w:p>
            <w:r>
              <w:t xml:space="preserve">JWT's core advantages (stateless verification, avoiding a DB round trip) don't apply here: the check path already makes a mandatory Redis round trip for GCRA itself, so an API-key lookup adds a negligible second Redis call rather than trading away a saved trip. JWT's other advantages (expiry/rotation, claims, cross-party federation) address a threat model — untrusted third-party callers — that doesn't match this system's actual callers (the organization's own internal microservices).</w:t>
            </w:r>
          </w:p>
        </w:tc>
      </w:tr>
      <w:tr>
        <w:tc>
          <w:tcPr>
            <w:tcW w:type="dxa" w:w="2200"/>
          </w:tcPr>
          <w:p>
            <w:r>
              <w:t xml:space="preserve">Authentication (/admin)</w:t>
            </w:r>
          </w:p>
        </w:tc>
        <w:tc>
          <w:tcPr>
            <w:tcW w:type="dxa" w:w="3600"/>
          </w:tcPr>
          <w:p>
            <w:r>
              <w:t xml:space="preserve">Separate admin bearer token, distinct from client API keys</w:t>
            </w:r>
          </w:p>
        </w:tc>
        <w:tc>
          <w:tcPr>
            <w:tcW w:type="dxa" w:w="3560"/>
          </w:tcPr>
          <w:p>
            <w:r>
              <w:t xml:space="preserve">This is an operator surface, not a per-client one; reusing the client API-key mechanism risks a compromised client key touching admin routes if middleware scoping is ever imperfect.</w:t>
            </w:r>
          </w:p>
        </w:tc>
      </w:tr>
      <w:tr>
        <w:tc>
          <w:tcPr>
            <w:tcW w:type="dxa" w:w="2200"/>
          </w:tcPr>
          <w:p>
            <w:r>
              <w:t xml:space="preserve">Request cost model</w:t>
            </w:r>
          </w:p>
        </w:tc>
        <w:tc>
          <w:tcPr>
            <w:tcW w:type="dxa" w:w="3600"/>
          </w:tcPr>
          <w:p>
            <w:r>
              <w:t xml:space="preserve">Variable cost supported in the API contract and GCRA script (cost field, default 1); tests use fixed cost = 1 with one dedicated example at cost = 5</w:t>
            </w:r>
          </w:p>
        </w:tc>
        <w:tc>
          <w:tcPr>
            <w:tcW w:type="dxa" w:w="3560"/>
          </w:tcPr>
          <w:p>
            <w:r>
              <w:t xml:space="preserve">The brief's own context explicitly names AI model APIs, which are typically metered by token/resource cost rather than uniform per-request cost. GCRA supports variable token consumption natively (a parameter, not a redesign), so supporting it is low-cost given the algorithm already chosen. Keeping race/load/chaos tests at a fixed cost of 1 preserves clean, exact-count assertions rather than diluting them across a variable-cost model.</w:t>
            </w:r>
          </w:p>
        </w:tc>
      </w:tr>
    </w:tbl>
    <w:p>
      <w:r>
        <w:br w:type="page"/>
      </w:r>
    </w:p>
    <w:p>
      <w:pPr>
        <w:pStyle w:val="Heading2"/>
        <w:spacing w:after="120" w:before="240"/>
      </w:pPr>
      <w:r>
        <w:t xml:space="preserve">3.5 Testing, Diagramming, and Observability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400"/>
        <w:gridCol w:w="3960"/>
      </w:tblGrid>
      <w:tr>
        <w:trPr>
          <w:tblHeader/>
        </w:trPr>
        <w:tc>
          <w:tcPr>
            <w:tcW w:type="dxa" w:w="2000"/>
            <w:shd w:fill="2F5496" w:val="clear"/>
          </w:tcPr>
          <w:p>
            <w:r>
              <w:rPr>
                <w:b/>
                <w:bCs/>
                <w:color w:val="FFFFFF"/>
              </w:rPr>
              <w:t xml:space="preserve">Area</w:t>
            </w:r>
          </w:p>
        </w:tc>
        <w:tc>
          <w:tcPr>
            <w:tcW w:type="dxa" w:w="3400"/>
            <w:shd w:fill="2F5496" w:val="clear"/>
          </w:tcPr>
          <w:p>
            <w:r>
              <w:rPr>
                <w:b/>
                <w:bCs/>
                <w:color w:val="FFFFFF"/>
              </w:rPr>
              <w:t xml:space="preserve">Decision</w:t>
            </w:r>
          </w:p>
        </w:tc>
        <w:tc>
          <w:tcPr>
            <w:tcW w:type="dxa" w:w="3960"/>
            <w:shd w:fill="2F5496" w:val="clear"/>
          </w:tcPr>
          <w:p>
            <w:r>
              <w:rPr>
                <w:b/>
                <w:bCs/>
                <w:color w:val="FFFFFF"/>
              </w:rPr>
              <w:t xml:space="preserve">Rationale</w:t>
            </w:r>
          </w:p>
        </w:tc>
      </w:tr>
      <w:tr>
        <w:tc>
          <w:tcPr>
            <w:tcW w:type="dxa" w:w="2000"/>
          </w:tcPr>
          <w:p>
            <w:r>
              <w:t xml:space="preserve">Race-condition proof</w:t>
            </w:r>
          </w:p>
        </w:tc>
        <w:tc>
          <w:tcPr>
            <w:tcW w:type="dxa" w:w="3400"/>
          </w:tcPr>
          <w:p>
            <w:r>
              <w:t xml:space="preserve">Multi-instance integration test: 3 rate-limiter replicas behind nginx, fired at concurrently, asserting an exact success count at the configured limit</w:t>
            </w:r>
          </w:p>
        </w:tc>
        <w:tc>
          <w:tcPr>
            <w:tcW w:type="dxa" w:w="3960"/>
          </w:tcPr>
          <w:p>
            <w:r>
              <w:t xml:space="preserve">A single-process goroutine test only rules out local Go-level data races; it does not prove the requirement that actually matters — accuracy regardless of which cluster instance receives the request. Running the assertion across real replicas through the real load balancer tests the deployed architecture itself, not a proxy for it.</w:t>
            </w:r>
          </w:p>
        </w:tc>
      </w:tr>
      <w:tr>
        <w:tc>
          <w:tcPr>
            <w:tcW w:type="dxa" w:w="2000"/>
          </w:tcPr>
          <w:p>
            <w:r>
              <w:t xml:space="preserve">Load balancer</w:t>
            </w:r>
          </w:p>
        </w:tc>
        <w:tc>
          <w:tcPr>
            <w:tcW w:type="dxa" w:w="3400"/>
          </w:tcPr>
          <w:p>
            <w:r>
              <w:t xml:space="preserve">nginx, round-robin, no sticky sessions</w:t>
            </w:r>
          </w:p>
        </w:tc>
        <w:tc>
          <w:tcPr>
            <w:tcW w:type="dxa" w:w="3960"/>
          </w:tcPr>
          <w:p>
            <w:r>
              <w:t xml:space="preserve">Testing through a real LB (rather than a test harness manually round-robining requests) keeps the architecture diagram and the test setup consistent, and exercises the actual failure mode the accuracy requirement is written for. nginx was chosen over Traefik because Traefik's main advantage — dynamic container discovery — solves a variable-replica-count problem this fixed, 3-replica Compose setup doesn't have.</w:t>
            </w:r>
          </w:p>
        </w:tc>
      </w:tr>
      <w:tr>
        <w:tc>
          <w:tcPr>
            <w:tcW w:type="dxa" w:w="2000"/>
          </w:tcPr>
          <w:p>
            <w:r>
              <w:t xml:space="preserve">Load/performance testing</w:t>
            </w:r>
          </w:p>
        </w:tc>
        <w:tc>
          <w:tcPr>
            <w:tcW w:type="dxa" w:w="3400"/>
          </w:tcPr>
          <w:p>
            <w:r>
              <w:t xml:space="preserve">k6, three scenarios: correctness-under-sustained-load, p95/p99 latency thresholds, and an automated Redis-outage chaos scenario</w:t>
            </w:r>
          </w:p>
        </w:tc>
        <w:tc>
          <w:tcPr>
            <w:tcW w:type="dxa" w:w="3960"/>
          </w:tcPr>
          <w:p>
            <w:r>
              <w:t xml:space="preserve">k6's scripting supports multiple concurrent named client profiles at their distinct limits in one script, directly proving several requirements (per-client limits, latency, correctness) together. The chaos scenario is fully automated (container stop/start scripted into the pipeline, not a manual README step) so the fail-safe requirement — arguably the hardest one to trust without proof — is verified by a running test, not by inspection.</w:t>
            </w:r>
          </w:p>
        </w:tc>
      </w:tr>
      <w:tr>
        <w:tc>
          <w:tcPr>
            <w:tcW w:type="dxa" w:w="2000"/>
          </w:tcPr>
          <w:p>
            <w:r>
              <w:t xml:space="preserve">Architecture diagram tool</w:t>
            </w:r>
          </w:p>
        </w:tc>
        <w:tc>
          <w:tcPr>
            <w:tcW w:type="dxa" w:w="3400"/>
          </w:tcPr>
          <w:p>
            <w:r>
              <w:t xml:space="preserve">Excalidraw, exported to PNG</w:t>
            </w:r>
          </w:p>
        </w:tc>
        <w:tc>
          <w:tcPr>
            <w:tcW w:type="dxa" w:w="3960"/>
          </w:tcPr>
          <w:p>
            <w:r>
              <w:t xml:space="preserve">The system has multiple components serving dual purposes (Redis handles both GCRA state and Streams transport; control-plane hosts both admin and dashboard-datasource routes), which benefits from freeform grouping/labeling that Excalidraw supports naturally. Mermaid's automatic layout tends to produce awkward line crossings on diagrams with this many dual-purpose components.</w:t>
            </w:r>
          </w:p>
        </w:tc>
      </w:tr>
      <w:tr>
        <w:tc>
          <w:tcPr>
            <w:tcW w:type="dxa" w:w="2000"/>
          </w:tcPr>
          <w:p>
            <w:r>
              <w:t xml:space="preserve">Dashboard</w:t>
            </w:r>
          </w:p>
        </w:tc>
        <w:tc>
          <w:tcPr>
            <w:tcW w:type="dxa" w:w="3400"/>
          </w:tcPr>
          <w:p>
            <w:r>
              <w:t xml:space="preserve">Grafana, reading business data directly from TimescaleDB</w:t>
            </w:r>
          </w:p>
        </w:tc>
        <w:tc>
          <w:tcPr>
            <w:tcW w:type="dxa" w:w="3960"/>
          </w:tcPr>
          <w:p>
            <w:r>
              <w:t xml:space="preserve">Every stated dashboard requirement (average response time, trend graphs, 10/15/30-day filters) maps to native Grafana panel configuration rather than custom UI code. Building a bespoke SPA would spend build time on generic dashboard-building work that doesn't demonstrate anything specific to rate limiting, the actual subject of the assignment.</w:t>
            </w:r>
          </w:p>
        </w:tc>
      </w:tr>
      <w:tr>
        <w:tc>
          <w:tcPr>
            <w:tcW w:type="dxa" w:w="2000"/>
          </w:tcPr>
          <w:p>
            <w:r>
              <w:t xml:space="preserve">Dashboard refresh model</w:t>
            </w:r>
          </w:p>
        </w:tc>
        <w:tc>
          <w:tcPr>
            <w:tcW w:type="dxa" w:w="3400"/>
          </w:tcPr>
          <w:p>
            <w:r>
              <w:t xml:space="preserve">Polling (not WebSocket/SSE push)</w:t>
            </w:r>
          </w:p>
        </w:tc>
        <w:tc>
          <w:tcPr>
            <w:tcW w:type="dxa" w:w="3960"/>
          </w:tcPr>
          <w:p>
            <w:r>
              <w:t xml:space="preserve">True push-based 'real-time' would misrepresent the system's actual data freshness: the Streams → consumer → TimescaleDB pipeline is inherently asynchronous, so a push mechanism would only mask upstream lag that still exists rather than eliminate it. A documented polling interval is an honest match to the pipeline's real latency floor.</w:t>
            </w:r>
          </w:p>
        </w:tc>
      </w:tr>
      <w:tr>
        <w:tc>
          <w:tcPr>
            <w:tcW w:type="dxa" w:w="2000"/>
          </w:tcPr>
          <w:p>
            <w:r>
              <w:t xml:space="preserve">Operational observability</w:t>
            </w:r>
          </w:p>
        </w:tc>
        <w:tc>
          <w:tcPr>
            <w:tcW w:type="dxa" w:w="3400"/>
          </w:tcPr>
          <w:p>
            <w:r>
              <w:t xml:space="preserve">Structured stdout logging (baseline) + Prometheus metrics + a second Grafana panel set</w:t>
            </w:r>
          </w:p>
        </w:tc>
        <w:tc>
          <w:tcPr>
            <w:tcW w:type="dxa" w:w="3960"/>
          </w:tcPr>
          <w:p>
            <w:r>
              <w:t xml:space="preserve">Structured logging alone satisfies the letter of the requirements but leaves the core non-functional requirement (few-millisecond latency) provable only as a static post-hoc k6 summary. Since Grafana is already running and configured for the business dashboard, adding a Prometheus datasource and a latency/circuit-breaker panel set is a small marginal addition that turns the latency and fail-safe requirements into something visible live, in the same tool, during the chaos test.</w:t>
            </w:r>
          </w:p>
        </w:tc>
      </w:tr>
    </w:tbl>
    <w:p>
      <w:r>
        <w:br w:type="page"/>
      </w:r>
    </w:p>
    <w:p>
      <w:pPr>
        <w:pStyle w:val="Heading1"/>
        <w:spacing w:after="150" w:before="300"/>
      </w:pPr>
      <w:r>
        <w:t xml:space="preserve">4. API Contract</w:t>
      </w:r>
    </w:p>
    <w:p>
      <w:pPr>
        <w:pStyle w:val="Heading2"/>
        <w:spacing w:after="120" w:before="240"/>
      </w:pPr>
      <w:r>
        <w:t xml:space="preserve">4.1 POST /check</w:t>
      </w:r>
    </w:p>
    <w:p>
      <w:pPr>
        <w:spacing w:after="120"/>
      </w:pPr>
      <w:r>
        <w:t xml:space="preserve">Request body:</w:t>
      </w:r>
    </w:p>
    <w:p>
      <w:pPr>
        <w:pStyle w:val="ListParagraph"/>
        <w:numPr>
          <w:ilvl w:val="0"/>
          <w:numId w:val="1"/>
        </w:numPr>
        <w:spacing w:after="60"/>
      </w:pPr>
      <w:r>
        <w:t xml:space="preserve">client_id — derived from the API key (1:1 mapping), not required as a separate field.</w:t>
      </w:r>
    </w:p>
    <w:p>
      <w:pPr>
        <w:pStyle w:val="ListParagraph"/>
        <w:numPr>
          <w:ilvl w:val="0"/>
          <w:numId w:val="1"/>
        </w:numPr>
        <w:spacing w:after="60"/>
      </w:pPr>
      <w:r>
        <w:t xml:space="preserve">cost — optional integer, defaults to 1. Represents the number of GCRA tokens this request consumes, supporting non-uniform-cost APIs (e.g. token-metered AI model calls).</w:t>
      </w:r>
    </w:p>
    <w:p>
      <w:pPr>
        <w:spacing w:after="120"/>
      </w:pPr>
      <w:r>
        <w:t xml:space="preserve">Response, success (200):</w:t>
      </w:r>
    </w:p>
    <w:p>
      <w:pPr>
        <w:pStyle w:val="ListParagraph"/>
        <w:numPr>
          <w:ilvl w:val="0"/>
          <w:numId w:val="1"/>
        </w:numPr>
        <w:spacing w:after="60"/>
      </w:pPr>
      <w:r>
        <w:t xml:space="preserve">allowed: true</w:t>
      </w:r>
    </w:p>
    <w:p>
      <w:pPr>
        <w:pStyle w:val="ListParagraph"/>
        <w:numPr>
          <w:ilvl w:val="0"/>
          <w:numId w:val="1"/>
        </w:numPr>
        <w:spacing w:after="60"/>
      </w:pPr>
      <w:r>
        <w:t xml:space="preserve">remaining: &lt;integer&gt; — lets calling microservices self-throttle proactively rather than only reacting to rejections.</w:t>
      </w:r>
    </w:p>
    <w:p>
      <w:pPr>
        <w:pStyle w:val="ListParagraph"/>
        <w:numPr>
          <w:ilvl w:val="0"/>
          <w:numId w:val="1"/>
        </w:numPr>
        <w:spacing w:after="60"/>
      </w:pPr>
      <w:r>
        <w:t xml:space="preserve">reset_at: &lt;timestamp&gt;</w:t>
      </w:r>
    </w:p>
    <w:p>
      <w:pPr>
        <w:spacing w:after="120"/>
      </w:pPr>
      <w:r>
        <w:t xml:space="preserve">Response, rejected (429):</w:t>
      </w:r>
    </w:p>
    <w:p>
      <w:pPr>
        <w:pStyle w:val="ListParagraph"/>
        <w:numPr>
          <w:ilvl w:val="0"/>
          <w:numId w:val="1"/>
        </w:numPr>
        <w:spacing w:after="60"/>
      </w:pPr>
      <w:r>
        <w:t xml:space="preserve">allowed: false, remaining, reset_at as above.</w:t>
      </w:r>
    </w:p>
    <w:p>
      <w:pPr>
        <w:pStyle w:val="ListParagraph"/>
        <w:numPr>
          <w:ilvl w:val="0"/>
          <w:numId w:val="1"/>
        </w:numPr>
        <w:spacing w:after="60"/>
      </w:pPr>
      <w:r>
        <w:t xml:space="preserve">Retry-After header — populated directly from GCRA's computed next-allowed time, at no extra computation cost.</w:t>
      </w:r>
    </w:p>
    <w:p>
      <w:pPr>
        <w:spacing w:after="120"/>
      </w:pPr>
      <w:r>
        <w:t xml:space="preserve">Degraded mode:</w:t>
      </w:r>
    </w:p>
    <w:p>
      <w:pPr>
        <w:pStyle w:val="ListParagraph"/>
        <w:numPr>
          <w:ilvl w:val="0"/>
          <w:numId w:val="1"/>
        </w:numPr>
        <w:spacing w:after="60"/>
      </w:pPr>
      <w:r>
        <w:t xml:space="preserve">X-RateLimit-Degraded: true header is added whenever a response was served from the local circuit-breaker fallback rather than authoritative Redis state, so degraded operation is observable rather than silent.</w:t>
      </w:r>
    </w:p>
    <w:p>
      <w:pPr>
        <w:pStyle w:val="Heading2"/>
        <w:spacing w:after="120" w:before="240"/>
      </w:pPr>
      <w:r>
        <w:t xml:space="preserve">4.2 Admin API (control-plane, /admin/*)</w:t>
      </w:r>
    </w:p>
    <w:p>
      <w:pPr>
        <w:pStyle w:val="ListParagraph"/>
        <w:numPr>
          <w:ilvl w:val="0"/>
          <w:numId w:val="1"/>
        </w:numPr>
        <w:spacing w:after="60"/>
      </w:pPr>
      <w:r>
        <w:t xml:space="preserve">POST /admin/clients — provision a new client; returns a freshly generated API key (shown only once).</w:t>
      </w:r>
    </w:p>
    <w:p>
      <w:pPr>
        <w:pStyle w:val="ListParagraph"/>
        <w:numPr>
          <w:ilvl w:val="0"/>
          <w:numId w:val="1"/>
        </w:numPr>
        <w:spacing w:after="60"/>
      </w:pPr>
      <w:r>
        <w:t xml:space="preserve">GET /admin/clients — list configured clients.</w:t>
      </w:r>
    </w:p>
    <w:p>
      <w:pPr>
        <w:pStyle w:val="ListParagraph"/>
        <w:numPr>
          <w:ilvl w:val="0"/>
          <w:numId w:val="1"/>
        </w:numPr>
        <w:spacing w:after="60"/>
      </w:pPr>
      <w:r>
        <w:t xml:space="preserve">GET /admin/clients/{client_id}/limits — read current limit configuration.</w:t>
      </w:r>
    </w:p>
    <w:p>
      <w:pPr>
        <w:pStyle w:val="ListParagraph"/>
        <w:numPr>
          <w:ilvl w:val="0"/>
          <w:numId w:val="1"/>
        </w:numPr>
        <w:spacing w:after="60"/>
      </w:pPr>
      <w:r>
        <w:t xml:space="preserve">PUT /admin/clients/{client_id}/limits — set rate, period, and burst. Also resets that client's GCRA state key.</w:t>
      </w:r>
    </w:p>
    <w:p>
      <w:pPr>
        <w:pStyle w:val="ListParagraph"/>
        <w:numPr>
          <w:ilvl w:val="0"/>
          <w:numId w:val="1"/>
        </w:numPr>
        <w:spacing w:after="60"/>
      </w:pPr>
      <w:r>
        <w:t xml:space="preserve">DELETE /admin/clients/{client_id} — revoke a client (removes limit config and API-key mapping).</w:t>
      </w:r>
    </w:p>
    <w:p>
      <w:pPr>
        <w:spacing w:after="120"/>
      </w:pPr>
      <w:r>
        <w:t xml:space="preserve">Limit-change consistency: a PUT to /admin/clients/{id}/limits resets the client's GCRA state (theoretical-arrival-time value) rather than leaving prior state in place. GCRA's stored state is only meaningful relative to the rate it was computed under; changing the rate without resetting risks computing against a stale emission interval, which can produce materially wrong results (in the worst case, an artificially long wait time) rather than merely a conservative one. A reset instead grants, at most, one harmless full bucket at the moment of change — a one-time, admin-caused, bounded side effect, not a correctness bug.</w:t>
      </w:r>
    </w:p>
    <w:p>
      <w:pPr>
        <w:pStyle w:val="Heading1"/>
        <w:spacing w:after="150" w:before="300"/>
      </w:pPr>
      <w:r>
        <w:t xml:space="preserve">5. Requirements Traceability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shd w:fill="2F5496" w:val="clear"/>
          </w:tcPr>
          <w:p>
            <w:r>
              <w:rPr>
                <w:b/>
                <w:bCs/>
                <w:color w:val="FFFFFF"/>
              </w:rPr>
              <w:t xml:space="preserve">Brief Requirement</w:t>
            </w:r>
          </w:p>
        </w:tc>
        <w:tc>
          <w:tcPr>
            <w:tcW w:type="dxa" w:w="5360"/>
            <w:shd w:fill="2F5496" w:val="clear"/>
          </w:tcPr>
          <w:p>
            <w:r>
              <w:rPr>
                <w:b/>
                <w:bCs/>
                <w:color w:val="FFFFFF"/>
              </w:rPr>
              <w:t xml:space="preserve">Design Element Satisfying It</w:t>
            </w:r>
          </w:p>
        </w:tc>
      </w:tr>
      <w:tr>
        <w:tc>
          <w:tcPr>
            <w:tcW w:type="dxa" w:w="4000"/>
          </w:tcPr>
          <w:p>
            <w:r>
              <w:t xml:space="preserve">Each client has different limits</w:t>
            </w:r>
          </w:p>
        </w:tc>
        <w:tc>
          <w:tcPr>
            <w:tcW w:type="dxa" w:w="5360"/>
          </w:tcPr>
          <w:p>
            <w:r>
              <w:t xml:space="preserve">Per-client rate/burst/cost config stored in Redis; GCRA parameterized per client.</w:t>
            </w:r>
          </w:p>
        </w:tc>
      </w:tr>
      <w:tr>
        <w:tc>
          <w:tcPr>
            <w:tcW w:type="dxa" w:w="4000"/>
          </w:tcPr>
          <w:p>
            <w:r>
              <w:t xml:space="preserve">Accurate checks regardless of instance</w:t>
            </w:r>
          </w:p>
        </w:tc>
        <w:tc>
          <w:tcPr>
            <w:tcW w:type="dxa" w:w="5360"/>
          </w:tcPr>
          <w:p>
            <w:r>
              <w:t xml:space="preserve">Atomic Lua/GCRA check in shared Redis; proven by a multi-instance test through nginx.</w:t>
            </w:r>
          </w:p>
        </w:tc>
      </w:tr>
      <w:tr>
        <w:tc>
          <w:tcPr>
            <w:tcW w:type="dxa" w:w="4000"/>
          </w:tcPr>
          <w:p>
            <w:r>
              <w:t xml:space="preserve">Check latency of a few milliseconds</w:t>
            </w:r>
          </w:p>
        </w:tc>
        <w:tc>
          <w:tcPr>
            <w:tcW w:type="dxa" w:w="5360"/>
          </w:tcPr>
          <w:p>
            <w:r>
              <w:t xml:space="preserve">O(1) GCRA in Redis; proven and monitored via k6 latency thresholds and a live Prometheus/Grafana panel.</w:t>
            </w:r>
          </w:p>
        </w:tc>
      </w:tr>
      <w:tr>
        <w:tc>
          <w:tcPr>
            <w:tcW w:type="dxa" w:w="4000"/>
          </w:tcPr>
          <w:p>
            <w:r>
              <w:t xml:space="preserve">DB/cache outage must not block all traffic</w:t>
            </w:r>
          </w:p>
        </w:tc>
        <w:tc>
          <w:tcPr>
            <w:tcW w:type="dxa" w:w="5360"/>
          </w:tcPr>
          <w:p>
            <w:r>
              <w:t xml:space="preserve">Fail-open with local circuit-breaker fallback; proven by an automated k6 chaos scenario that kills and restarts the Redis primary mid-test.</w:t>
            </w:r>
          </w:p>
        </w:tc>
      </w:tr>
      <w:tr>
        <w:tc>
          <w:tcPr>
            <w:tcW w:type="dxa" w:w="4000"/>
          </w:tcPr>
          <w:p>
            <w:r>
              <w:t xml:space="preserve">Every approved request logged, without slowing the hot path</w:t>
            </w:r>
          </w:p>
        </w:tc>
        <w:tc>
          <w:tcPr>
            <w:tcW w:type="dxa" w:w="5360"/>
          </w:tcPr>
          <w:p>
            <w:r>
              <w:t xml:space="preserve">Redis Streams as an async transport out of the check path; a background consumer writes to TimescaleDB.</w:t>
            </w:r>
          </w:p>
        </w:tc>
      </w:tr>
      <w:tr>
        <w:tc>
          <w:tcPr>
            <w:tcW w:type="dxa" w:w="4000"/>
          </w:tcPr>
          <w:p>
            <w:r>
              <w:t xml:space="preserve">Dashboard with real-time usage and complex filters/trend graphs</w:t>
            </w:r>
          </w:p>
        </w:tc>
        <w:tc>
          <w:tcPr>
            <w:tcW w:type="dxa" w:w="5360"/>
          </w:tcPr>
          <w:p>
            <w:r>
              <w:t xml:space="preserve">Grafana reading TimescaleDB, polling refresh, 10/15/30-day continuous aggregates.</w:t>
            </w:r>
          </w:p>
        </w:tc>
      </w:tr>
      <w:tr>
        <w:tc>
          <w:tcPr>
            <w:tcW w:type="dxa" w:w="4000"/>
          </w:tcPr>
          <w:p>
            <w:r>
              <w:t xml:space="preserve">Cluster / HA</w:t>
            </w:r>
          </w:p>
        </w:tc>
        <w:tc>
          <w:tcPr>
            <w:tcW w:type="dxa" w:w="5360"/>
          </w:tcPr>
          <w:p>
            <w:r>
              <w:t xml:space="preserve">Redis Sentinel (quorum-based failover), 3x rate-limiter replicas behind nginx, health-checked Compose startup.</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2026-07-18T01:02:08.434Z</dcterms:created>
  <dcterms:modified xsi:type="dcterms:W3CDTF">2026-07-18T01:02:08.472Z</dcterms:modified>
</cp:coreProperties>
</file>

<file path=docProps/custom.xml><?xml version="1.0" encoding="utf-8"?>
<Properties xmlns="http://schemas.openxmlformats.org/officeDocument/2006/custom-properties" xmlns:vt="http://schemas.openxmlformats.org/officeDocument/2006/docPropsVTypes"/>
</file>