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vfra6gvazy4p" w:id="0"/>
      <w:bookmarkEnd w:id="0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k62mxtm4fzbk" w:id="1"/>
      <w:bookmarkEnd w:id="1"/>
      <w:r w:rsidDel="00000000" w:rsidR="00000000" w:rsidRPr="00000000">
        <w:rPr>
          <w:rtl w:val="0"/>
        </w:rPr>
        <w:t xml:space="preserve">SimCLR v1 </w:t>
      </w:r>
    </w:p>
    <w:p w:rsidR="00000000" w:rsidDel="00000000" w:rsidP="00000000" w:rsidRDefault="00000000" w:rsidRPr="00000000" w14:paraId="00000004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 Simple Framework for Contrastive Learning of Visual Representations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/>
      </w:pPr>
      <w:bookmarkStart w:colFirst="0" w:colLast="0" w:name="_mjv2xrs2azhf" w:id="2"/>
      <w:bookmarkEnd w:id="2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paper shows three major findings-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 Composition of data augmentations plays a critical role in defining effective predictive tasks.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Introducing a learnable nonlinear transformation between the representation and the contrastive loss substantially improves the quality of the learned representations.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 Contrastive learning benefits from larger batch sizes and more training steps compared to supervised learning.</w:t>
      </w:r>
    </w:p>
    <w:p w:rsidR="00000000" w:rsidDel="00000000" w:rsidP="00000000" w:rsidRDefault="00000000" w:rsidRPr="00000000" w14:paraId="0000000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By combining these, it introduces a simple framework for contrastive learning of visual representations named SimCLR. Not only does SimCLR outperform previous work,  but it is also simpler, requiring neither specialized architectures nor a memory bank.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ir1n18kvemas" w:id="3"/>
      <w:bookmarkEnd w:id="3"/>
      <w:r w:rsidDel="00000000" w:rsidR="00000000" w:rsidRPr="00000000">
        <w:rPr>
          <w:rtl w:val="0"/>
        </w:rPr>
        <w:t xml:space="preserve">METHOD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500438" cy="3535268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35352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above figure shows the proposed framework. 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framework comprises the following components: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 stochastic data augmentation module, where we sequentially apply three simple augmentations: random cropping followed by resize back to the original size, random color distortions, and random Gaussian blur.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 neural network base encoder f(·) that extracts representation vectors from augmented data examples. Resnet is used in the paper.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 small neural network projection head g(·) that maps representations to the space where contrastive loss is applied. Here, they propose a MLP with one hidden layer to obtain </w:t>
      </w:r>
    </w:p>
    <w:p w:rsidR="00000000" w:rsidDel="00000000" w:rsidP="00000000" w:rsidRDefault="00000000" w:rsidRPr="00000000" w14:paraId="00000031">
      <w:pPr>
        <w:ind w:left="72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zi = g(hi) = W(2)σ(W(1)hi)</w:t>
      </w:r>
    </w:p>
    <w:p w:rsidR="00000000" w:rsidDel="00000000" w:rsidP="00000000" w:rsidRDefault="00000000" w:rsidRPr="00000000" w14:paraId="00000032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where σ is a ReLU nonlinearity.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 contrastive loss function.</w:t>
      </w:r>
    </w:p>
    <w:p w:rsidR="00000000" w:rsidDel="00000000" w:rsidP="00000000" w:rsidRDefault="00000000" w:rsidRPr="00000000" w14:paraId="00000034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914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 sim(zi, </w:t>
      </w:r>
      <w:r w:rsidDel="00000000" w:rsidR="00000000" w:rsidRPr="00000000">
        <w:rPr>
          <w:sz w:val="20"/>
          <w:szCs w:val="20"/>
          <w:rtl w:val="0"/>
        </w:rPr>
        <w:t xml:space="preserve">zj</w:t>
      </w:r>
      <w:r w:rsidDel="00000000" w:rsidR="00000000" w:rsidRPr="00000000">
        <w:rPr>
          <w:sz w:val="20"/>
          <w:szCs w:val="20"/>
          <w:rtl w:val="0"/>
        </w:rPr>
        <w:t xml:space="preserve">) refers to the cosine similarity.</w:t>
      </w:r>
    </w:p>
    <w:p w:rsidR="00000000" w:rsidDel="00000000" w:rsidP="00000000" w:rsidRDefault="00000000" w:rsidRPr="00000000" w14:paraId="00000038">
      <w:pPr>
        <w:ind w:left="72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Negative examples are not sampled explicitly. Instead, given a positive pair,we treat the other 2(N−1) augmented examples within a mini batch as negative examples.</w:t>
      </w:r>
    </w:p>
    <w:p w:rsidR="00000000" w:rsidDel="00000000" w:rsidP="00000000" w:rsidRDefault="00000000" w:rsidRPr="00000000" w14:paraId="00000039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paper proceeds to provide the algorithm of implementation of the above methods.</w:t>
      </w:r>
    </w:p>
    <w:p w:rsidR="00000000" w:rsidDel="00000000" w:rsidP="00000000" w:rsidRDefault="00000000" w:rsidRPr="00000000" w14:paraId="0000003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910013" cy="4405030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4405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paper further proves aforementioned claims with experimentation results showing that data augmentation is largely beneficial for self-supervised learning and large batch sizes help the proposed framework in learning.</w:t>
      </w:r>
    </w:p>
    <w:p w:rsidR="00000000" w:rsidDel="00000000" w:rsidP="00000000" w:rsidRDefault="00000000" w:rsidRPr="00000000" w14:paraId="0000005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Subtitle"/>
        <w:rPr/>
      </w:pPr>
      <w:bookmarkStart w:colFirst="0" w:colLast="0" w:name="_lh4r08m8eljf" w:id="4"/>
      <w:bookmarkEnd w:id="4"/>
      <w:r w:rsidDel="00000000" w:rsidR="00000000" w:rsidRPr="00000000">
        <w:rPr>
          <w:rtl w:val="0"/>
        </w:rPr>
        <w:t xml:space="preserve">SimCLR v2</w:t>
      </w:r>
    </w:p>
    <w:p w:rsidR="00000000" w:rsidDel="00000000" w:rsidP="00000000" w:rsidRDefault="00000000" w:rsidRPr="00000000" w14:paraId="00000058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Big Self-Supervised Models are Strong Semi-Supervised Learners </w:t>
      </w:r>
    </w:p>
    <w:p w:rsidR="00000000" w:rsidDel="00000000" w:rsidP="00000000" w:rsidRDefault="00000000" w:rsidRPr="00000000" w14:paraId="0000005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rPr/>
      </w:pPr>
      <w:bookmarkStart w:colFirst="0" w:colLast="0" w:name="_vd6ue3ff1yg9" w:id="5"/>
      <w:bookmarkEnd w:id="5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paper introduces another paradigm for learning with a few labels, adding unsupervised task-agnostic pretraining and supervised fine-tuning as modifications. One of the main objectives is also to prove that larger models lead to better training in a semi-supervised setting.</w:t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Breaking the proposition into three steps: (1) unsupervised or self-supervised </w:t>
      </w:r>
      <w:r w:rsidDel="00000000" w:rsidR="00000000" w:rsidRPr="00000000">
        <w:rPr>
          <w:sz w:val="20"/>
          <w:szCs w:val="20"/>
          <w:rtl w:val="0"/>
        </w:rPr>
        <w:t xml:space="preserve">pretraining</w:t>
      </w:r>
      <w:r w:rsidDel="00000000" w:rsidR="00000000" w:rsidRPr="00000000">
        <w:rPr>
          <w:sz w:val="20"/>
          <w:szCs w:val="20"/>
          <w:rtl w:val="0"/>
        </w:rPr>
        <w:t xml:space="preserve">, (2) supervised fine-tuning, and (3) distillation using unlabeled data, the paper includes the following-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 Empirical results </w:t>
      </w:r>
      <w:r w:rsidDel="00000000" w:rsidR="00000000" w:rsidRPr="00000000">
        <w:rPr>
          <w:sz w:val="20"/>
          <w:szCs w:val="20"/>
          <w:rtl w:val="0"/>
        </w:rPr>
        <w:t xml:space="preserve">suggesting</w:t>
      </w:r>
      <w:r w:rsidDel="00000000" w:rsidR="00000000" w:rsidRPr="00000000">
        <w:rPr>
          <w:sz w:val="20"/>
          <w:szCs w:val="20"/>
          <w:rtl w:val="0"/>
        </w:rPr>
        <w:t xml:space="preserve"> that for semi-supervised learning (via the task-agnostic use of unlabeled data), the fewer the labels, the more it is possible to benefit from a bigger model.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Showcasing that although big models are important for learning general (visual) representations, the extra capacity may not be necessary when a specific target task is concerned. Therefore, with the task-specific use of unlabeled data, the predictive performance of the model can be further improved and transferred into a smaller network. 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 Demonstration of the importance of the nonlinear transformation (a.k.a. projection head) after convolutional layers used in SimCLR for semi-supervised learning. A deeper projection head not only improves the representation quality measured by linear evaluation, but also improves semi-supervised performance when fine-tuning from a middle layer of the projection head.</w:t>
      </w:r>
    </w:p>
    <w:p w:rsidR="00000000" w:rsidDel="00000000" w:rsidP="00000000" w:rsidRDefault="00000000" w:rsidRPr="00000000" w14:paraId="0000006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/>
      </w:pPr>
      <w:bookmarkStart w:colFirst="0" w:colLast="0" w:name="_nfdoo4kwewk2" w:id="6"/>
      <w:bookmarkEnd w:id="6"/>
      <w:r w:rsidDel="00000000" w:rsidR="00000000" w:rsidRPr="00000000">
        <w:rPr>
          <w:rtl w:val="0"/>
        </w:rPr>
        <w:t xml:space="preserve">METHOD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510213" cy="269329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693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first time the unlabeled data is used, it is in a task-agnostic way, for learning general (visual) representations via unsupervised </w:t>
      </w:r>
      <w:r w:rsidDel="00000000" w:rsidR="00000000" w:rsidRPr="00000000">
        <w:rPr>
          <w:sz w:val="20"/>
          <w:szCs w:val="20"/>
          <w:rtl w:val="0"/>
        </w:rPr>
        <w:t xml:space="preserve">pretraining</w:t>
      </w:r>
      <w:r w:rsidDel="00000000" w:rsidR="00000000" w:rsidRPr="00000000">
        <w:rPr>
          <w:sz w:val="20"/>
          <w:szCs w:val="20"/>
          <w:rtl w:val="0"/>
        </w:rPr>
        <w:t xml:space="preserve">. The general representations are then adapted for a specific task via supervised fine-tuning. The second time the unlabeled data is used, it is in a task-specific way, for further improving predictive performance and obtaining a compact mode.</w:t>
      </w:r>
    </w:p>
    <w:p w:rsidR="00000000" w:rsidDel="00000000" w:rsidP="00000000" w:rsidRDefault="00000000" w:rsidRPr="00000000" w14:paraId="0000006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Improving on the contrastive loss of SimCLR(1), the paper proposes the following modifications-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 fully leverage the power of general pretraining, it includes an exploration of larger ResNet models.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 increase in the capacity of the non-linear network g(·) (a.k.a. projection head), by making it deeper. Furthermore, instead of throwing away g(·) entirely after </w:t>
      </w:r>
      <w:r w:rsidDel="00000000" w:rsidR="00000000" w:rsidRPr="00000000">
        <w:rPr>
          <w:sz w:val="20"/>
          <w:szCs w:val="20"/>
          <w:rtl w:val="0"/>
        </w:rPr>
        <w:t xml:space="preserve">pretraining</w:t>
      </w:r>
      <w:r w:rsidDel="00000000" w:rsidR="00000000" w:rsidRPr="00000000">
        <w:rPr>
          <w:sz w:val="20"/>
          <w:szCs w:val="20"/>
          <w:rtl w:val="0"/>
        </w:rPr>
        <w:t xml:space="preserve"> as in SimCLR [1], they propose a fine-tune from a middle layer.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Incorporation of the memory mechanism from MoCo.</w:t>
      </w:r>
    </w:p>
    <w:p w:rsidR="00000000" w:rsidDel="00000000" w:rsidP="00000000" w:rsidRDefault="00000000" w:rsidRPr="00000000" w14:paraId="0000006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4"/>
        <w:rPr/>
      </w:pPr>
      <w:bookmarkStart w:colFirst="0" w:colLast="0" w:name="_dqu41xkrixwk" w:id="7"/>
      <w:bookmarkEnd w:id="7"/>
      <w:r w:rsidDel="00000000" w:rsidR="00000000" w:rsidRPr="00000000">
        <w:rPr>
          <w:rtl w:val="0"/>
        </w:rPr>
        <w:t xml:space="preserve">Self-training / knowledge distillation via unlabeled example</w:t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Use of the fine-tuned network as a teacher to impute labels for training a student network. Specifically, we minimize the following distillation loss where no real labels are used: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014913" cy="1795006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7950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rPr/>
      </w:pPr>
      <w:bookmarkStart w:colFirst="0" w:colLast="0" w:name="_q57tm7cxu6cj" w:id="8"/>
      <w:bookmarkEnd w:id="8"/>
      <w:r w:rsidDel="00000000" w:rsidR="00000000" w:rsidRPr="00000000">
        <w:rPr>
          <w:rtl w:val="0"/>
        </w:rPr>
        <w:t xml:space="preserve">Distillation</w:t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distillation, only unlabeled examples are used, unless otherwise specified. We consider two types of distillation: self-distillation where the student has the same model architecture as the teacher (excluding projection head), and big-to-small distillation where the student is a much smaller network.</w:t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Distillation with unlabeled examples improves fine-tuned models in two ways, as shown in Figure 6: (1) when the student model has a smaller architecture than the teacher model, it improves the model efficiency by transferring task-specific knowledge to a student model, (2) even when the student model has the same architecture as the teacher model (excluding the projection head after ResNet encoder), self-distillation can still meaningfully improve the semi-supervised learning performance.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