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left"/>
      </w:pPr>
      <w:r>
        <w:t>WEEK 3  |  FEATURE ENGINEERING AND EXPLORATORY MODELING</w:t>
      </w:r>
    </w:p>
    <w:p>
      <w:pPr>
        <w:pStyle w:val="Title"/>
      </w:pPr>
      <w:r>
        <w:t>Turning Process Data into Useful Predictors</w:t>
      </w:r>
    </w:p>
    <w:p>
      <w:pPr>
        <w:pStyle w:val="Subtitle"/>
        <w:spacing w:after="160"/>
      </w:pPr>
      <w:r>
        <w:t>A practical strategy for food-processing quality analytics</w:t>
      </w:r>
    </w:p>
    <w:p>
      <w:r>
        <w:rPr>
          <w:b/>
        </w:rPr>
        <w:t>Prepared: 21 October 2026</w:t>
      </w:r>
      <w:r>
        <w:br/>
        <w:t>Purpose: define candidate features and a leakage-aware exploratory modeling plan.</w:t>
      </w:r>
    </w:p>
    <w:p>
      <w:pPr>
        <w:pStyle w:val="Heading1"/>
      </w:pPr>
      <w:r>
        <w:t>Executive summary</w:t>
      </w:r>
    </w:p>
    <w:p>
      <w:r>
        <w:t>Feature engineering translates measurements and event records into variables that represent process state, product exposure, equipment condition, and the timing of quality decisions. For food processing, a useful feature must be physically interpretable, available at the intended prediction time, linked to a defined batch or sample, and calculated in a reproducible way. A larger feature set is not automatically a better one: poorly timed laboratory results, final dispositions, or future sensor readings can create leakage and misleading performance.</w:t>
      </w:r>
    </w:p>
    <w:p>
      <w:r>
        <w:t>This strategy proposes a small, reviewable feature library for temperature, time, pH, moisture, flow, pressure, Brix, viscosity, recipe, material lot, line, and sensor-quality data. It includes transformations, rolling and batch summaries, specification-relative measures, interactions, and process-informed bins. The report also outlines regression, classification, tree-based, and clustering experiments, with chronological and batch-group validation and explicit tests of feature stability.</w:t>
      </w:r>
    </w:p>
    <w:p>
      <w:r>
        <w:t>Important scope note: the supplied Week 1 archive contains municipal food-establishment inspection records and a seven-class inspection outcome target. It does not contain production batches, time-stamped line sensors, laboratory product-quality measures, or process specifications. Therefore the processing features below are a proposed design for a suitable future dataset, not features measured or validated in the archive. The inspection dataset can support a limited demonstration of date, establishment type, repeated-facility history, and leakage-safe classification, but it must not be described as a factory product-quality model.</w:t>
      </w:r>
    </w:p>
    <w:p>
      <w:pPr>
        <w:pStyle w:val="Heading1"/>
      </w:pPr>
      <w:r>
        <w:t>1. Why feature engineering matters in food processing</w:t>
      </w:r>
    </w:p>
    <w:p>
      <w:r>
        <w:t>Raw values often miss the process meaning that quality teams use. A temperature reading is more useful when paired with its target deviation, duration, and trend. A batch-average pH can hide an unstable endpoint; a within-batch range or time-to-specification may expose it. A pressure excursion may matter only under a particular product, recipe, or flow regime. Features should express those mechanisms while preserving the original measurements for audit and review.</w:t>
      </w:r>
    </w:p>
    <w:p>
      <w:pPr>
        <w:pStyle w:val="ListBullet"/>
      </w:pPr>
      <w:r>
        <w:t>Connect process conditions to quality outcomes such as moisture, acidity, Brix, texture, color, yield, sensory score, or a documented release decision.</w:t>
      </w:r>
    </w:p>
    <w:p>
      <w:pPr>
        <w:pStyle w:val="ListBullet"/>
      </w:pPr>
      <w:r>
        <w:t>Represent dynamics and exposure, not only averages: slopes, variability, time in a validated operating band, and cumulative deviations can distinguish stable from unstable runs.</w:t>
      </w:r>
    </w:p>
    <w:p>
      <w:pPr>
        <w:pStyle w:val="ListBullet"/>
      </w:pPr>
      <w:r>
        <w:t>Improve interpretability and operational actionability by expressing features in familiar units and relative to approved targets or limits.</w:t>
      </w:r>
    </w:p>
    <w:p>
      <w:pPr>
        <w:pStyle w:val="ListBullet"/>
      </w:pPr>
      <w:r>
        <w:t>Reduce noise and enable model comparison through well-documented transformations, without hiding sensor faults, missingness, or safety-critical excursions.</w:t>
      </w:r>
    </w:p>
    <w:p>
      <w:r>
        <w:t>The prediction use case must be stated first: for example, estimate final batch moisture at the end of drying, identify an out-of-specification risk at a defined checkpoint, or explain historical variation after release. The feature availability cutoff follows from that decision. No engineered feature substitutes for a validated food-safety plan or approved process limits.</w:t>
      </w:r>
    </w:p>
    <w:p>
      <w:pPr>
        <w:pStyle w:val="Heading1"/>
      </w:pPr>
      <w:r>
        <w:t>2. Existing-feature analysis</w:t>
      </w:r>
    </w:p>
    <w:p>
      <w:r>
        <w:t>Start with a feature inventory and data contract before deriving anything. Record each field name, physical meaning, unit, source system, grain, timestamp semantics, allowable states, measurement method, quality flags, and the earliest time it is available. Map records to the analytical grain (sensor reading, sample, batch, or production run) and verify joins using stable batch, lot, line, and sample identifiers.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2A4D60"/>
            <w:vAlign w:val="center"/>
          </w:tcPr>
          <w:p>
            <w:pPr>
              <w:keepLines/>
              <w:spacing w:after="20"/>
            </w:pPr>
            <w:r>
              <w:rPr>
                <w:rFonts w:ascii="Calibri" w:hAnsi="Calibri"/>
                <w:b/>
                <w:color w:val="FFFFFF"/>
                <w:sz w:val="16"/>
              </w:rPr>
              <w:t>Data group</w:t>
            </w:r>
          </w:p>
        </w:tc>
        <w:tc>
          <w:tcPr>
            <w:tcW w:type="dxa" w:w="2880"/>
            <w:shd w:fill="2A4D60"/>
            <w:vAlign w:val="center"/>
          </w:tcPr>
          <w:p>
            <w:pPr>
              <w:keepLines/>
              <w:spacing w:after="20"/>
            </w:pPr>
            <w:r>
              <w:rPr>
                <w:rFonts w:ascii="Calibri" w:hAnsi="Calibri"/>
                <w:b/>
                <w:color w:val="FFFFFF"/>
                <w:sz w:val="16"/>
              </w:rPr>
              <w:t>Examples to profile</w:t>
            </w:r>
          </w:p>
        </w:tc>
        <w:tc>
          <w:tcPr>
            <w:tcW w:type="dxa" w:w="5256"/>
            <w:shd w:fill="2A4D60"/>
            <w:vAlign w:val="center"/>
          </w:tcPr>
          <w:p>
            <w:pPr>
              <w:keepLines/>
              <w:spacing w:after="20"/>
            </w:pPr>
            <w:r>
              <w:rPr>
                <w:rFonts w:ascii="Calibri" w:hAnsi="Calibri"/>
                <w:b/>
                <w:color w:val="FFFFFF"/>
                <w:sz w:val="16"/>
              </w:rPr>
              <w:t>Questions before engineering</w:t>
            </w:r>
          </w:p>
        </w:tc>
      </w:tr>
      <w:tr>
        <w:tc>
          <w:tcPr>
            <w:tcW w:type="dxa" w:w="1800"/>
            <w:vAlign w:val="center"/>
            <w:shd w:fill="F1F5F6"/>
          </w:tcPr>
          <w:p>
            <w:pPr>
              <w:keepLines/>
              <w:spacing w:after="20" w:line="240" w:lineRule="auto"/>
            </w:pPr>
            <w:r>
              <w:rPr>
                <w:rFonts w:ascii="Calibri" w:hAnsi="Calibri"/>
                <w:sz w:val="16"/>
              </w:rPr>
              <w:t>Process setpoints and readings</w:t>
            </w:r>
          </w:p>
        </w:tc>
        <w:tc>
          <w:tcPr>
            <w:tcW w:type="dxa" w:w="2880"/>
            <w:vAlign w:val="center"/>
            <w:shd w:fill="F1F5F6"/>
          </w:tcPr>
          <w:p>
            <w:pPr>
              <w:keepLines/>
              <w:spacing w:after="20" w:line="240" w:lineRule="auto"/>
            </w:pPr>
            <w:r>
              <w:rPr>
                <w:rFonts w:ascii="Calibri" w:hAnsi="Calibri"/>
                <w:sz w:val="16"/>
              </w:rPr>
              <w:t>Temperature, pH, pressure, flow, moisture, Brix, viscosity</w:t>
            </w:r>
          </w:p>
        </w:tc>
        <w:tc>
          <w:tcPr>
            <w:tcW w:type="dxa" w:w="5256"/>
            <w:vAlign w:val="center"/>
            <w:shd w:fill="F1F5F6"/>
          </w:tcPr>
          <w:p>
            <w:pPr>
              <w:keepLines/>
              <w:spacing w:after="20" w:line="240" w:lineRule="auto"/>
            </w:pPr>
            <w:r>
              <w:rPr>
                <w:rFonts w:ascii="Calibri" w:hAnsi="Calibri"/>
                <w:sz w:val="16"/>
              </w:rPr>
              <w:t>Are units and calibration known? Are readings instantaneous, averaged, or manually entered?</w:t>
            </w:r>
          </w:p>
        </w:tc>
      </w:tr>
      <w:tr>
        <w:tc>
          <w:tcPr>
            <w:tcW w:type="dxa" w:w="1800"/>
            <w:vAlign w:val="center"/>
          </w:tcPr>
          <w:p>
            <w:pPr>
              <w:keepLines/>
              <w:spacing w:after="20" w:line="240" w:lineRule="auto"/>
            </w:pPr>
            <w:r>
              <w:rPr>
                <w:rFonts w:ascii="Calibri" w:hAnsi="Calibri"/>
                <w:sz w:val="16"/>
              </w:rPr>
              <w:t>Time and sequence</w:t>
            </w:r>
          </w:p>
        </w:tc>
        <w:tc>
          <w:tcPr>
            <w:tcW w:type="dxa" w:w="2880"/>
            <w:vAlign w:val="center"/>
          </w:tcPr>
          <w:p>
            <w:pPr>
              <w:keepLines/>
              <w:spacing w:after="20" w:line="240" w:lineRule="auto"/>
            </w:pPr>
            <w:r>
              <w:rPr>
                <w:rFonts w:ascii="Calibri" w:hAnsi="Calibri"/>
                <w:sz w:val="16"/>
              </w:rPr>
              <w:t>Event time, batch start/end, stage, sample time, sensor interval</w:t>
            </w:r>
          </w:p>
        </w:tc>
        <w:tc>
          <w:tcPr>
            <w:tcW w:type="dxa" w:w="5256"/>
            <w:vAlign w:val="center"/>
          </w:tcPr>
          <w:p>
            <w:pPr>
              <w:keepLines/>
              <w:spacing w:after="20" w:line="240" w:lineRule="auto"/>
            </w:pPr>
            <w:r>
              <w:rPr>
                <w:rFonts w:ascii="Calibri" w:hAnsi="Calibri"/>
                <w:sz w:val="16"/>
              </w:rPr>
              <w:t>Is event time distinct from ingestion time? Are gaps, duplicates, and clock shifts understood?</w:t>
            </w:r>
          </w:p>
        </w:tc>
      </w:tr>
      <w:tr>
        <w:tc>
          <w:tcPr>
            <w:tcW w:type="dxa" w:w="1800"/>
            <w:vAlign w:val="center"/>
            <w:shd w:fill="F1F5F6"/>
          </w:tcPr>
          <w:p>
            <w:pPr>
              <w:keepLines/>
              <w:spacing w:after="20" w:line="240" w:lineRule="auto"/>
            </w:pPr>
            <w:r>
              <w:rPr>
                <w:rFonts w:ascii="Calibri" w:hAnsi="Calibri"/>
                <w:sz w:val="16"/>
              </w:rPr>
              <w:t>Product and materials</w:t>
            </w:r>
          </w:p>
        </w:tc>
        <w:tc>
          <w:tcPr>
            <w:tcW w:type="dxa" w:w="2880"/>
            <w:vAlign w:val="center"/>
            <w:shd w:fill="F1F5F6"/>
          </w:tcPr>
          <w:p>
            <w:pPr>
              <w:keepLines/>
              <w:spacing w:after="20" w:line="240" w:lineRule="auto"/>
            </w:pPr>
            <w:r>
              <w:rPr>
                <w:rFonts w:ascii="Calibri" w:hAnsi="Calibri"/>
                <w:sz w:val="16"/>
              </w:rPr>
              <w:t>Product family, recipe/version, ingredient lot, supplier, packaging</w:t>
            </w:r>
          </w:p>
        </w:tc>
        <w:tc>
          <w:tcPr>
            <w:tcW w:type="dxa" w:w="5256"/>
            <w:vAlign w:val="center"/>
            <w:shd w:fill="F1F5F6"/>
          </w:tcPr>
          <w:p>
            <w:pPr>
              <w:keepLines/>
              <w:spacing w:after="20" w:line="240" w:lineRule="auto"/>
            </w:pPr>
            <w:r>
              <w:rPr>
                <w:rFonts w:ascii="Calibri" w:hAnsi="Calibri"/>
                <w:sz w:val="16"/>
              </w:rPr>
              <w:t>Are codes stable and effective-dated? Which categories are genuinely ordered?</w:t>
            </w:r>
          </w:p>
        </w:tc>
      </w:tr>
      <w:tr>
        <w:tc>
          <w:tcPr>
            <w:tcW w:type="dxa" w:w="1800"/>
            <w:vAlign w:val="center"/>
          </w:tcPr>
          <w:p>
            <w:pPr>
              <w:keepLines/>
              <w:spacing w:after="20" w:line="240" w:lineRule="auto"/>
            </w:pPr>
            <w:r>
              <w:rPr>
                <w:rFonts w:ascii="Calibri" w:hAnsi="Calibri"/>
                <w:sz w:val="16"/>
              </w:rPr>
              <w:t>Equipment and operation</w:t>
            </w:r>
          </w:p>
        </w:tc>
        <w:tc>
          <w:tcPr>
            <w:tcW w:type="dxa" w:w="2880"/>
            <w:vAlign w:val="center"/>
          </w:tcPr>
          <w:p>
            <w:pPr>
              <w:keepLines/>
              <w:spacing w:after="20" w:line="240" w:lineRule="auto"/>
            </w:pPr>
            <w:r>
              <w:rPr>
                <w:rFonts w:ascii="Calibri" w:hAnsi="Calibri"/>
                <w:sz w:val="16"/>
              </w:rPr>
              <w:t>Line, vessel, sensor ID, shift, operator, maintenance state</w:t>
            </w:r>
          </w:p>
        </w:tc>
        <w:tc>
          <w:tcPr>
            <w:tcW w:type="dxa" w:w="5256"/>
            <w:vAlign w:val="center"/>
          </w:tcPr>
          <w:p>
            <w:pPr>
              <w:keepLines/>
              <w:spacing w:after="20" w:line="240" w:lineRule="auto"/>
            </w:pPr>
            <w:r>
              <w:rPr>
                <w:rFonts w:ascii="Calibri" w:hAnsi="Calibri"/>
                <w:sz w:val="16"/>
              </w:rPr>
              <w:t>Are identities reliable? Can an apparent effect reflect a line or recipe change?</w:t>
            </w:r>
          </w:p>
        </w:tc>
      </w:tr>
      <w:tr>
        <w:tc>
          <w:tcPr>
            <w:tcW w:type="dxa" w:w="1800"/>
            <w:vAlign w:val="center"/>
            <w:shd w:fill="F1F5F6"/>
          </w:tcPr>
          <w:p>
            <w:pPr>
              <w:keepLines/>
              <w:spacing w:after="20" w:line="240" w:lineRule="auto"/>
            </w:pPr>
            <w:r>
              <w:rPr>
                <w:rFonts w:ascii="Calibri" w:hAnsi="Calibri"/>
                <w:sz w:val="16"/>
              </w:rPr>
              <w:t>Quality outcomes</w:t>
            </w:r>
          </w:p>
        </w:tc>
        <w:tc>
          <w:tcPr>
            <w:tcW w:type="dxa" w:w="2880"/>
            <w:vAlign w:val="center"/>
            <w:shd w:fill="F1F5F6"/>
          </w:tcPr>
          <w:p>
            <w:pPr>
              <w:keepLines/>
              <w:spacing w:after="20" w:line="240" w:lineRule="auto"/>
            </w:pPr>
            <w:r>
              <w:rPr>
                <w:rFonts w:ascii="Calibri" w:hAnsi="Calibri"/>
                <w:sz w:val="16"/>
              </w:rPr>
              <w:t>Laboratory result, sensory score, yield, release/rework outcome</w:t>
            </w:r>
          </w:p>
        </w:tc>
        <w:tc>
          <w:tcPr>
            <w:tcW w:type="dxa" w:w="5256"/>
            <w:vAlign w:val="center"/>
            <w:shd w:fill="F1F5F6"/>
          </w:tcPr>
          <w:p>
            <w:pPr>
              <w:keepLines/>
              <w:spacing w:after="20" w:line="240" w:lineRule="auto"/>
            </w:pPr>
            <w:r>
              <w:rPr>
                <w:rFonts w:ascii="Calibri" w:hAnsi="Calibri"/>
                <w:sz w:val="16"/>
              </w:rPr>
              <w:t>When is it measured and finalized? Does it occur before or after the prediction cutoff?</w:t>
            </w:r>
          </w:p>
        </w:tc>
      </w:tr>
      <w:tr>
        <w:tc>
          <w:tcPr>
            <w:tcW w:type="dxa" w:w="1800"/>
            <w:vAlign w:val="center"/>
          </w:tcPr>
          <w:p>
            <w:pPr>
              <w:keepLines/>
              <w:spacing w:after="20" w:line="240" w:lineRule="auto"/>
            </w:pPr>
            <w:r>
              <w:rPr>
                <w:rFonts w:ascii="Calibri" w:hAnsi="Calibri"/>
                <w:sz w:val="16"/>
              </w:rPr>
              <w:t>Measurement quality</w:t>
            </w:r>
          </w:p>
        </w:tc>
        <w:tc>
          <w:tcPr>
            <w:tcW w:type="dxa" w:w="2880"/>
            <w:vAlign w:val="center"/>
          </w:tcPr>
          <w:p>
            <w:pPr>
              <w:keepLines/>
              <w:spacing w:after="20" w:line="240" w:lineRule="auto"/>
            </w:pPr>
            <w:r>
              <w:rPr>
                <w:rFonts w:ascii="Calibri" w:hAnsi="Calibri"/>
                <w:sz w:val="16"/>
              </w:rPr>
              <w:t>Calibration status, fault code, missing reason, sample coverage</w:t>
            </w:r>
          </w:p>
        </w:tc>
        <w:tc>
          <w:tcPr>
            <w:tcW w:type="dxa" w:w="5256"/>
            <w:vAlign w:val="center"/>
          </w:tcPr>
          <w:p>
            <w:pPr>
              <w:keepLines/>
              <w:spacing w:after="20" w:line="240" w:lineRule="auto"/>
            </w:pPr>
            <w:r>
              <w:rPr>
                <w:rFonts w:ascii="Calibri" w:hAnsi="Calibri"/>
                <w:sz w:val="16"/>
              </w:rPr>
              <w:t>Can instrument faults be separated from real process excursions?</w:t>
            </w:r>
          </w:p>
        </w:tc>
      </w:tr>
    </w:tbl>
    <w:p>
      <w:pPr>
        <w:spacing w:after="20"/>
      </w:pPr>
    </w:p>
    <w:p>
      <w:r>
        <w:t>Profile distributions and missingness by product, stage, batch, line, and time. Check impossible values against instrument documentation and engineering knowledge, not just sample minima and maxima. Examine duplicates at the correct event key; preserve legitimate replicates. Check sensor sampling frequency, time ordering, unit consistency, category drift, correlation, and whether a variable is constant only because it is rarely active. Distinguish measured zero from missing, below detection limit, not applicable, and sensor failure.</w:t>
      </w:r>
    </w:p>
    <w:p>
      <w:r>
        <w:t>For the supplied inspection files, Week 1 identified fields including Inspection_Date, FacilityID, Type, RiskLevel, SectionViolations, and Inspection_Results. Type has missing and inconsistent categories, dates include invalid values, and facilities repeat. RiskLevel and SectionViolations may be recorded during or after inspection, so their availability is uncertain. These are inspection-process features, not factory process measurements; preserve source values and verify definitions before constructing them.</w:t>
      </w:r>
    </w:p>
    <w:p>
      <w:pPr>
        <w:pStyle w:val="Heading1"/>
      </w:pPr>
      <w:r>
        <w:t>3. Proposed feature creation</w:t>
      </w:r>
    </w:p>
    <w:p>
      <w:pPr>
        <w:pStyle w:val="Heading2"/>
      </w:pPr>
      <w:r>
        <w:t>3.1 Feature families and creation rationale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2A4D60"/>
            <w:vAlign w:val="center"/>
          </w:tcPr>
          <w:p>
            <w:pPr>
              <w:keepLines/>
              <w:spacing w:after="20"/>
            </w:pPr>
            <w:r>
              <w:rPr>
                <w:rFonts w:ascii="Calibri" w:hAnsi="Calibri"/>
                <w:b/>
                <w:color w:val="FFFFFF"/>
                <w:sz w:val="15"/>
              </w:rPr>
              <w:t>Family</w:t>
            </w:r>
          </w:p>
        </w:tc>
        <w:tc>
          <w:tcPr>
            <w:tcW w:type="dxa" w:w="3528"/>
            <w:shd w:fill="2A4D60"/>
            <w:vAlign w:val="center"/>
          </w:tcPr>
          <w:p>
            <w:pPr>
              <w:keepLines/>
              <w:spacing w:after="20"/>
            </w:pPr>
            <w:r>
              <w:rPr>
                <w:rFonts w:ascii="Calibri" w:hAnsi="Calibri"/>
                <w:b/>
                <w:color w:val="FFFFFF"/>
                <w:sz w:val="15"/>
              </w:rPr>
              <w:t>Candidate feature</w:t>
            </w:r>
          </w:p>
        </w:tc>
        <w:tc>
          <w:tcPr>
            <w:tcW w:type="dxa" w:w="4752"/>
            <w:shd w:fill="2A4D60"/>
            <w:vAlign w:val="center"/>
          </w:tcPr>
          <w:p>
            <w:pPr>
              <w:keepLines/>
              <w:spacing w:after="20"/>
            </w:pPr>
            <w:r>
              <w:rPr>
                <w:rFonts w:ascii="Calibri" w:hAnsi="Calibri"/>
                <w:b/>
                <w:color w:val="FFFFFF"/>
                <w:sz w:val="15"/>
              </w:rPr>
              <w:t>Rationale and safeguards</w:t>
            </w:r>
          </w:p>
        </w:tc>
      </w:tr>
      <w:tr>
        <w:tc>
          <w:tcPr>
            <w:tcW w:type="dxa" w:w="1656"/>
            <w:vAlign w:val="center"/>
            <w:shd w:fill="F1F5F6"/>
          </w:tcPr>
          <w:p>
            <w:pPr>
              <w:keepLines/>
              <w:spacing w:after="20" w:line="240" w:lineRule="auto"/>
            </w:pPr>
            <w:r>
              <w:rPr>
                <w:rFonts w:ascii="Calibri" w:hAnsi="Calibri"/>
                <w:sz w:val="15"/>
              </w:rPr>
              <w:t>Target-relative</w:t>
            </w:r>
          </w:p>
        </w:tc>
        <w:tc>
          <w:tcPr>
            <w:tcW w:type="dxa" w:w="3528"/>
            <w:vAlign w:val="center"/>
            <w:shd w:fill="F1F5F6"/>
          </w:tcPr>
          <w:p>
            <w:pPr>
              <w:keepLines/>
              <w:spacing w:after="20" w:line="240" w:lineRule="auto"/>
            </w:pPr>
            <w:r>
              <w:rPr>
                <w:rFonts w:ascii="Calibri" w:hAnsi="Calibri"/>
                <w:sz w:val="15"/>
              </w:rPr>
              <w:t>Deviation = observed value - approved target; absolute deviation; percent deviation where denominator is meaningful</w:t>
            </w:r>
          </w:p>
        </w:tc>
        <w:tc>
          <w:tcPr>
            <w:tcW w:type="dxa" w:w="4752"/>
            <w:vAlign w:val="center"/>
            <w:shd w:fill="F1F5F6"/>
          </w:tcPr>
          <w:p>
            <w:pPr>
              <w:keepLines/>
              <w:spacing w:after="20" w:line="240" w:lineRule="auto"/>
            </w:pPr>
            <w:r>
              <w:rPr>
                <w:rFonts w:ascii="Calibri" w:hAnsi="Calibri"/>
                <w:sz w:val="15"/>
              </w:rPr>
              <w:t>Captures distance from the recipe or validated target. Version the target by product, recipe, stage, and effective date.</w:t>
            </w:r>
          </w:p>
        </w:tc>
      </w:tr>
      <w:tr>
        <w:tc>
          <w:tcPr>
            <w:tcW w:type="dxa" w:w="1656"/>
            <w:vAlign w:val="center"/>
          </w:tcPr>
          <w:p>
            <w:pPr>
              <w:keepLines/>
              <w:spacing w:after="20" w:line="240" w:lineRule="auto"/>
            </w:pPr>
            <w:r>
              <w:rPr>
                <w:rFonts w:ascii="Calibri" w:hAnsi="Calibri"/>
                <w:sz w:val="15"/>
              </w:rPr>
              <w:t>Exposure and compliance</w:t>
            </w:r>
          </w:p>
        </w:tc>
        <w:tc>
          <w:tcPr>
            <w:tcW w:type="dxa" w:w="3528"/>
            <w:vAlign w:val="center"/>
          </w:tcPr>
          <w:p>
            <w:pPr>
              <w:keepLines/>
              <w:spacing w:after="20" w:line="240" w:lineRule="auto"/>
            </w:pPr>
            <w:r>
              <w:rPr>
                <w:rFonts w:ascii="Calibri" w:hAnsi="Calibri"/>
                <w:sz w:val="15"/>
              </w:rPr>
              <w:t>Minutes in approved operating band; time above/below band; cumulative degree-minutes or other unit-time exposure</w:t>
            </w:r>
          </w:p>
        </w:tc>
        <w:tc>
          <w:tcPr>
            <w:tcW w:type="dxa" w:w="4752"/>
            <w:vAlign w:val="center"/>
          </w:tcPr>
          <w:p>
            <w:pPr>
              <w:keepLines/>
              <w:spacing w:after="20" w:line="240" w:lineRule="auto"/>
            </w:pPr>
            <w:r>
              <w:rPr>
                <w:rFonts w:ascii="Calibri" w:hAnsi="Calibri"/>
                <w:sz w:val="15"/>
              </w:rPr>
              <w:t>Represents duration as well as magnitude. Use event-time ordering, sensor coverage rules, and limits approved for the specific process.</w:t>
            </w:r>
          </w:p>
        </w:tc>
      </w:tr>
      <w:tr>
        <w:tc>
          <w:tcPr>
            <w:tcW w:type="dxa" w:w="1656"/>
            <w:vAlign w:val="center"/>
            <w:shd w:fill="F1F5F6"/>
          </w:tcPr>
          <w:p>
            <w:pPr>
              <w:keepLines/>
              <w:spacing w:after="20" w:line="240" w:lineRule="auto"/>
            </w:pPr>
            <w:r>
              <w:rPr>
                <w:rFonts w:ascii="Calibri" w:hAnsi="Calibri"/>
                <w:sz w:val="15"/>
              </w:rPr>
              <w:t>Dynamics</w:t>
            </w:r>
          </w:p>
        </w:tc>
        <w:tc>
          <w:tcPr>
            <w:tcW w:type="dxa" w:w="3528"/>
            <w:vAlign w:val="center"/>
            <w:shd w:fill="F1F5F6"/>
          </w:tcPr>
          <w:p>
            <w:pPr>
              <w:keepLines/>
              <w:spacing w:after="20" w:line="240" w:lineRule="auto"/>
            </w:pPr>
            <w:r>
              <w:rPr>
                <w:rFonts w:ascii="Calibri" w:hAnsi="Calibri"/>
                <w:sz w:val="15"/>
              </w:rPr>
              <w:t>Rate of change, lag values, rolling mean, rolling standard deviation, rolling min/max, time since last excursion</w:t>
            </w:r>
          </w:p>
        </w:tc>
        <w:tc>
          <w:tcPr>
            <w:tcW w:type="dxa" w:w="4752"/>
            <w:vAlign w:val="center"/>
            <w:shd w:fill="F1F5F6"/>
          </w:tcPr>
          <w:p>
            <w:pPr>
              <w:keepLines/>
              <w:spacing w:after="20" w:line="240" w:lineRule="auto"/>
            </w:pPr>
            <w:r>
              <w:rPr>
                <w:rFonts w:ascii="Calibri" w:hAnsi="Calibri"/>
                <w:sz w:val="15"/>
              </w:rPr>
              <w:t>Captures trends and instability. Compute from past readings only; record window length and minimum coverage.</w:t>
            </w:r>
          </w:p>
        </w:tc>
      </w:tr>
      <w:tr>
        <w:tc>
          <w:tcPr>
            <w:tcW w:type="dxa" w:w="1656"/>
            <w:vAlign w:val="center"/>
          </w:tcPr>
          <w:p>
            <w:pPr>
              <w:keepLines/>
              <w:spacing w:after="20" w:line="240" w:lineRule="auto"/>
            </w:pPr>
            <w:r>
              <w:rPr>
                <w:rFonts w:ascii="Calibri" w:hAnsi="Calibri"/>
                <w:sz w:val="15"/>
              </w:rPr>
              <w:t>Batch summaries</w:t>
            </w:r>
          </w:p>
        </w:tc>
        <w:tc>
          <w:tcPr>
            <w:tcW w:type="dxa" w:w="3528"/>
            <w:vAlign w:val="center"/>
          </w:tcPr>
          <w:p>
            <w:pPr>
              <w:keepLines/>
              <w:spacing w:after="20" w:line="240" w:lineRule="auto"/>
            </w:pPr>
            <w:r>
              <w:rPr>
                <w:rFonts w:ascii="Calibri" w:hAnsi="Calibri"/>
                <w:sz w:val="15"/>
              </w:rPr>
              <w:t>Start/end value, mean, median, range, standard deviation, slope, fraction of time observed, time to target</w:t>
            </w:r>
          </w:p>
        </w:tc>
        <w:tc>
          <w:tcPr>
            <w:tcW w:type="dxa" w:w="4752"/>
            <w:vAlign w:val="center"/>
          </w:tcPr>
          <w:p>
            <w:pPr>
              <w:keepLines/>
              <w:spacing w:after="20" w:line="240" w:lineRule="auto"/>
            </w:pPr>
            <w:r>
              <w:rPr>
                <w:rFonts w:ascii="Calibri" w:hAnsi="Calibri"/>
                <w:sz w:val="15"/>
              </w:rPr>
              <w:t>Summarizes a run for end-of-batch prediction. Do not use the summary before its full time window has elapsed.</w:t>
            </w:r>
          </w:p>
        </w:tc>
      </w:tr>
      <w:tr>
        <w:tc>
          <w:tcPr>
            <w:tcW w:type="dxa" w:w="1656"/>
            <w:vAlign w:val="center"/>
            <w:shd w:fill="F1F5F6"/>
          </w:tcPr>
          <w:p>
            <w:pPr>
              <w:keepLines/>
              <w:spacing w:after="20" w:line="240" w:lineRule="auto"/>
            </w:pPr>
            <w:r>
              <w:rPr>
                <w:rFonts w:ascii="Calibri" w:hAnsi="Calibri"/>
                <w:sz w:val="15"/>
              </w:rPr>
              <w:t>Sensor health</w:t>
            </w:r>
          </w:p>
        </w:tc>
        <w:tc>
          <w:tcPr>
            <w:tcW w:type="dxa" w:w="3528"/>
            <w:vAlign w:val="center"/>
            <w:shd w:fill="F1F5F6"/>
          </w:tcPr>
          <w:p>
            <w:pPr>
              <w:keepLines/>
              <w:spacing w:after="20" w:line="240" w:lineRule="auto"/>
            </w:pPr>
            <w:r>
              <w:rPr>
                <w:rFonts w:ascii="Calibri" w:hAnsi="Calibri"/>
                <w:sz w:val="15"/>
              </w:rPr>
              <w:t>Missing fraction, longest gap, flatline duration, calibration age, fault count, disagreement between redundant sensors</w:t>
            </w:r>
          </w:p>
        </w:tc>
        <w:tc>
          <w:tcPr>
            <w:tcW w:type="dxa" w:w="4752"/>
            <w:vAlign w:val="center"/>
            <w:shd w:fill="F1F5F6"/>
          </w:tcPr>
          <w:p>
            <w:pPr>
              <w:keepLines/>
              <w:spacing w:after="20" w:line="240" w:lineRule="auto"/>
            </w:pPr>
            <w:r>
              <w:rPr>
                <w:rFonts w:ascii="Calibri" w:hAnsi="Calibri"/>
                <w:sz w:val="15"/>
              </w:rPr>
              <w:t>Separates process behavior from measurement reliability. Keep health indicators distinct from the process value itself.</w:t>
            </w:r>
          </w:p>
        </w:tc>
      </w:tr>
      <w:tr>
        <w:tc>
          <w:tcPr>
            <w:tcW w:type="dxa" w:w="1656"/>
            <w:vAlign w:val="center"/>
          </w:tcPr>
          <w:p>
            <w:pPr>
              <w:keepLines/>
              <w:spacing w:after="20" w:line="240" w:lineRule="auto"/>
            </w:pPr>
            <w:r>
              <w:rPr>
                <w:rFonts w:ascii="Calibri" w:hAnsi="Calibri"/>
                <w:sz w:val="15"/>
              </w:rPr>
              <w:t>Material and recipe</w:t>
            </w:r>
          </w:p>
        </w:tc>
        <w:tc>
          <w:tcPr>
            <w:tcW w:type="dxa" w:w="3528"/>
            <w:vAlign w:val="center"/>
          </w:tcPr>
          <w:p>
            <w:pPr>
              <w:keepLines/>
              <w:spacing w:after="20" w:line="240" w:lineRule="auto"/>
            </w:pPr>
            <w:r>
              <w:rPr>
                <w:rFonts w:ascii="Calibri" w:hAnsi="Calibri"/>
                <w:sz w:val="15"/>
              </w:rPr>
              <w:t>Recipe version, incoming ingredient moisture/Brix/pH, lot-level historical variability</w:t>
            </w:r>
          </w:p>
        </w:tc>
        <w:tc>
          <w:tcPr>
            <w:tcW w:type="dxa" w:w="4752"/>
            <w:vAlign w:val="center"/>
          </w:tcPr>
          <w:p>
            <w:pPr>
              <w:keepLines/>
              <w:spacing w:after="20" w:line="240" w:lineRule="auto"/>
            </w:pPr>
            <w:r>
              <w:rPr>
                <w:rFonts w:ascii="Calibri" w:hAnsi="Calibri"/>
                <w:sz w:val="15"/>
              </w:rPr>
              <w:t>Captures raw-material and formulation context. Historical aggregates must be calculated from data available before the batch.</w:t>
            </w:r>
          </w:p>
        </w:tc>
      </w:tr>
      <w:tr>
        <w:tc>
          <w:tcPr>
            <w:tcW w:type="dxa" w:w="1656"/>
            <w:vAlign w:val="center"/>
            <w:shd w:fill="F1F5F6"/>
          </w:tcPr>
          <w:p>
            <w:pPr>
              <w:keepLines/>
              <w:spacing w:after="20" w:line="240" w:lineRule="auto"/>
            </w:pPr>
            <w:r>
              <w:rPr>
                <w:rFonts w:ascii="Calibri" w:hAnsi="Calibri"/>
                <w:sz w:val="15"/>
              </w:rPr>
              <w:t>Outcome-adjacent</w:t>
            </w:r>
          </w:p>
        </w:tc>
        <w:tc>
          <w:tcPr>
            <w:tcW w:type="dxa" w:w="3528"/>
            <w:vAlign w:val="center"/>
            <w:shd w:fill="F1F5F6"/>
          </w:tcPr>
          <w:p>
            <w:pPr>
              <w:keepLines/>
              <w:spacing w:after="20" w:line="240" w:lineRule="auto"/>
            </w:pPr>
            <w:r>
              <w:rPr>
                <w:rFonts w:ascii="Calibri" w:hAnsi="Calibri"/>
                <w:sz w:val="15"/>
              </w:rPr>
              <w:t>Laboratory result, final QC status, rework or release code</w:t>
            </w:r>
          </w:p>
        </w:tc>
        <w:tc>
          <w:tcPr>
            <w:tcW w:type="dxa" w:w="4752"/>
            <w:vAlign w:val="center"/>
            <w:shd w:fill="F1F5F6"/>
          </w:tcPr>
          <w:p>
            <w:pPr>
              <w:keepLines/>
              <w:spacing w:after="20" w:line="240" w:lineRule="auto"/>
            </w:pPr>
            <w:r>
              <w:rPr>
                <w:rFonts w:ascii="Calibri" w:hAnsi="Calibri"/>
                <w:sz w:val="15"/>
              </w:rPr>
              <w:t>Potential targets or explanatory labels. Exclude from early prediction when observed after the cutoff to prevent leakage.</w:t>
            </w:r>
          </w:p>
        </w:tc>
      </w:tr>
    </w:tbl>
    <w:p>
      <w:pPr>
        <w:spacing w:after="20"/>
      </w:pPr>
    </w:p>
    <w:p>
      <w:r>
        <w:t>Illustrative formulae (the process owner must define valid units, timing, and specification versions):</w:t>
      </w:r>
    </w:p>
    <w:p>
      <w:pPr>
        <w:pStyle w:val="ListBullet"/>
      </w:pPr>
      <w:r>
        <w:t>Target deviation: deviation_t = measurement_t - target(product, recipe, stage, specification_version).</w:t>
      </w:r>
    </w:p>
    <w:p>
      <w:pPr>
        <w:pStyle w:val="ListBullet"/>
      </w:pPr>
      <w:r>
        <w:t>Rolling variability: rolling_sd_t = standard deviation of the preceding W valid readings, provided minimum coverage is met.</w:t>
      </w:r>
    </w:p>
    <w:p>
      <w:pPr>
        <w:pStyle w:val="ListBullet"/>
      </w:pPr>
      <w:r>
        <w:t>Rate of change: slope_t = (measurement_t - measurement_(t-k)) / elapsed_time; reject or flag nonpositive elapsed time.</w:t>
      </w:r>
    </w:p>
    <w:p>
      <w:pPr>
        <w:pStyle w:val="ListBullet"/>
      </w:pPr>
      <w:r>
        <w:t>Time in band: sum of elapsed intervals whose readings satisfy the approved band, with an explicit rule for missing intervals and state transitions.</w:t>
      </w:r>
    </w:p>
    <w:p>
      <w:pPr>
        <w:pStyle w:val="ListBullet"/>
      </w:pPr>
      <w:r>
        <w:t>Sensor coverage: valid observed duration / expected duration for the defined batch stage; report missingness separately from a low process value.</w:t>
      </w:r>
    </w:p>
    <w:p>
      <w:pPr>
        <w:pStyle w:val="Heading2"/>
      </w:pPr>
      <w:r>
        <w:t>3.2 Transformation techniques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2A4D60"/>
            <w:vAlign w:val="center"/>
          </w:tcPr>
          <w:p>
            <w:pPr>
              <w:keepLines/>
              <w:spacing w:after="20"/>
            </w:pPr>
            <w:r>
              <w:rPr>
                <w:rFonts w:ascii="Calibri" w:hAnsi="Calibri"/>
                <w:b/>
                <w:color w:val="FFFFFF"/>
                <w:sz w:val="15"/>
              </w:rPr>
              <w:t>Technique</w:t>
            </w:r>
          </w:p>
        </w:tc>
        <w:tc>
          <w:tcPr>
            <w:tcW w:type="dxa" w:w="3672"/>
            <w:shd w:fill="2A4D60"/>
            <w:vAlign w:val="center"/>
          </w:tcPr>
          <w:p>
            <w:pPr>
              <w:keepLines/>
              <w:spacing w:after="20"/>
            </w:pPr>
            <w:r>
              <w:rPr>
                <w:rFonts w:ascii="Calibri" w:hAnsi="Calibri"/>
                <w:b/>
                <w:color w:val="FFFFFF"/>
                <w:sz w:val="15"/>
              </w:rPr>
              <w:t>Use in this context</w:t>
            </w:r>
          </w:p>
        </w:tc>
        <w:tc>
          <w:tcPr>
            <w:tcW w:type="dxa" w:w="4464"/>
            <w:shd w:fill="2A4D60"/>
            <w:vAlign w:val="center"/>
          </w:tcPr>
          <w:p>
            <w:pPr>
              <w:keepLines/>
              <w:spacing w:after="20"/>
            </w:pPr>
            <w:r>
              <w:rPr>
                <w:rFonts w:ascii="Calibri" w:hAnsi="Calibri"/>
                <w:b/>
                <w:color w:val="FFFFFF"/>
                <w:sz w:val="15"/>
              </w:rPr>
              <w:t>Controls</w:t>
            </w:r>
          </w:p>
        </w:tc>
      </w:tr>
      <w:tr>
        <w:tc>
          <w:tcPr>
            <w:tcW w:type="dxa" w:w="1800"/>
            <w:vAlign w:val="center"/>
            <w:shd w:fill="F1F5F6"/>
          </w:tcPr>
          <w:p>
            <w:pPr>
              <w:keepLines/>
              <w:spacing w:after="20" w:line="240" w:lineRule="auto"/>
            </w:pPr>
            <w:r>
              <w:rPr>
                <w:rFonts w:ascii="Calibri" w:hAnsi="Calibri"/>
                <w:sz w:val="15"/>
              </w:rPr>
              <w:t>Scaling and centering</w:t>
            </w:r>
          </w:p>
        </w:tc>
        <w:tc>
          <w:tcPr>
            <w:tcW w:type="dxa" w:w="3672"/>
            <w:vAlign w:val="center"/>
            <w:shd w:fill="F1F5F6"/>
          </w:tcPr>
          <w:p>
            <w:pPr>
              <w:keepLines/>
              <w:spacing w:after="20" w:line="240" w:lineRule="auto"/>
            </w:pPr>
            <w:r>
              <w:rPr>
                <w:rFonts w:ascii="Calibri" w:hAnsi="Calibri"/>
                <w:sz w:val="15"/>
              </w:rPr>
              <w:t>Standardize numeric predictors for regularized linear models and distance-based clustering.</w:t>
            </w:r>
          </w:p>
        </w:tc>
        <w:tc>
          <w:tcPr>
            <w:tcW w:type="dxa" w:w="4464"/>
            <w:vAlign w:val="center"/>
            <w:shd w:fill="F1F5F6"/>
          </w:tcPr>
          <w:p>
            <w:pPr>
              <w:keepLines/>
              <w:spacing w:after="20" w:line="240" w:lineRule="auto"/>
            </w:pPr>
            <w:r>
              <w:rPr>
                <w:rFonts w:ascii="Calibri" w:hAnsi="Calibri"/>
                <w:sz w:val="15"/>
              </w:rPr>
              <w:t>Fit only on training folds. Preserve engineering-unit fields alongside scaled copies.</w:t>
            </w:r>
          </w:p>
        </w:tc>
      </w:tr>
      <w:tr>
        <w:tc>
          <w:tcPr>
            <w:tcW w:type="dxa" w:w="1800"/>
            <w:vAlign w:val="center"/>
          </w:tcPr>
          <w:p>
            <w:pPr>
              <w:keepLines/>
              <w:spacing w:after="20" w:line="240" w:lineRule="auto"/>
            </w:pPr>
            <w:r>
              <w:rPr>
                <w:rFonts w:ascii="Calibri" w:hAnsi="Calibri"/>
                <w:sz w:val="15"/>
              </w:rPr>
              <w:t>Log or power transform</w:t>
            </w:r>
          </w:p>
        </w:tc>
        <w:tc>
          <w:tcPr>
            <w:tcW w:type="dxa" w:w="3672"/>
            <w:vAlign w:val="center"/>
          </w:tcPr>
          <w:p>
            <w:pPr>
              <w:keepLines/>
              <w:spacing w:after="20" w:line="240" w:lineRule="auto"/>
            </w:pPr>
            <w:r>
              <w:rPr>
                <w:rFonts w:ascii="Calibri" w:hAnsi="Calibri"/>
                <w:sz w:val="15"/>
              </w:rPr>
              <w:t>Reduce right skew in positive durations, counts, or concentrations when scientifically appropriate.</w:t>
            </w:r>
          </w:p>
        </w:tc>
        <w:tc>
          <w:tcPr>
            <w:tcW w:type="dxa" w:w="4464"/>
            <w:vAlign w:val="center"/>
          </w:tcPr>
          <w:p>
            <w:pPr>
              <w:keepLines/>
              <w:spacing w:after="20" w:line="240" w:lineRule="auto"/>
            </w:pPr>
            <w:r>
              <w:rPr>
                <w:rFonts w:ascii="Calibri" w:hAnsi="Calibri"/>
                <w:sz w:val="15"/>
              </w:rPr>
              <w:t>Do not apply to nonpositive values without a justified offset; compare performance and residuals.</w:t>
            </w:r>
          </w:p>
        </w:tc>
      </w:tr>
      <w:tr>
        <w:tc>
          <w:tcPr>
            <w:tcW w:type="dxa" w:w="1800"/>
            <w:vAlign w:val="center"/>
            <w:shd w:fill="F1F5F6"/>
          </w:tcPr>
          <w:p>
            <w:pPr>
              <w:keepLines/>
              <w:spacing w:after="20" w:line="240" w:lineRule="auto"/>
            </w:pPr>
            <w:r>
              <w:rPr>
                <w:rFonts w:ascii="Calibri" w:hAnsi="Calibri"/>
                <w:sz w:val="15"/>
              </w:rPr>
              <w:t>Polynomial terms</w:t>
            </w:r>
          </w:p>
        </w:tc>
        <w:tc>
          <w:tcPr>
            <w:tcW w:type="dxa" w:w="3672"/>
            <w:vAlign w:val="center"/>
            <w:shd w:fill="F1F5F6"/>
          </w:tcPr>
          <w:p>
            <w:pPr>
              <w:keepLines/>
              <w:spacing w:after="20" w:line="240" w:lineRule="auto"/>
            </w:pPr>
            <w:r>
              <w:rPr>
                <w:rFonts w:ascii="Calibri" w:hAnsi="Calibri"/>
                <w:sz w:val="15"/>
              </w:rPr>
              <w:t>Add curvature for plausible nonlinear response, e.g. temperature deviation squared or a low-degree polynomial in process time.</w:t>
            </w:r>
          </w:p>
        </w:tc>
        <w:tc>
          <w:tcPr>
            <w:tcW w:type="dxa" w:w="4464"/>
            <w:vAlign w:val="center"/>
            <w:shd w:fill="F1F5F6"/>
          </w:tcPr>
          <w:p>
            <w:pPr>
              <w:keepLines/>
              <w:spacing w:after="20" w:line="240" w:lineRule="auto"/>
            </w:pPr>
            <w:r>
              <w:rPr>
                <w:rFonts w:ascii="Calibri" w:hAnsi="Calibri"/>
                <w:sz w:val="15"/>
              </w:rPr>
              <w:t>Center/scale first when appropriate; keep degree low, regularize, and avoid extrapolating beyond observed/validated ranges.</w:t>
            </w:r>
          </w:p>
        </w:tc>
      </w:tr>
      <w:tr>
        <w:tc>
          <w:tcPr>
            <w:tcW w:type="dxa" w:w="1800"/>
            <w:vAlign w:val="center"/>
          </w:tcPr>
          <w:p>
            <w:pPr>
              <w:keepLines/>
              <w:spacing w:after="20" w:line="240" w:lineRule="auto"/>
            </w:pPr>
            <w:r>
              <w:rPr>
                <w:rFonts w:ascii="Calibri" w:hAnsi="Calibri"/>
                <w:sz w:val="15"/>
              </w:rPr>
              <w:t>Binning</w:t>
            </w:r>
          </w:p>
        </w:tc>
        <w:tc>
          <w:tcPr>
            <w:tcW w:type="dxa" w:w="3672"/>
            <w:vAlign w:val="center"/>
          </w:tcPr>
          <w:p>
            <w:pPr>
              <w:keepLines/>
              <w:spacing w:after="20" w:line="240" w:lineRule="auto"/>
            </w:pPr>
            <w:r>
              <w:rPr>
                <w:rFonts w:ascii="Calibri" w:hAnsi="Calibri"/>
                <w:sz w:val="15"/>
              </w:rPr>
              <w:t>Create specification-relative states such as below-target, in-band, and above-target; or use approved process stages.</w:t>
            </w:r>
          </w:p>
        </w:tc>
        <w:tc>
          <w:tcPr>
            <w:tcW w:type="dxa" w:w="4464"/>
            <w:vAlign w:val="center"/>
          </w:tcPr>
          <w:p>
            <w:pPr>
              <w:keepLines/>
              <w:spacing w:after="20" w:line="240" w:lineRule="auto"/>
            </w:pPr>
            <w:r>
              <w:rPr>
                <w:rFonts w:ascii="Calibri" w:hAnsi="Calibri"/>
                <w:sz w:val="15"/>
              </w:rPr>
              <w:t>Prefer engineering thresholds. Quantile bins are exploratory only, learned on training data, and may hide within-bin variation.</w:t>
            </w:r>
          </w:p>
        </w:tc>
      </w:tr>
      <w:tr>
        <w:tc>
          <w:tcPr>
            <w:tcW w:type="dxa" w:w="1800"/>
            <w:vAlign w:val="center"/>
            <w:shd w:fill="F1F5F6"/>
          </w:tcPr>
          <w:p>
            <w:pPr>
              <w:keepLines/>
              <w:spacing w:after="20" w:line="240" w:lineRule="auto"/>
            </w:pPr>
            <w:r>
              <w:rPr>
                <w:rFonts w:ascii="Calibri" w:hAnsi="Calibri"/>
                <w:sz w:val="15"/>
              </w:rPr>
              <w:t>Interactions</w:t>
            </w:r>
          </w:p>
        </w:tc>
        <w:tc>
          <w:tcPr>
            <w:tcW w:type="dxa" w:w="3672"/>
            <w:vAlign w:val="center"/>
            <w:shd w:fill="F1F5F6"/>
          </w:tcPr>
          <w:p>
            <w:pPr>
              <w:keepLines/>
              <w:spacing w:after="20" w:line="240" w:lineRule="auto"/>
            </w:pPr>
            <w:r>
              <w:rPr>
                <w:rFonts w:ascii="Calibri" w:hAnsi="Calibri"/>
                <w:sz w:val="15"/>
              </w:rPr>
              <w:t>Test domain-motivated combinations such as temperature deviation x exposure time or recipe x line.</w:t>
            </w:r>
          </w:p>
        </w:tc>
        <w:tc>
          <w:tcPr>
            <w:tcW w:type="dxa" w:w="4464"/>
            <w:vAlign w:val="center"/>
            <w:shd w:fill="F1F5F6"/>
          </w:tcPr>
          <w:p>
            <w:pPr>
              <w:keepLines/>
              <w:spacing w:after="20" w:line="240" w:lineRule="auto"/>
            </w:pPr>
            <w:r>
              <w:rPr>
                <w:rFonts w:ascii="Calibri" w:hAnsi="Calibri"/>
                <w:sz w:val="15"/>
              </w:rPr>
              <w:t>Pre-specify a small set, inspect collinearity, use regularization or tree comparisons, and confirm across folds.</w:t>
            </w:r>
          </w:p>
        </w:tc>
      </w:tr>
      <w:tr>
        <w:tc>
          <w:tcPr>
            <w:tcW w:type="dxa" w:w="1800"/>
            <w:vAlign w:val="center"/>
          </w:tcPr>
          <w:p>
            <w:pPr>
              <w:keepLines/>
              <w:spacing w:after="20" w:line="240" w:lineRule="auto"/>
            </w:pPr>
            <w:r>
              <w:rPr>
                <w:rFonts w:ascii="Calibri" w:hAnsi="Calibri"/>
                <w:sz w:val="15"/>
              </w:rPr>
              <w:t>Categorical encoding</w:t>
            </w:r>
          </w:p>
        </w:tc>
        <w:tc>
          <w:tcPr>
            <w:tcW w:type="dxa" w:w="3672"/>
            <w:vAlign w:val="center"/>
          </w:tcPr>
          <w:p>
            <w:pPr>
              <w:keepLines/>
              <w:spacing w:after="20" w:line="240" w:lineRule="auto"/>
            </w:pPr>
            <w:r>
              <w:rPr>
                <w:rFonts w:ascii="Calibri" w:hAnsi="Calibri"/>
                <w:sz w:val="15"/>
              </w:rPr>
              <w:t>One-hot encode low-cardinality nominal fields; use documented ordering only for true ordinal states.</w:t>
            </w:r>
          </w:p>
        </w:tc>
        <w:tc>
          <w:tcPr>
            <w:tcW w:type="dxa" w:w="4464"/>
            <w:vAlign w:val="center"/>
          </w:tcPr>
          <w:p>
            <w:pPr>
              <w:keepLines/>
              <w:spacing w:after="20" w:line="240" w:lineRule="auto"/>
            </w:pPr>
            <w:r>
              <w:rPr>
                <w:rFonts w:ascii="Calibri" w:hAnsi="Calibri"/>
                <w:sz w:val="15"/>
              </w:rPr>
              <w:t>Handle unseen categories deterministically. Cross-fit any target-derived encoding within training folds.</w:t>
            </w:r>
          </w:p>
        </w:tc>
      </w:tr>
      <w:tr>
        <w:tc>
          <w:tcPr>
            <w:tcW w:type="dxa" w:w="1800"/>
            <w:vAlign w:val="center"/>
            <w:shd w:fill="F1F5F6"/>
          </w:tcPr>
          <w:p>
            <w:pPr>
              <w:keepLines/>
              <w:spacing w:after="20" w:line="240" w:lineRule="auto"/>
            </w:pPr>
            <w:r>
              <w:rPr>
                <w:rFonts w:ascii="Calibri" w:hAnsi="Calibri"/>
                <w:sz w:val="15"/>
              </w:rPr>
              <w:t>Missingness and flags</w:t>
            </w:r>
          </w:p>
        </w:tc>
        <w:tc>
          <w:tcPr>
            <w:tcW w:type="dxa" w:w="3672"/>
            <w:vAlign w:val="center"/>
            <w:shd w:fill="F1F5F6"/>
          </w:tcPr>
          <w:p>
            <w:pPr>
              <w:keepLines/>
              <w:spacing w:after="20" w:line="240" w:lineRule="auto"/>
            </w:pPr>
            <w:r>
              <w:rPr>
                <w:rFonts w:ascii="Calibri" w:hAnsi="Calibri"/>
                <w:sz w:val="15"/>
              </w:rPr>
              <w:t>Represent sensor outage, invalid parse, not-applicable status, calibration fault, and coverage.</w:t>
            </w:r>
          </w:p>
        </w:tc>
        <w:tc>
          <w:tcPr>
            <w:tcW w:type="dxa" w:w="4464"/>
            <w:vAlign w:val="center"/>
            <w:shd w:fill="F1F5F6"/>
          </w:tcPr>
          <w:p>
            <w:pPr>
              <w:keepLines/>
              <w:spacing w:after="20" w:line="240" w:lineRule="auto"/>
            </w:pPr>
            <w:r>
              <w:rPr>
                <w:rFonts w:ascii="Calibri" w:hAnsi="Calibri"/>
                <w:sz w:val="15"/>
              </w:rPr>
              <w:t>Do not silently impute critical readings or treat a missing violation/measurement as zero.</w:t>
            </w:r>
          </w:p>
        </w:tc>
      </w:tr>
    </w:tbl>
    <w:p>
      <w:pPr>
        <w:spacing w:after="20"/>
      </w:pPr>
    </w:p>
    <w:p>
      <w:r>
        <w:t>Interactions and polynomial expansions can multiply the number of predictors. Begin with a short, mechanistic shortlist; use regularization and grouped feature review rather than generating every possible product. Do not cap or delete unusual process measurements before investigating whether they represent valid excursions. If robust clipping is tested for model stability, learn cutoffs inside training folds, keep original values, and report results with and without clipping.</w:t>
      </w:r>
    </w:p>
    <w:p>
      <w:pPr>
        <w:pStyle w:val="Heading2"/>
      </w:pPr>
      <w:r>
        <w:t>3.3 Example feature set for a batch endpoint model</w:t>
      </w:r>
    </w:p>
    <w:p>
      <w:r>
        <w:t>For an illustrative task that predicts final product moisture at the end of drying, the input cutoff could be a named checkpoint before the final laboratory result is known. Candidate predictors would include product and recipe version, incoming ingredient moisture, initial batch moisture, average and variability of drying temperature up to the checkpoint, temperature-target deviation, flow/pressure summaries, elapsed process time, recent moisture trend, sensor coverage, calibration/fault flags, and time spent in approved operating bands. The target would be the laboratory final-moisture result linked to the same batch and sample method.</w:t>
      </w:r>
    </w:p>
    <w:p>
      <w:r>
        <w:t>This is a design example only. It is not evidence that these measurements or outcomes exist in the Week 1 archive, and no universal moisture target, temperature threshold, or safety limit is assumed. A process engineer and quality owner must confirm the available fields, measurement methods, specification versions, and prediction cutoff.</w:t>
      </w:r>
    </w:p>
    <w:p>
      <w:pPr>
        <w:pStyle w:val="Heading1"/>
      </w:pPr>
      <w:r>
        <w:t>4. Exploratory modeling plan</w:t>
      </w:r>
    </w:p>
    <w:p>
      <w:r>
        <w:t>Run a baseline before adding engineered feature groups, then compare each group incrementally. Establish the target and prediction time explicitly, keep all rows from the same batch together, and retain a chronological holdout that reflects expected use. Begin with simple models that expose weak data or leakage; increase complexity only when a specific gain is reproducible and operationally useful.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2A4D60"/>
            <w:vAlign w:val="center"/>
          </w:tcPr>
          <w:p>
            <w:pPr>
              <w:keepLines/>
              <w:spacing w:after="20"/>
            </w:pPr>
            <w:r>
              <w:rPr>
                <w:rFonts w:ascii="Calibri" w:hAnsi="Calibri"/>
                <w:b/>
                <w:color w:val="FFFFFF"/>
                <w:sz w:val="15"/>
              </w:rPr>
              <w:t>Model outline</w:t>
            </w:r>
          </w:p>
        </w:tc>
        <w:tc>
          <w:tcPr>
            <w:tcW w:type="dxa" w:w="3672"/>
            <w:shd w:fill="2A4D60"/>
            <w:vAlign w:val="center"/>
          </w:tcPr>
          <w:p>
            <w:pPr>
              <w:keepLines/>
              <w:spacing w:after="20"/>
            </w:pPr>
            <w:r>
              <w:rPr>
                <w:rFonts w:ascii="Calibri" w:hAnsi="Calibri"/>
                <w:b/>
                <w:color w:val="FFFFFF"/>
                <w:sz w:val="15"/>
              </w:rPr>
              <w:t>Exploratory question</w:t>
            </w:r>
          </w:p>
        </w:tc>
        <w:tc>
          <w:tcPr>
            <w:tcW w:type="dxa" w:w="3888"/>
            <w:shd w:fill="2A4D60"/>
            <w:vAlign w:val="center"/>
          </w:tcPr>
          <w:p>
            <w:pPr>
              <w:keepLines/>
              <w:spacing w:after="20"/>
            </w:pPr>
            <w:r>
              <w:rPr>
                <w:rFonts w:ascii="Calibri" w:hAnsi="Calibri"/>
                <w:b/>
                <w:color w:val="FFFFFF"/>
                <w:sz w:val="15"/>
              </w:rPr>
              <w:t>Evaluation and interpretation</w:t>
            </w:r>
          </w:p>
        </w:tc>
      </w:tr>
      <w:tr>
        <w:tc>
          <w:tcPr>
            <w:tcW w:type="dxa" w:w="2376"/>
            <w:vAlign w:val="center"/>
            <w:shd w:fill="F1F5F6"/>
          </w:tcPr>
          <w:p>
            <w:pPr>
              <w:keepLines/>
              <w:spacing w:after="20" w:line="240" w:lineRule="auto"/>
            </w:pPr>
            <w:r>
              <w:rPr>
                <w:rFonts w:ascii="Calibri" w:hAnsi="Calibri"/>
                <w:sz w:val="15"/>
              </w:rPr>
              <w:t>Linear regression / regularized regression</w:t>
            </w:r>
          </w:p>
        </w:tc>
        <w:tc>
          <w:tcPr>
            <w:tcW w:type="dxa" w:w="3672"/>
            <w:vAlign w:val="center"/>
            <w:shd w:fill="F1F5F6"/>
          </w:tcPr>
          <w:p>
            <w:pPr>
              <w:keepLines/>
              <w:spacing w:after="20" w:line="240" w:lineRule="auto"/>
            </w:pPr>
            <w:r>
              <w:rPr>
                <w:rFonts w:ascii="Calibri" w:hAnsi="Calibri"/>
                <w:sz w:val="15"/>
              </w:rPr>
              <w:t>Can process and material features explain or predict a continuous quality result? Compare raw predictors with deviation, trend, polynomial, and interaction groups.</w:t>
            </w:r>
          </w:p>
        </w:tc>
        <w:tc>
          <w:tcPr>
            <w:tcW w:type="dxa" w:w="3888"/>
            <w:vAlign w:val="center"/>
            <w:shd w:fill="F1F5F6"/>
          </w:tcPr>
          <w:p>
            <w:pPr>
              <w:keepLines/>
              <w:spacing w:after="20" w:line="240" w:lineRule="auto"/>
            </w:pPr>
            <w:r>
              <w:rPr>
                <w:rFonts w:ascii="Calibri" w:hAnsi="Calibri"/>
                <w:sz w:val="15"/>
              </w:rPr>
              <w:t>MAE and RMSE in original units; R-squared as a secondary measure. Inspect residuals by product, line, and time; review coefficients and uncertainty.</w:t>
            </w:r>
          </w:p>
        </w:tc>
      </w:tr>
      <w:tr>
        <w:tc>
          <w:tcPr>
            <w:tcW w:type="dxa" w:w="2376"/>
            <w:vAlign w:val="center"/>
          </w:tcPr>
          <w:p>
            <w:pPr>
              <w:keepLines/>
              <w:spacing w:after="20" w:line="240" w:lineRule="auto"/>
            </w:pPr>
            <w:r>
              <w:rPr>
                <w:rFonts w:ascii="Calibri" w:hAnsi="Calibri"/>
                <w:sz w:val="15"/>
              </w:rPr>
              <w:t>Logistic or multinomial regression</w:t>
            </w:r>
          </w:p>
        </w:tc>
        <w:tc>
          <w:tcPr>
            <w:tcW w:type="dxa" w:w="3672"/>
            <w:vAlign w:val="center"/>
          </w:tcPr>
          <w:p>
            <w:pPr>
              <w:keepLines/>
              <w:spacing w:after="20" w:line="240" w:lineRule="auto"/>
            </w:pPr>
            <w:r>
              <w:rPr>
                <w:rFonts w:ascii="Calibri" w:hAnsi="Calibri"/>
                <w:sz w:val="15"/>
              </w:rPr>
              <w:t>Can data available at a defined checkpoint estimate an out-of-spec risk or categorical outcome?</w:t>
            </w:r>
          </w:p>
        </w:tc>
        <w:tc>
          <w:tcPr>
            <w:tcW w:type="dxa" w:w="3888"/>
            <w:vAlign w:val="center"/>
          </w:tcPr>
          <w:p>
            <w:pPr>
              <w:keepLines/>
              <w:spacing w:after="20" w:line="240" w:lineRule="auto"/>
            </w:pPr>
            <w:r>
              <w:rPr>
                <w:rFonts w:ascii="Calibri" w:hAnsi="Calibri"/>
                <w:sz w:val="15"/>
              </w:rPr>
              <w:t>For binary targets: precision/recall, PR-AUC, calibration, and a threshold chosen with quality stakeholders. For multiple classes: macro-F1, per-class recall, confusion matrix, log loss.</w:t>
            </w:r>
          </w:p>
        </w:tc>
      </w:tr>
      <w:tr>
        <w:tc>
          <w:tcPr>
            <w:tcW w:type="dxa" w:w="2376"/>
            <w:vAlign w:val="center"/>
            <w:shd w:fill="F1F5F6"/>
          </w:tcPr>
          <w:p>
            <w:pPr>
              <w:keepLines/>
              <w:spacing w:after="20" w:line="240" w:lineRule="auto"/>
            </w:pPr>
            <w:r>
              <w:rPr>
                <w:rFonts w:ascii="Calibri" w:hAnsi="Calibri"/>
                <w:sz w:val="15"/>
              </w:rPr>
              <w:t>Decision tree / random forest / gradient boosting</w:t>
            </w:r>
          </w:p>
        </w:tc>
        <w:tc>
          <w:tcPr>
            <w:tcW w:type="dxa" w:w="3672"/>
            <w:vAlign w:val="center"/>
            <w:shd w:fill="F1F5F6"/>
          </w:tcPr>
          <w:p>
            <w:pPr>
              <w:keepLines/>
              <w:spacing w:after="20" w:line="240" w:lineRule="auto"/>
            </w:pPr>
            <w:r>
              <w:rPr>
                <w:rFonts w:ascii="Calibri" w:hAnsi="Calibri"/>
                <w:sz w:val="15"/>
              </w:rPr>
              <w:t>Do nonlinearities and interactions improve prediction over a transparent baseline?</w:t>
            </w:r>
          </w:p>
        </w:tc>
        <w:tc>
          <w:tcPr>
            <w:tcW w:type="dxa" w:w="3888"/>
            <w:vAlign w:val="center"/>
            <w:shd w:fill="F1F5F6"/>
          </w:tcPr>
          <w:p>
            <w:pPr>
              <w:keepLines/>
              <w:spacing w:after="20" w:line="240" w:lineRule="auto"/>
            </w:pPr>
            <w:r>
              <w:rPr>
                <w:rFonts w:ascii="Calibri" w:hAnsi="Calibri"/>
                <w:sz w:val="15"/>
              </w:rPr>
              <w:t>Use the same splits and metrics as the baseline. Constrain depth and leaf size; inspect partial dependence or grouped permutation importance cautiously.</w:t>
            </w:r>
          </w:p>
        </w:tc>
      </w:tr>
      <w:tr>
        <w:tc>
          <w:tcPr>
            <w:tcW w:type="dxa" w:w="2376"/>
            <w:vAlign w:val="center"/>
          </w:tcPr>
          <w:p>
            <w:pPr>
              <w:keepLines/>
              <w:spacing w:after="20" w:line="240" w:lineRule="auto"/>
            </w:pPr>
            <w:r>
              <w:rPr>
                <w:rFonts w:ascii="Calibri" w:hAnsi="Calibri"/>
                <w:sz w:val="15"/>
              </w:rPr>
              <w:t>Clustering on batch profiles</w:t>
            </w:r>
          </w:p>
        </w:tc>
        <w:tc>
          <w:tcPr>
            <w:tcW w:type="dxa" w:w="3672"/>
            <w:vAlign w:val="center"/>
          </w:tcPr>
          <w:p>
            <w:pPr>
              <w:keepLines/>
              <w:spacing w:after="20" w:line="240" w:lineRule="auto"/>
            </w:pPr>
            <w:r>
              <w:rPr>
                <w:rFonts w:ascii="Calibri" w:hAnsi="Calibri"/>
                <w:sz w:val="15"/>
              </w:rPr>
              <w:t>Are there recurring process modes or batch profiles that merit investigation?</w:t>
            </w:r>
          </w:p>
        </w:tc>
        <w:tc>
          <w:tcPr>
            <w:tcW w:type="dxa" w:w="3888"/>
            <w:vAlign w:val="center"/>
          </w:tcPr>
          <w:p>
            <w:pPr>
              <w:keepLines/>
              <w:spacing w:after="20" w:line="240" w:lineRule="auto"/>
            </w:pPr>
            <w:r>
              <w:rPr>
                <w:rFonts w:ascii="Calibri" w:hAnsi="Calibri"/>
                <w:sz w:val="15"/>
              </w:rPr>
              <w:t>Scale within training data, cluster only features known at the analysis cutoff, examine silhouette/stability and process interpretation. Clusters are exploratory, not quality grades.</w:t>
            </w:r>
          </w:p>
        </w:tc>
      </w:tr>
    </w:tbl>
    <w:p>
      <w:pPr>
        <w:spacing w:after="20"/>
      </w:pPr>
    </w:p>
    <w:p>
      <w:r>
        <w:t>For the inspection archive, use classification only as a separate, explicitly labeled exercise for Inspection_Results. Compare a majority-class baseline, a leakage-safe logistic baseline using verified pre-inspection fields, and a shallow tree. Derive calendar features from valid Inspection_Date and use prior facility history only when computed strictly from earlier records. Exclude RiskLevel and SectionViolations from prospective prediction until their timing is established. Because the observed outcome mix changes sharply over time, use chronological validation; a random split alone can overstate prospective performance.</w:t>
      </w:r>
    </w:p>
    <w:p>
      <w:pPr>
        <w:pStyle w:val="Heading1"/>
      </w:pPr>
      <w:r>
        <w:t>5. Validation, significance, and feature stability</w:t>
      </w:r>
    </w:p>
    <w:p>
      <w:pPr>
        <w:pStyle w:val="Heading2"/>
      </w:pPr>
      <w:r>
        <w:t>5.1 Split design and leakage checks</w:t>
      </w:r>
    </w:p>
    <w:p>
      <w:pPr>
        <w:pStyle w:val="ListBullet"/>
      </w:pPr>
      <w:r>
        <w:t>Use a chronological train/validation/test design or rolling-origin folds when future production is the deployment setting. Preserve a final untouched time window for one-time evaluation.</w:t>
      </w:r>
    </w:p>
    <w:p>
      <w:pPr>
        <w:pStyle w:val="ListBullet"/>
      </w:pPr>
      <w:r>
        <w:t>Group by batch or production run so readings from one batch cannot appear in both training and validation. Add a separate unseen-line or unseen-product assessment if generalization is intended.</w:t>
      </w:r>
    </w:p>
    <w:p>
      <w:pPr>
        <w:pStyle w:val="ListBullet"/>
      </w:pPr>
      <w:r>
        <w:t>Fit imputation, scaling, category maps, bin boundaries, feature selection, and target/frequency encoding on each training fold only. Apply the fitted transforms unchanged to its validation fold.</w:t>
      </w:r>
    </w:p>
    <w:p>
      <w:pPr>
        <w:pStyle w:val="ListBullet"/>
      </w:pPr>
      <w:r>
        <w:t>Calculate rolling, lagged, and historical aggregate features with a strict as-of join. Verify that no record later than the prediction cutoff contributes to an input.</w:t>
      </w:r>
    </w:p>
    <w:p>
      <w:pPr>
        <w:pStyle w:val="ListBullet"/>
      </w:pPr>
      <w:r>
        <w:t>Audit target creation and joins: confirm that laboratory results, release decisions, rework, and inspection records refer to the correct batch and that duplicates do not cross splits.</w:t>
      </w:r>
    </w:p>
    <w:p>
      <w:pPr>
        <w:pStyle w:val="Heading2"/>
      </w:pPr>
      <w:r>
        <w:t>5.2 Measuring usefulness and significance</w:t>
      </w:r>
    </w:p>
    <w:p>
      <w:r>
        <w:t>Evaluate incremental value by comparing a baseline with one added feature family at a time, then a compact combined model. Report fold-level metrics and confidence intervals where feasible, not just a single score. Use bootstrap resampling by batch or time block rather than by individual sensor row when observations are dependent. For regression, report MAE and RMSE in the original quality units; for classification, report class-sensitive metrics and calibration rather than accuracy alone. Choose any action threshold with the people responsible for quality decisions and document the costs of missed events and false alarms.</w:t>
      </w:r>
    </w:p>
    <w:p>
      <w:r>
        <w:t>For linear models, inspect coefficient direction and uncertainty after checking collinearity and model assumptions. Treat p-values as conditional evidence, not proof of causality; if testing many features, control the false-discovery rate and prioritize effect size and domain plausibility. Use grouped permutation importance on held-out folds to test whether a feature family contributes predictive signal. Importance is not causal attribution and can be unstable when predictors are correlated.</w:t>
      </w:r>
    </w:p>
    <w:p>
      <w:pPr>
        <w:pStyle w:val="Heading2"/>
      </w:pPr>
      <w:r>
        <w:t>5.3 Stability and drift</w:t>
      </w:r>
    </w:p>
    <w:p>
      <w:pPr>
        <w:pStyle w:val="ListBullet"/>
      </w:pPr>
      <w:r>
        <w:t>Track selected features, coefficient signs, grouped importance, and metric deltas across temporal folds, products, lines, and batches; flag results driven by one period or subgroup.</w:t>
      </w:r>
    </w:p>
    <w:p>
      <w:pPr>
        <w:pStyle w:val="ListBullet"/>
      </w:pPr>
      <w:r>
        <w:t>Repeat key comparisons with and without imputation, missingness flags, outlier handling, and the most complex interactions. Large sensitivity signals data or process uncertainty.</w:t>
      </w:r>
    </w:p>
    <w:p>
      <w:pPr>
        <w:pStyle w:val="ListBullet"/>
      </w:pPr>
      <w:r>
        <w:t>Monitor input distributions, missingness, calibration age, category novelty, and outcome rates after deployment. Reassess after recipe, equipment, sensor, or specification changes.</w:t>
      </w:r>
    </w:p>
    <w:p>
      <w:pPr>
        <w:pStyle w:val="ListBullet"/>
      </w:pPr>
      <w:r>
        <w:t>Do not deploy a feature or model solely because it is statistically significant. Require a stable, leakage-free improvement, a plausible process explanation, reproducibility, and approval from quality and process owners.</w:t>
      </w:r>
    </w:p>
    <w:p>
      <w:pPr>
        <w:pStyle w:val="Heading1"/>
      </w:pPr>
      <w:r>
        <w:t>6. Prioritized work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2A4D60"/>
            <w:vAlign w:val="center"/>
          </w:tcPr>
          <w:p>
            <w:pPr>
              <w:keepLines/>
              <w:spacing w:after="20"/>
            </w:pPr>
            <w:r>
              <w:rPr>
                <w:rFonts w:ascii="Calibri" w:hAnsi="Calibri"/>
                <w:b/>
                <w:color w:val="FFFFFF"/>
                <w:sz w:val="16"/>
              </w:rPr>
              <w:t>Step</w:t>
            </w:r>
          </w:p>
        </w:tc>
        <w:tc>
          <w:tcPr>
            <w:tcW w:type="dxa" w:w="4968"/>
            <w:shd w:fill="2A4D60"/>
            <w:vAlign w:val="center"/>
          </w:tcPr>
          <w:p>
            <w:pPr>
              <w:keepLines/>
              <w:spacing w:after="20"/>
            </w:pPr>
            <w:r>
              <w:rPr>
                <w:rFonts w:ascii="Calibri" w:hAnsi="Calibri"/>
                <w:b/>
                <w:color w:val="FFFFFF"/>
                <w:sz w:val="16"/>
              </w:rPr>
              <w:t>Action</w:t>
            </w:r>
          </w:p>
        </w:tc>
        <w:tc>
          <w:tcPr>
            <w:tcW w:type="dxa" w:w="3456"/>
            <w:shd w:fill="2A4D60"/>
            <w:vAlign w:val="center"/>
          </w:tcPr>
          <w:p>
            <w:pPr>
              <w:keepLines/>
              <w:spacing w:after="20"/>
            </w:pPr>
            <w:r>
              <w:rPr>
                <w:rFonts w:ascii="Calibri" w:hAnsi="Calibri"/>
                <w:b/>
                <w:color w:val="FFFFFF"/>
                <w:sz w:val="16"/>
              </w:rPr>
              <w:t>Deliverable / gate</w:t>
            </w:r>
          </w:p>
        </w:tc>
      </w:tr>
      <w:tr>
        <w:tc>
          <w:tcPr>
            <w:tcW w:type="dxa" w:w="1512"/>
            <w:vAlign w:val="center"/>
            <w:shd w:fill="F1F5F6"/>
          </w:tcPr>
          <w:p>
            <w:pPr>
              <w:keepLines/>
              <w:spacing w:after="20" w:line="240" w:lineRule="auto"/>
            </w:pPr>
            <w:r>
              <w:rPr>
                <w:rFonts w:ascii="Calibri" w:hAnsi="Calibri"/>
                <w:sz w:val="16"/>
              </w:rPr>
              <w:t>1. Define use case</w:t>
            </w:r>
          </w:p>
        </w:tc>
        <w:tc>
          <w:tcPr>
            <w:tcW w:type="dxa" w:w="4968"/>
            <w:vAlign w:val="center"/>
            <w:shd w:fill="F1F5F6"/>
          </w:tcPr>
          <w:p>
            <w:pPr>
              <w:keepLines/>
              <w:spacing w:after="20" w:line="240" w:lineRule="auto"/>
            </w:pPr>
            <w:r>
              <w:rPr>
                <w:rFonts w:ascii="Calibri" w:hAnsi="Calibri"/>
                <w:sz w:val="16"/>
              </w:rPr>
              <w:t>Name the quality outcome, decision point, prediction cutoff, analytical grain, and cost of errors.</w:t>
            </w:r>
          </w:p>
        </w:tc>
        <w:tc>
          <w:tcPr>
            <w:tcW w:type="dxa" w:w="3456"/>
            <w:vAlign w:val="center"/>
            <w:shd w:fill="F1F5F6"/>
          </w:tcPr>
          <w:p>
            <w:pPr>
              <w:keepLines/>
              <w:spacing w:after="20" w:line="240" w:lineRule="auto"/>
            </w:pPr>
            <w:r>
              <w:rPr>
                <w:rFonts w:ascii="Calibri" w:hAnsi="Calibri"/>
                <w:sz w:val="16"/>
              </w:rPr>
              <w:t>Approved target and feature-availability contract.</w:t>
            </w:r>
          </w:p>
        </w:tc>
      </w:tr>
      <w:tr>
        <w:tc>
          <w:tcPr>
            <w:tcW w:type="dxa" w:w="1512"/>
            <w:vAlign w:val="center"/>
          </w:tcPr>
          <w:p>
            <w:pPr>
              <w:keepLines/>
              <w:spacing w:after="20" w:line="240" w:lineRule="auto"/>
            </w:pPr>
            <w:r>
              <w:rPr>
                <w:rFonts w:ascii="Calibri" w:hAnsi="Calibri"/>
                <w:sz w:val="16"/>
              </w:rPr>
              <w:t>2. Acquire process data</w:t>
            </w:r>
          </w:p>
        </w:tc>
        <w:tc>
          <w:tcPr>
            <w:tcW w:type="dxa" w:w="4968"/>
            <w:vAlign w:val="center"/>
          </w:tcPr>
          <w:p>
            <w:pPr>
              <w:keepLines/>
              <w:spacing w:after="20" w:line="240" w:lineRule="auto"/>
            </w:pPr>
            <w:r>
              <w:rPr>
                <w:rFonts w:ascii="Calibri" w:hAnsi="Calibri"/>
                <w:sz w:val="16"/>
              </w:rPr>
              <w:t>Obtain batch-linked sensor, recipe, material, laboratory, calibration, and event data with a data dictionary and specification history.</w:t>
            </w:r>
          </w:p>
        </w:tc>
        <w:tc>
          <w:tcPr>
            <w:tcW w:type="dxa" w:w="3456"/>
            <w:vAlign w:val="center"/>
          </w:tcPr>
          <w:p>
            <w:pPr>
              <w:keepLines/>
              <w:spacing w:after="20" w:line="240" w:lineRule="auto"/>
            </w:pPr>
            <w:r>
              <w:rPr>
                <w:rFonts w:ascii="Calibri" w:hAnsi="Calibri"/>
                <w:sz w:val="16"/>
              </w:rPr>
              <w:t>Verified sources, joins, units, timestamps, and owner sign-off.</w:t>
            </w:r>
          </w:p>
        </w:tc>
      </w:tr>
      <w:tr>
        <w:tc>
          <w:tcPr>
            <w:tcW w:type="dxa" w:w="1512"/>
            <w:vAlign w:val="center"/>
            <w:shd w:fill="F1F5F6"/>
          </w:tcPr>
          <w:p>
            <w:pPr>
              <w:keepLines/>
              <w:spacing w:after="20" w:line="240" w:lineRule="auto"/>
            </w:pPr>
            <w:r>
              <w:rPr>
                <w:rFonts w:ascii="Calibri" w:hAnsi="Calibri"/>
                <w:sz w:val="16"/>
              </w:rPr>
              <w:t>3. Profile and baseline</w:t>
            </w:r>
          </w:p>
        </w:tc>
        <w:tc>
          <w:tcPr>
            <w:tcW w:type="dxa" w:w="4968"/>
            <w:vAlign w:val="center"/>
            <w:shd w:fill="F1F5F6"/>
          </w:tcPr>
          <w:p>
            <w:pPr>
              <w:keepLines/>
              <w:spacing w:after="20" w:line="240" w:lineRule="auto"/>
            </w:pPr>
            <w:r>
              <w:rPr>
                <w:rFonts w:ascii="Calibri" w:hAnsi="Calibri"/>
                <w:sz w:val="16"/>
              </w:rPr>
              <w:t>Check ranges, gaps, duplicates, batch coverage, drift, and label timing; establish a simple baseline.</w:t>
            </w:r>
          </w:p>
        </w:tc>
        <w:tc>
          <w:tcPr>
            <w:tcW w:type="dxa" w:w="3456"/>
            <w:vAlign w:val="center"/>
            <w:shd w:fill="F1F5F6"/>
          </w:tcPr>
          <w:p>
            <w:pPr>
              <w:keepLines/>
              <w:spacing w:after="20" w:line="240" w:lineRule="auto"/>
            </w:pPr>
            <w:r>
              <w:rPr>
                <w:rFonts w:ascii="Calibri" w:hAnsi="Calibri"/>
                <w:sz w:val="16"/>
              </w:rPr>
              <w:t>Profiling report and repeatable baseline metrics.</w:t>
            </w:r>
          </w:p>
        </w:tc>
      </w:tr>
      <w:tr>
        <w:tc>
          <w:tcPr>
            <w:tcW w:type="dxa" w:w="1512"/>
            <w:vAlign w:val="center"/>
          </w:tcPr>
          <w:p>
            <w:pPr>
              <w:keepLines/>
              <w:spacing w:after="20" w:line="240" w:lineRule="auto"/>
            </w:pPr>
            <w:r>
              <w:rPr>
                <w:rFonts w:ascii="Calibri" w:hAnsi="Calibri"/>
                <w:sz w:val="16"/>
              </w:rPr>
              <w:t>4. Engineer in groups</w:t>
            </w:r>
          </w:p>
        </w:tc>
        <w:tc>
          <w:tcPr>
            <w:tcW w:type="dxa" w:w="4968"/>
            <w:vAlign w:val="center"/>
          </w:tcPr>
          <w:p>
            <w:pPr>
              <w:keepLines/>
              <w:spacing w:after="20" w:line="240" w:lineRule="auto"/>
            </w:pPr>
            <w:r>
              <w:rPr>
                <w:rFonts w:ascii="Calibri" w:hAnsi="Calibri"/>
                <w:sz w:val="16"/>
              </w:rPr>
              <w:t>Add target-relative, time-series, batch-summary, sensor-health, and selected interaction features one group at a time.</w:t>
            </w:r>
          </w:p>
        </w:tc>
        <w:tc>
          <w:tcPr>
            <w:tcW w:type="dxa" w:w="3456"/>
            <w:vAlign w:val="center"/>
          </w:tcPr>
          <w:p>
            <w:pPr>
              <w:keepLines/>
              <w:spacing w:after="20" w:line="240" w:lineRule="auto"/>
            </w:pPr>
            <w:r>
              <w:rPr>
                <w:rFonts w:ascii="Calibri" w:hAnsi="Calibri"/>
                <w:sz w:val="16"/>
              </w:rPr>
              <w:t>Versioned feature register and tested transformations.</w:t>
            </w:r>
          </w:p>
        </w:tc>
      </w:tr>
      <w:tr>
        <w:tc>
          <w:tcPr>
            <w:tcW w:type="dxa" w:w="1512"/>
            <w:vAlign w:val="center"/>
            <w:shd w:fill="F1F5F6"/>
          </w:tcPr>
          <w:p>
            <w:pPr>
              <w:keepLines/>
              <w:spacing w:after="20" w:line="240" w:lineRule="auto"/>
            </w:pPr>
            <w:r>
              <w:rPr>
                <w:rFonts w:ascii="Calibri" w:hAnsi="Calibri"/>
                <w:sz w:val="16"/>
              </w:rPr>
              <w:t>5. Validate and review</w:t>
            </w:r>
          </w:p>
        </w:tc>
        <w:tc>
          <w:tcPr>
            <w:tcW w:type="dxa" w:w="4968"/>
            <w:vAlign w:val="center"/>
            <w:shd w:fill="F1F5F6"/>
          </w:tcPr>
          <w:p>
            <w:pPr>
              <w:keepLines/>
              <w:spacing w:after="20" w:line="240" w:lineRule="auto"/>
            </w:pPr>
            <w:r>
              <w:rPr>
                <w:rFonts w:ascii="Calibri" w:hAnsi="Calibri"/>
                <w:sz w:val="16"/>
              </w:rPr>
              <w:t>Compare temporal and grouped results, subgroup stability, leakage audits, and sensitivity analyses.</w:t>
            </w:r>
          </w:p>
        </w:tc>
        <w:tc>
          <w:tcPr>
            <w:tcW w:type="dxa" w:w="3456"/>
            <w:vAlign w:val="center"/>
            <w:shd w:fill="F1F5F6"/>
          </w:tcPr>
          <w:p>
            <w:pPr>
              <w:keepLines/>
              <w:spacing w:after="20" w:line="240" w:lineRule="auto"/>
            </w:pPr>
            <w:r>
              <w:rPr>
                <w:rFonts w:ascii="Calibri" w:hAnsi="Calibri"/>
                <w:sz w:val="16"/>
              </w:rPr>
              <w:t>Evidence-backed shortlist; unresolved limitations documented.</w:t>
            </w:r>
          </w:p>
        </w:tc>
      </w:tr>
      <w:tr>
        <w:tc>
          <w:tcPr>
            <w:tcW w:type="dxa" w:w="1512"/>
            <w:vAlign w:val="center"/>
          </w:tcPr>
          <w:p>
            <w:pPr>
              <w:keepLines/>
              <w:spacing w:after="20" w:line="240" w:lineRule="auto"/>
            </w:pPr>
            <w:r>
              <w:rPr>
                <w:rFonts w:ascii="Calibri" w:hAnsi="Calibri"/>
                <w:sz w:val="16"/>
              </w:rPr>
              <w:t>6. Handoff</w:t>
            </w:r>
          </w:p>
        </w:tc>
        <w:tc>
          <w:tcPr>
            <w:tcW w:type="dxa" w:w="4968"/>
            <w:vAlign w:val="center"/>
          </w:tcPr>
          <w:p>
            <w:pPr>
              <w:keepLines/>
              <w:spacing w:after="20" w:line="240" w:lineRule="auto"/>
            </w:pPr>
            <w:r>
              <w:rPr>
                <w:rFonts w:ascii="Calibri" w:hAnsi="Calibri"/>
                <w:sz w:val="16"/>
              </w:rPr>
              <w:t>Review candidate features with process and quality owners; document monitoring and rollback triggers.</w:t>
            </w:r>
          </w:p>
        </w:tc>
        <w:tc>
          <w:tcPr>
            <w:tcW w:type="dxa" w:w="3456"/>
            <w:vAlign w:val="center"/>
          </w:tcPr>
          <w:p>
            <w:pPr>
              <w:keepLines/>
              <w:spacing w:after="20" w:line="240" w:lineRule="auto"/>
            </w:pPr>
            <w:r>
              <w:rPr>
                <w:rFonts w:ascii="Calibri" w:hAnsi="Calibri"/>
                <w:sz w:val="16"/>
              </w:rPr>
              <w:t>Reproducible pipeline; no operational limit set by this exploratory report.</w:t>
            </w:r>
          </w:p>
        </w:tc>
      </w:tr>
    </w:tbl>
    <w:p>
      <w:pPr>
        <w:spacing w:after="20"/>
      </w:pPr>
    </w:p>
    <w:p>
      <w:pPr>
        <w:pStyle w:val="Heading1"/>
      </w:pPr>
      <w:r>
        <w:t>7. Feature register template</w:t>
      </w:r>
    </w:p>
    <w:p>
      <w:r>
        <w:t>Maintain one row per engineered feature so that a reviewer can trace it to source data and confirm when it is valid. At minimum, record:</w:t>
      </w:r>
    </w:p>
    <w:p>
      <w:pPr>
        <w:pStyle w:val="ListBullet"/>
      </w:pPr>
      <w:r>
        <w:t>Feature name and version; source field(s); raw unit and canonical unit; formula, window, and aggregation grain.</w:t>
      </w:r>
    </w:p>
    <w:p>
      <w:pPr>
        <w:pStyle w:val="ListBullet"/>
      </w:pPr>
      <w:r>
        <w:t>Process rationale; product/recipe/specification applicability; data owner and transformation-code version.</w:t>
      </w:r>
    </w:p>
    <w:p>
      <w:pPr>
        <w:pStyle w:val="ListBullet"/>
      </w:pPr>
      <w:r>
        <w:t>Availability timestamp and prediction cutoff; missing-data and sensor-fault treatment; expected coverage and quality flags.</w:t>
      </w:r>
    </w:p>
    <w:p>
      <w:pPr>
        <w:pStyle w:val="ListBullet"/>
      </w:pPr>
      <w:r>
        <w:t>Training-fold fitting requirements; leakage risks; validation result and stability by time/product/line; approval or retirement status.</w:t>
      </w:r>
    </w:p>
    <w:p>
      <w:pPr>
        <w:pStyle w:val="Heading1"/>
      </w:pPr>
      <w:r>
        <w:t>Conclusion</w:t>
      </w:r>
    </w:p>
    <w:p>
      <w:r>
        <w:t>The strongest food-processing features are those that convert raw measurements into time-aware, specification-relative, batch-linked evidence without obscuring the source data or their uncertainty. The proposed sequence keeps transformations modest, tests domain-motivated nonlinearities, and makes temporal and batch-group validation central. The existing Week 1 inspection dataset provides context for careful feature availability and temporal drift, but it cannot validate product-quality features. A genuine process-data pilot requires batch-linked sensor and laboratory records, reliable metadata, and process-owner review before modeling conclusions can be generalized.</w:t>
      </w:r>
    </w:p>
    <w:p>
      <w:pPr>
        <w:pStyle w:val="Heading1"/>
      </w:pPr>
      <w:r>
        <w:t>References and context</w:t>
      </w:r>
    </w:p>
    <w:p>
      <w:r>
        <w:t>Week 1 report. Food Inspection Results: Exploratory analysis, prediction baseline, and next-step plan. Supplied archive analysis, 19 October 2026.</w:t>
      </w:r>
    </w:p>
    <w:p>
      <w:r>
        <w:t>Week 2 report. Cleaning and Preprocessing Plan: Food processing quality data and production-line sensor readings. Data quality blueprint, 19 October 2026.</w:t>
      </w:r>
    </w:p>
    <w:p>
      <w:r>
        <w:t>Codex Alimentarius Commission. General Principles of Food Hygiene, CXC 1-1969. Consult the current revision and applicable local requirements when defining process controls.</w:t>
      </w:r>
    </w:p>
    <w:p>
      <w:r>
        <w:t>NIST/SEMATECH. e-Handbook of Statistical Methods. https://www.itl.nist.gov/div898/handbook/</w:t>
      </w:r>
    </w:p>
    <w:p>
      <w:r>
        <w:t>Scikit-learn documentation. Preprocessing data; cross-validation; permutation feature importance. https://scikit-learn.org/stable/user_guide.html</w:t>
      </w:r>
    </w:p>
    <w:p>
      <w:pPr>
        <w:pStyle w:val="Heading1"/>
      </w:pPr>
      <w:r>
        <w:t>Code companion and input contract</w:t>
      </w:r>
    </w:p>
    <w:p>
      <w:r>
        <w:t>The accompanying week3_feature_engineering.py script implements the batch-level feature examples and exploratory models. It is a reusable template, not an analysis of the Week 1 inspection archive; no production sensor file was supplied. It accepts one long-form sensor CSV with one row per batch, sensor, and timestamp.</w:t>
      </w:r>
    </w:p>
    <w:p>
      <w:r>
        <w:t>Required sensor columns: batch_id, timestamp, prediction_cutoff, sensor, value. Each batch must have one prediction_cutoff. Readings after that cutoff are excluded. Timestamps should use a consistent timezone, and duplicate batch/sensor/timestamp rows must be resolved before running the script. Optional target, lower_limit, and upper_limit columns represent time-appropriate process setpoints and approved limits in the same units as value. They are distinct from the final quality outcome.</w:t>
      </w:r>
    </w:p>
    <w:p>
      <w:r>
        <w:t>A separate quality-target CSV can contain one row per batch with batch_id and quality_target. The script reports chronological-holdout median, Ridge, and shallow decision-tree regression metrics. K-means clustering is optional and exploratory. Polynomial terms and interactions require explicit feature selection; sensor limits and time-gap assumptions must be reviewed for the process before use.</w:t>
      </w:r>
    </w:p>
    <w:p>
      <w:pPr>
        <w:ind w:left="360"/>
      </w:pPr>
      <w:r>
        <w:rPr>
          <w:rFonts w:ascii="Consolas" w:hAnsi="Consolas"/>
          <w:color w:val="30383C"/>
          <w:sz w:val="16"/>
        </w:rPr>
        <w:t>python week3_feature_engineering.py readings.csv --output batch_features.csv --targets-csv quality_targets.csv --clusters 4 --interaction temperature__mean_target_deviation flow__mean</w:t>
      </w:r>
    </w:p>
    <w:p>
      <w:r>
        <w:t>Run the focused tests with: python -m unittest -v test_week3_feature_engineering</w:t>
      </w:r>
    </w:p>
    <w:sectPr w:rsidR="00FC693F" w:rsidRPr="0006063C" w:rsidSect="00034616">
      <w:headerReference w:type="default" r:id="rId9"/>
      <w:footerReference w:type="default" r:id="rId10"/>
      <w:pgSz w:w="12240" w:h="15840"/>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Feature engineering strategy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WEEK 3  |  FOOD PROCESSING FEATURE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3038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2A4D6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A4D6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2A4D6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A4D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Feature Engineering and Exploratory Modeling</dc:title>
  <dc:subject>Food processing quality analytics feature strategy</dc:subject>
  <dc:creator>Nikhil Gumasta</dc:creator>
  <cp:keywords>food processing, sensor data, data cleaning, preprocessing,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