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WEEK 4  |  PREDICTIVE MODELING STRATEGY</w:t>
      </w:r>
    </w:p>
    <w:p>
      <w:pPr>
        <w:pStyle w:val="Title"/>
      </w:pPr>
      <w:r>
        <w:t>Predicting Quality and Process Risk</w:t>
      </w:r>
    </w:p>
    <w:p>
      <w:pPr>
        <w:pStyle w:val="Subtitle"/>
      </w:pPr>
      <w:r>
        <w:t>A hypothesis-led plan for food processing, without assuming data or results</w:t>
      </w:r>
    </w:p>
    <w:p>
      <w:r>
        <w:rPr>
          <w:b/>
        </w:rPr>
        <w:t>Prepared: 21 October 2026</w:t>
      </w:r>
      <w:r>
        <w:br/>
        <w:t>Purpose: define a practical modeling and validation strategy before process data are available.</w:t>
      </w:r>
    </w:p>
    <w:p>
      <w:pPr>
        <w:pStyle w:val="Heading1"/>
      </w:pPr>
      <w:r>
        <w:t>Executive summary</w:t>
      </w:r>
    </w:p>
    <w:p>
      <w:r>
        <w:t>This report proposes a predictive modeling pilot for one practical food-processing question: at a defined in-process checkpoint, can available batch and sensor data predict whether the finished product will meet a pre-agreed quality specification? The proposed primary outcome is a batch-level pass/fail quality disposition based on a named laboratory measurement or documented quality rule. A companion continuous outcome can estimate the final laboratory result in its original units. Food-safety hazards are not inferred from generic quality measurements; any safety endpoint needs its own validated definition, qualified data, and quality/regulatory oversight.</w:t>
      </w:r>
    </w:p>
    <w:p>
      <w:r>
        <w:t>The plan begins with explicit directional hypotheses about temperature exposure, process variability, pH or moisture, raw-material variation, and sensor coverage. It compares simple logistic or linear baselines with regularized models and shallow tree ensembles, then evaluates calibrated risk probabilities and operational thresholds. Validation keeps batches together and tests future production periods; leakage checks enforce the real prediction cutoff. Metrics prioritize missed nonconforming batches, probability calibration, and error in measurement units, rather than accuracy alone.</w:t>
      </w:r>
    </w:p>
    <w:p>
      <w:r>
        <w:t>No production records were supplied for this task. Hypotheses, metrics, model performance, and feasibility therefore remain prospective. The earlier Week 1 dataset is about municipal food-inspection outcomes, not factory batches or product-quality tests; it cannot support the manufacturing hypotheses in this report.</w:t>
      </w:r>
    </w:p>
    <w:p>
      <w:pPr>
        <w:pStyle w:val="Heading1"/>
      </w:pPr>
      <w:r>
        <w:t>1. Problem definition and decision context</w:t>
      </w:r>
    </w:p>
    <w:p>
      <w:r>
        <w:t>Primary predictive question: using only information available at a specified checkpoint during a production batch, estimate the probability that its finished product will fail a predeclared quality specification. The proposed observation grain is one batch at one checkpoint. The prediction must be early enough to support a defined review action, such as additional sampling or process-engineer review; it is not an automatic process adjustment or product release decision.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2A4D60"/>
            <w:vAlign w:val="center"/>
          </w:tcPr>
          <w:p>
            <w:pPr>
              <w:keepLines/>
              <w:spacing w:after="20"/>
            </w:pPr>
            <w:r>
              <w:rPr>
                <w:rFonts w:ascii="Calibri" w:hAnsi="Calibri"/>
                <w:b/>
                <w:color w:val="FFFFFF"/>
                <w:sz w:val="15"/>
              </w:rPr>
              <w:t>Item</w:t>
            </w:r>
          </w:p>
        </w:tc>
        <w:tc>
          <w:tcPr>
            <w:tcW w:type="dxa" w:w="4104"/>
            <w:shd w:fill="2A4D60"/>
            <w:vAlign w:val="center"/>
          </w:tcPr>
          <w:p>
            <w:pPr>
              <w:keepLines/>
              <w:spacing w:after="20"/>
            </w:pPr>
            <w:r>
              <w:rPr>
                <w:rFonts w:ascii="Calibri" w:hAnsi="Calibri"/>
                <w:b/>
                <w:color w:val="FFFFFF"/>
                <w:sz w:val="15"/>
              </w:rPr>
              <w:t>Proposed definition</w:t>
            </w:r>
          </w:p>
        </w:tc>
        <w:tc>
          <w:tcPr>
            <w:tcW w:type="dxa" w:w="4176"/>
            <w:shd w:fill="2A4D60"/>
            <w:vAlign w:val="center"/>
          </w:tcPr>
          <w:p>
            <w:pPr>
              <w:keepLines/>
              <w:spacing w:after="20"/>
            </w:pPr>
            <w:r>
              <w:rPr>
                <w:rFonts w:ascii="Calibri" w:hAnsi="Calibri"/>
                <w:b/>
                <w:color w:val="FFFFFF"/>
                <w:sz w:val="15"/>
              </w:rPr>
              <w:t>Must be confirmed before analysis</w:t>
            </w:r>
          </w:p>
        </w:tc>
      </w:tr>
      <w:tr>
        <w:tc>
          <w:tcPr>
            <w:tcW w:type="dxa" w:w="1656"/>
            <w:vAlign w:val="center"/>
            <w:shd w:fill="F1F5F6"/>
          </w:tcPr>
          <w:p>
            <w:pPr>
              <w:keepLines/>
              <w:spacing w:after="20" w:line="240" w:lineRule="auto"/>
            </w:pPr>
            <w:r>
              <w:rPr>
                <w:rFonts w:ascii="Calibri" w:hAnsi="Calibri"/>
                <w:sz w:val="15"/>
              </w:rPr>
              <w:t>Population</w:t>
            </w:r>
          </w:p>
        </w:tc>
        <w:tc>
          <w:tcPr>
            <w:tcW w:type="dxa" w:w="4104"/>
            <w:vAlign w:val="center"/>
            <w:shd w:fill="F1F5F6"/>
          </w:tcPr>
          <w:p>
            <w:pPr>
              <w:keepLines/>
              <w:spacing w:after="20" w:line="240" w:lineRule="auto"/>
            </w:pPr>
            <w:r>
              <w:rPr>
                <w:rFonts w:ascii="Calibri" w:hAnsi="Calibri"/>
                <w:sz w:val="15"/>
              </w:rPr>
              <w:t>A named product family, process line, and production period. Start with one product/process stratum where specifications and data are comparable.</w:t>
            </w:r>
          </w:p>
        </w:tc>
        <w:tc>
          <w:tcPr>
            <w:tcW w:type="dxa" w:w="4176"/>
            <w:vAlign w:val="center"/>
            <w:shd w:fill="F1F5F6"/>
          </w:tcPr>
          <w:p>
            <w:pPr>
              <w:keepLines/>
              <w:spacing w:after="20" w:line="240" w:lineRule="auto"/>
            </w:pPr>
            <w:r>
              <w:rPr>
                <w:rFonts w:ascii="Calibri" w:hAnsi="Calibri"/>
                <w:sz w:val="15"/>
              </w:rPr>
              <w:t>Product scope, inclusion rules, line coverage, batch identity, and source-system history.</w:t>
            </w:r>
          </w:p>
        </w:tc>
      </w:tr>
      <w:tr>
        <w:tc>
          <w:tcPr>
            <w:tcW w:type="dxa" w:w="1656"/>
            <w:vAlign w:val="center"/>
          </w:tcPr>
          <w:p>
            <w:pPr>
              <w:keepLines/>
              <w:spacing w:after="20" w:line="240" w:lineRule="auto"/>
            </w:pPr>
            <w:r>
              <w:rPr>
                <w:rFonts w:ascii="Calibri" w:hAnsi="Calibri"/>
                <w:sz w:val="15"/>
              </w:rPr>
              <w:t>Unit of prediction</w:t>
            </w:r>
          </w:p>
        </w:tc>
        <w:tc>
          <w:tcPr>
            <w:tcW w:type="dxa" w:w="4104"/>
            <w:vAlign w:val="center"/>
          </w:tcPr>
          <w:p>
            <w:pPr>
              <w:keepLines/>
              <w:spacing w:after="20" w:line="240" w:lineRule="auto"/>
            </w:pPr>
            <w:r>
              <w:rPr>
                <w:rFonts w:ascii="Calibri" w:hAnsi="Calibri"/>
                <w:sz w:val="15"/>
              </w:rPr>
              <w:t>One batch at a preselected process checkpoint; one final outcome linked to that batch.</w:t>
            </w:r>
          </w:p>
        </w:tc>
        <w:tc>
          <w:tcPr>
            <w:tcW w:type="dxa" w:w="4176"/>
            <w:vAlign w:val="center"/>
          </w:tcPr>
          <w:p>
            <w:pPr>
              <w:keepLines/>
              <w:spacing w:after="20" w:line="240" w:lineRule="auto"/>
            </w:pPr>
            <w:r>
              <w:rPr>
                <w:rFonts w:ascii="Calibri" w:hAnsi="Calibri"/>
                <w:sz w:val="15"/>
              </w:rPr>
              <w:t>Checkpoint timestamp and minimum sensor coverage. Repeated checkpoints require a time-to-event or repeated-measures design.</w:t>
            </w:r>
          </w:p>
        </w:tc>
      </w:tr>
      <w:tr>
        <w:tc>
          <w:tcPr>
            <w:tcW w:type="dxa" w:w="1656"/>
            <w:vAlign w:val="center"/>
            <w:shd w:fill="F1F5F6"/>
          </w:tcPr>
          <w:p>
            <w:pPr>
              <w:keepLines/>
              <w:spacing w:after="20" w:line="240" w:lineRule="auto"/>
            </w:pPr>
            <w:r>
              <w:rPr>
                <w:rFonts w:ascii="Calibri" w:hAnsi="Calibri"/>
                <w:sz w:val="15"/>
              </w:rPr>
              <w:t>Primary target</w:t>
            </w:r>
          </w:p>
        </w:tc>
        <w:tc>
          <w:tcPr>
            <w:tcW w:type="dxa" w:w="4104"/>
            <w:vAlign w:val="center"/>
            <w:shd w:fill="F1F5F6"/>
          </w:tcPr>
          <w:p>
            <w:pPr>
              <w:keepLines/>
              <w:spacing w:after="20" w:line="240" w:lineRule="auto"/>
            </w:pPr>
            <w:r>
              <w:rPr>
                <w:rFonts w:ascii="Calibri" w:hAnsi="Calibri"/>
                <w:sz w:val="15"/>
              </w:rPr>
              <w:t>Binary nonconformance: 1 if the designated final quality measurement violates its approved specification; otherwise 0.</w:t>
            </w:r>
          </w:p>
        </w:tc>
        <w:tc>
          <w:tcPr>
            <w:tcW w:type="dxa" w:w="4176"/>
            <w:vAlign w:val="center"/>
            <w:shd w:fill="F1F5F6"/>
          </w:tcPr>
          <w:p>
            <w:pPr>
              <w:keepLines/>
              <w:spacing w:after="20" w:line="240" w:lineRule="auto"/>
            </w:pPr>
            <w:r>
              <w:rPr>
                <w:rFonts w:ascii="Calibri" w:hAnsi="Calibri"/>
                <w:sz w:val="15"/>
              </w:rPr>
              <w:t>Named analyte/test, sampling method, limit version, retest/rework rules, censoring, and disposition owner.</w:t>
            </w:r>
          </w:p>
        </w:tc>
      </w:tr>
      <w:tr>
        <w:tc>
          <w:tcPr>
            <w:tcW w:type="dxa" w:w="1656"/>
            <w:vAlign w:val="center"/>
          </w:tcPr>
          <w:p>
            <w:pPr>
              <w:keepLines/>
              <w:spacing w:after="20" w:line="240" w:lineRule="auto"/>
            </w:pPr>
            <w:r>
              <w:rPr>
                <w:rFonts w:ascii="Calibri" w:hAnsi="Calibri"/>
                <w:sz w:val="15"/>
              </w:rPr>
              <w:t>Secondary target</w:t>
            </w:r>
          </w:p>
        </w:tc>
        <w:tc>
          <w:tcPr>
            <w:tcW w:type="dxa" w:w="4104"/>
            <w:vAlign w:val="center"/>
          </w:tcPr>
          <w:p>
            <w:pPr>
              <w:keepLines/>
              <w:spacing w:after="20" w:line="240" w:lineRule="auto"/>
            </w:pPr>
            <w:r>
              <w:rPr>
                <w:rFonts w:ascii="Calibri" w:hAnsi="Calibri"/>
                <w:sz w:val="15"/>
              </w:rPr>
              <w:t>Continuous final laboratory result in its native unit, if meaningful and measured consistently.</w:t>
            </w:r>
          </w:p>
        </w:tc>
        <w:tc>
          <w:tcPr>
            <w:tcW w:type="dxa" w:w="4176"/>
            <w:vAlign w:val="center"/>
          </w:tcPr>
          <w:p>
            <w:pPr>
              <w:keepLines/>
              <w:spacing w:after="20" w:line="240" w:lineRule="auto"/>
            </w:pPr>
            <w:r>
              <w:rPr>
                <w:rFonts w:ascii="Calibri" w:hAnsi="Calibri"/>
                <w:sz w:val="15"/>
              </w:rPr>
              <w:t>Method repeatability, detection limits, retest policy, and target transformation if needed.</w:t>
            </w:r>
          </w:p>
        </w:tc>
      </w:tr>
      <w:tr>
        <w:tc>
          <w:tcPr>
            <w:tcW w:type="dxa" w:w="1656"/>
            <w:vAlign w:val="center"/>
            <w:shd w:fill="F1F5F6"/>
          </w:tcPr>
          <w:p>
            <w:pPr>
              <w:keepLines/>
              <w:spacing w:after="20" w:line="240" w:lineRule="auto"/>
            </w:pPr>
            <w:r>
              <w:rPr>
                <w:rFonts w:ascii="Calibri" w:hAnsi="Calibri"/>
                <w:sz w:val="15"/>
              </w:rPr>
              <w:t>Decision</w:t>
            </w:r>
          </w:p>
        </w:tc>
        <w:tc>
          <w:tcPr>
            <w:tcW w:type="dxa" w:w="4104"/>
            <w:vAlign w:val="center"/>
            <w:shd w:fill="F1F5F6"/>
          </w:tcPr>
          <w:p>
            <w:pPr>
              <w:keepLines/>
              <w:spacing w:after="20" w:line="240" w:lineRule="auto"/>
            </w:pPr>
            <w:r>
              <w:rPr>
                <w:rFonts w:ascii="Calibri" w:hAnsi="Calibri"/>
                <w:sz w:val="15"/>
              </w:rPr>
              <w:t>Rank batches for timely quality review at the checkpoint. Model output supports, but does not replace, established controls and release authority.</w:t>
            </w:r>
          </w:p>
        </w:tc>
        <w:tc>
          <w:tcPr>
            <w:tcW w:type="dxa" w:w="4176"/>
            <w:vAlign w:val="center"/>
            <w:shd w:fill="F1F5F6"/>
          </w:tcPr>
          <w:p>
            <w:pPr>
              <w:keepLines/>
              <w:spacing w:after="20" w:line="240" w:lineRule="auto"/>
            </w:pPr>
            <w:r>
              <w:rPr>
                <w:rFonts w:ascii="Calibri" w:hAnsi="Calibri"/>
                <w:sz w:val="15"/>
              </w:rPr>
              <w:t>Who receives an alert, response time, investigation capacity, and the relative cost of misses and false alerts.</w:t>
            </w:r>
          </w:p>
        </w:tc>
      </w:tr>
    </w:tbl>
    <w:p>
      <w:pPr>
        <w:spacing w:after="20"/>
      </w:pPr>
    </w:p>
    <w:p>
      <w:r>
        <w:t>The endpoint must be a product-quality outcome with trustworthy provenance. A spoilage or food-safety-risk model is a distinct project: it requires a defined hazard or validated proxy, appropriate sampling, relevant storage/handling history, and expert oversight. Generic sensory or specification failure must not be relabeled as microbiological safety or spoilage.</w:t>
      </w:r>
    </w:p>
    <w:p>
      <w:pPr>
        <w:pStyle w:val="Heading1"/>
      </w:pPr>
      <w:r>
        <w:t>2. Hypotheses and rationale</w:t>
      </w:r>
    </w:p>
    <w:p>
      <w:r>
        <w:t>Treat each statement below as a testable association hypothesis, not a causal claim. The direction is plausible only within a product, recipe, process stage, and validated operating window; engineering and quality owners must approve the feature definition and acceptable range before testing.</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shd w:fill="2A4D60"/>
            <w:vAlign w:val="center"/>
          </w:tcPr>
          <w:p>
            <w:pPr>
              <w:keepLines/>
              <w:spacing w:after="20"/>
            </w:pPr>
            <w:r>
              <w:rPr>
                <w:rFonts w:ascii="Calibri" w:hAnsi="Calibri"/>
                <w:b/>
                <w:color w:val="FFFFFF"/>
                <w:sz w:val="14"/>
              </w:rPr>
              <w:t>ID and hypothesis</w:t>
            </w:r>
          </w:p>
        </w:tc>
        <w:tc>
          <w:tcPr>
            <w:tcW w:type="dxa" w:w="3384"/>
            <w:shd w:fill="2A4D60"/>
            <w:vAlign w:val="center"/>
          </w:tcPr>
          <w:p>
            <w:pPr>
              <w:keepLines/>
              <w:spacing w:after="20"/>
            </w:pPr>
            <w:r>
              <w:rPr>
                <w:rFonts w:ascii="Calibri" w:hAnsi="Calibri"/>
                <w:b/>
                <w:color w:val="FFFFFF"/>
                <w:sz w:val="14"/>
              </w:rPr>
              <w:t>Rationale</w:t>
            </w:r>
          </w:p>
        </w:tc>
        <w:tc>
          <w:tcPr>
            <w:tcW w:type="dxa" w:w="3672"/>
            <w:shd w:fill="2A4D60"/>
            <w:vAlign w:val="center"/>
          </w:tcPr>
          <w:p>
            <w:pPr>
              <w:keepLines/>
              <w:spacing w:after="20"/>
            </w:pPr>
            <w:r>
              <w:rPr>
                <w:rFonts w:ascii="Calibri" w:hAnsi="Calibri"/>
                <w:b/>
                <w:color w:val="FFFFFF"/>
                <w:sz w:val="14"/>
              </w:rPr>
              <w:t>Test and interpretation</w:t>
            </w:r>
          </w:p>
        </w:tc>
      </w:tr>
      <w:tr>
        <w:tc>
          <w:tcPr>
            <w:tcW w:type="dxa" w:w="2880"/>
            <w:vAlign w:val="center"/>
            <w:shd w:fill="F1F5F6"/>
          </w:tcPr>
          <w:p>
            <w:pPr>
              <w:keepLines/>
              <w:spacing w:after="20" w:line="240" w:lineRule="auto"/>
            </w:pPr>
            <w:r>
              <w:rPr>
                <w:rFonts w:ascii="Calibri" w:hAnsi="Calibri"/>
                <w:sz w:val="14"/>
              </w:rPr>
              <w:t>H1. Greater cumulative exposure outside the approved temperature-time operating band by the checkpoint is associated with higher odds of final nonconformance.</w:t>
            </w:r>
          </w:p>
        </w:tc>
        <w:tc>
          <w:tcPr>
            <w:tcW w:type="dxa" w:w="3384"/>
            <w:vAlign w:val="center"/>
            <w:shd w:fill="F1F5F6"/>
          </w:tcPr>
          <w:p>
            <w:pPr>
              <w:keepLines/>
              <w:spacing w:after="20" w:line="240" w:lineRule="auto"/>
            </w:pPr>
            <w:r>
              <w:rPr>
                <w:rFonts w:ascii="Calibri" w:hAnsi="Calibri"/>
                <w:sz w:val="14"/>
              </w:rPr>
              <w:t>Thermal history can affect process completion, texture, color, moisture, or other product attributes. Exposure integrates magnitude and duration instead of relying on one reading.</w:t>
            </w:r>
          </w:p>
        </w:tc>
        <w:tc>
          <w:tcPr>
            <w:tcW w:type="dxa" w:w="3672"/>
            <w:vAlign w:val="center"/>
            <w:shd w:fill="F1F5F6"/>
          </w:tcPr>
          <w:p>
            <w:pPr>
              <w:keepLines/>
              <w:spacing w:after="20" w:line="240" w:lineRule="auto"/>
            </w:pPr>
            <w:r>
              <w:rPr>
                <w:rFonts w:ascii="Calibri" w:hAnsi="Calibri"/>
                <w:sz w:val="14"/>
              </w:rPr>
              <w:t>Model time outside approved limits and cumulative degree-time with product/stage adjustment. Expect a positive coefficient for nonconformance risk. Limits must be specification-versioned; association does not establish causality.</w:t>
            </w:r>
          </w:p>
        </w:tc>
      </w:tr>
      <w:tr>
        <w:tc>
          <w:tcPr>
            <w:tcW w:type="dxa" w:w="2880"/>
            <w:vAlign w:val="center"/>
          </w:tcPr>
          <w:p>
            <w:pPr>
              <w:keepLines/>
              <w:spacing w:after="20" w:line="240" w:lineRule="auto"/>
            </w:pPr>
            <w:r>
              <w:rPr>
                <w:rFonts w:ascii="Calibri" w:hAnsi="Calibri"/>
                <w:sz w:val="14"/>
              </w:rPr>
              <w:t>H2. Greater within-batch process variability or abrupt rate of change is associated with higher odds of nonconformance and larger continuous-target error.</w:t>
            </w:r>
          </w:p>
        </w:tc>
        <w:tc>
          <w:tcPr>
            <w:tcW w:type="dxa" w:w="3384"/>
            <w:vAlign w:val="center"/>
          </w:tcPr>
          <w:p>
            <w:pPr>
              <w:keepLines/>
              <w:spacing w:after="20" w:line="240" w:lineRule="auto"/>
            </w:pPr>
            <w:r>
              <w:rPr>
                <w:rFonts w:ascii="Calibri" w:hAnsi="Calibri"/>
                <w:sz w:val="14"/>
              </w:rPr>
              <w:t>Averages can conceal unstable runs, sensor oscillation, or inconsistent control. Variability may indicate a genuine process issue or measurement noise.</w:t>
            </w:r>
          </w:p>
        </w:tc>
        <w:tc>
          <w:tcPr>
            <w:tcW w:type="dxa" w:w="3672"/>
            <w:vAlign w:val="center"/>
          </w:tcPr>
          <w:p>
            <w:pPr>
              <w:keepLines/>
              <w:spacing w:after="20" w:line="240" w:lineRule="auto"/>
            </w:pPr>
            <w:r>
              <w:rPr>
                <w:rFonts w:ascii="Calibri" w:hAnsi="Calibri"/>
                <w:sz w:val="14"/>
              </w:rPr>
              <w:t>Compare standard deviation, range, slope, and excursion count against an average-only baseline. Stratify by sensor-health status and assess the added validation value.</w:t>
            </w:r>
          </w:p>
        </w:tc>
      </w:tr>
      <w:tr>
        <w:tc>
          <w:tcPr>
            <w:tcW w:type="dxa" w:w="2880"/>
            <w:vAlign w:val="center"/>
            <w:shd w:fill="F1F5F6"/>
          </w:tcPr>
          <w:p>
            <w:pPr>
              <w:keepLines/>
              <w:spacing w:after="20" w:line="240" w:lineRule="auto"/>
            </w:pPr>
            <w:r>
              <w:rPr>
                <w:rFonts w:ascii="Calibri" w:hAnsi="Calibri"/>
                <w:sz w:val="14"/>
              </w:rPr>
              <w:t>H3. Larger deviation from the recipe- and stage-specific pH or moisture target is associated with higher nonconformance risk.</w:t>
            </w:r>
          </w:p>
        </w:tc>
        <w:tc>
          <w:tcPr>
            <w:tcW w:type="dxa" w:w="3384"/>
            <w:vAlign w:val="center"/>
            <w:shd w:fill="F1F5F6"/>
          </w:tcPr>
          <w:p>
            <w:pPr>
              <w:keepLines/>
              <w:spacing w:after="20" w:line="240" w:lineRule="auto"/>
            </w:pPr>
            <w:r>
              <w:rPr>
                <w:rFonts w:ascii="Calibri" w:hAnsi="Calibri"/>
                <w:sz w:val="14"/>
              </w:rPr>
              <w:t>Acidity and water content can influence product properties and process outcomes, but their acceptable directions/ranges are product-specific.</w:t>
            </w:r>
          </w:p>
        </w:tc>
        <w:tc>
          <w:tcPr>
            <w:tcW w:type="dxa" w:w="3672"/>
            <w:vAlign w:val="center"/>
            <w:shd w:fill="F1F5F6"/>
          </w:tcPr>
          <w:p>
            <w:pPr>
              <w:keepLines/>
              <w:spacing w:after="20" w:line="240" w:lineRule="auto"/>
            </w:pPr>
            <w:r>
              <w:rPr>
                <w:rFonts w:ascii="Calibri" w:hAnsi="Calibri"/>
                <w:sz w:val="14"/>
              </w:rPr>
              <w:t>Use signed and absolute target deviations plus approved in-band fractions. Test nonlinear terms only if the process suggests curvature; never assume one universal optimum.</w:t>
            </w:r>
          </w:p>
        </w:tc>
      </w:tr>
      <w:tr>
        <w:tc>
          <w:tcPr>
            <w:tcW w:type="dxa" w:w="2880"/>
            <w:vAlign w:val="center"/>
          </w:tcPr>
          <w:p>
            <w:pPr>
              <w:keepLines/>
              <w:spacing w:after="20" w:line="240" w:lineRule="auto"/>
            </w:pPr>
            <w:r>
              <w:rPr>
                <w:rFonts w:ascii="Calibri" w:hAnsi="Calibri"/>
                <w:sz w:val="14"/>
              </w:rPr>
              <w:t>H4. Incoming ingredient-lot variability or an outlying incoming-material measurement is associated with batch quality variation after accounting for product and recipe.</w:t>
            </w:r>
          </w:p>
        </w:tc>
        <w:tc>
          <w:tcPr>
            <w:tcW w:type="dxa" w:w="3384"/>
            <w:vAlign w:val="center"/>
          </w:tcPr>
          <w:p>
            <w:pPr>
              <w:keepLines/>
              <w:spacing w:after="20" w:line="240" w:lineRule="auto"/>
            </w:pPr>
            <w:r>
              <w:rPr>
                <w:rFonts w:ascii="Calibri" w:hAnsi="Calibri"/>
                <w:sz w:val="14"/>
              </w:rPr>
              <w:t>Changes in moisture, acidity, concentration, or other raw-material properties may propagate through processing and change the final result.</w:t>
            </w:r>
          </w:p>
        </w:tc>
        <w:tc>
          <w:tcPr>
            <w:tcW w:type="dxa" w:w="3672"/>
            <w:vAlign w:val="center"/>
          </w:tcPr>
          <w:p>
            <w:pPr>
              <w:keepLines/>
              <w:spacing w:after="20" w:line="240" w:lineRule="auto"/>
            </w:pPr>
            <w:r>
              <w:rPr>
                <w:rFonts w:ascii="Calibri" w:hAnsi="Calibri"/>
                <w:sz w:val="14"/>
              </w:rPr>
              <w:t>Add pre-batch lot measurements and, where repeated lots exist, a lot-grouped analysis. Control for recipe version and supplier; avoid post-outcome or future lot summaries.</w:t>
            </w:r>
          </w:p>
        </w:tc>
      </w:tr>
      <w:tr>
        <w:tc>
          <w:tcPr>
            <w:tcW w:type="dxa" w:w="2880"/>
            <w:vAlign w:val="center"/>
            <w:shd w:fill="F1F5F6"/>
          </w:tcPr>
          <w:p>
            <w:pPr>
              <w:keepLines/>
              <w:spacing w:after="20" w:line="240" w:lineRule="auto"/>
            </w:pPr>
            <w:r>
              <w:rPr>
                <w:rFonts w:ascii="Calibri" w:hAnsi="Calibri"/>
                <w:sz w:val="14"/>
              </w:rPr>
              <w:t>H5. Process-feature effects differ by product/recipe or line; for example, temperature exposure has a different association with nonconformance under different formulations.</w:t>
            </w:r>
          </w:p>
        </w:tc>
        <w:tc>
          <w:tcPr>
            <w:tcW w:type="dxa" w:w="3384"/>
            <w:vAlign w:val="center"/>
            <w:shd w:fill="F1F5F6"/>
          </w:tcPr>
          <w:p>
            <w:pPr>
              <w:keepLines/>
              <w:spacing w:after="20" w:line="240" w:lineRule="auto"/>
            </w:pPr>
            <w:r>
              <w:rPr>
                <w:rFonts w:ascii="Calibri" w:hAnsi="Calibri"/>
                <w:sz w:val="14"/>
              </w:rPr>
              <w:t>Recipes and equipment can change heat transfer, residence time, target ranges, and sensor behavior. A pooled average can hide subgroup behavior.</w:t>
            </w:r>
          </w:p>
        </w:tc>
        <w:tc>
          <w:tcPr>
            <w:tcW w:type="dxa" w:w="3672"/>
            <w:vAlign w:val="center"/>
            <w:shd w:fill="F1F5F6"/>
          </w:tcPr>
          <w:p>
            <w:pPr>
              <w:keepLines/>
              <w:spacing w:after="20" w:line="240" w:lineRule="auto"/>
            </w:pPr>
            <w:r>
              <w:rPr>
                <w:rFonts w:ascii="Calibri" w:hAnsi="Calibri"/>
                <w:sz w:val="14"/>
              </w:rPr>
              <w:t>Test a small, pre-specified recipe-by-exposure interaction and compare stratified calibration/errors. Require enough batches per subgroup; shrink or avoid unstable small-group effects.</w:t>
            </w:r>
          </w:p>
        </w:tc>
      </w:tr>
      <w:tr>
        <w:tc>
          <w:tcPr>
            <w:tcW w:type="dxa" w:w="2880"/>
            <w:vAlign w:val="center"/>
          </w:tcPr>
          <w:p>
            <w:pPr>
              <w:keepLines/>
              <w:spacing w:after="20" w:line="240" w:lineRule="auto"/>
            </w:pPr>
            <w:r>
              <w:rPr>
                <w:rFonts w:ascii="Calibri" w:hAnsi="Calibri"/>
                <w:sz w:val="14"/>
              </w:rPr>
              <w:t>H6. Low sensor coverage, long gaps, or calibration/fault flags reduce predictive reliability and may themselves be associated with the observed quality record.</w:t>
            </w:r>
          </w:p>
        </w:tc>
        <w:tc>
          <w:tcPr>
            <w:tcW w:type="dxa" w:w="3384"/>
            <w:vAlign w:val="center"/>
          </w:tcPr>
          <w:p>
            <w:pPr>
              <w:keepLines/>
              <w:spacing w:after="20" w:line="240" w:lineRule="auto"/>
            </w:pPr>
            <w:r>
              <w:rPr>
                <w:rFonts w:ascii="Calibri" w:hAnsi="Calibri"/>
                <w:sz w:val="14"/>
              </w:rPr>
              <w:t>Missingness may reflect equipment faults, communication loss, process transitions, or selective measurement, rather than random absence.</w:t>
            </w:r>
          </w:p>
        </w:tc>
        <w:tc>
          <w:tcPr>
            <w:tcW w:type="dxa" w:w="3672"/>
            <w:vAlign w:val="center"/>
          </w:tcPr>
          <w:p>
            <w:pPr>
              <w:keepLines/>
              <w:spacing w:after="20" w:line="240" w:lineRule="auto"/>
            </w:pPr>
            <w:r>
              <w:rPr>
                <w:rFonts w:ascii="Calibri" w:hAnsi="Calibri"/>
                <w:sz w:val="14"/>
              </w:rPr>
              <w:t>Compare coverage indicators and missingness patterns. Evaluate performance and calibration by coverage group; do not interpret missingness as a process value or assume a causal quality effect.</w:t>
            </w:r>
          </w:p>
        </w:tc>
      </w:tr>
    </w:tbl>
    <w:p>
      <w:pPr>
        <w:spacing w:after="20"/>
      </w:pPr>
    </w:p>
    <w:p>
      <w:r>
        <w:t>Before fitting models, define a primary hypothesis family and a small number of secondary tests. Set expected directions and minimum practically relevant effects with a domain reviewer. This limits post-hoc story selection and helps distinguish a useful effect from statistical significance in a large dataset.</w:t>
      </w:r>
    </w:p>
    <w:p>
      <w:pPr>
        <w:pStyle w:val="Heading1"/>
      </w:pPr>
      <w:r>
        <w:t>3. Data and feature requirements</w:t>
      </w:r>
    </w:p>
    <w:p>
      <w:r>
        <w:t>Minimum data linkage is a stable batch ID connecting time-stamped process readings, checkpoint time, recipe/product version, raw-material lots, and the final quality sample or disposition. Preserve source timestamps and event timestamps, units, sensor IDs, calibration/fault codes, specification versions, laboratory method, and retest history. One row per batch should be derived only after the event-level data have passed identity, coverage, and timing checks.</w:t>
      </w:r>
    </w:p>
    <w:p>
      <w:pPr>
        <w:pStyle w:val="ListBullet"/>
      </w:pPr>
      <w:r>
        <w:t>Candidate inputs at the checkpoint: target-relative deviations, time in approved bands, cumulative exposure, rolling mean/variability/slope, batch stage and elapsed time, incoming material values, recipe/line context, and sensor-quality coverage indicators.</w:t>
      </w:r>
    </w:p>
    <w:p>
      <w:pPr>
        <w:pStyle w:val="ListBullet"/>
      </w:pPr>
      <w:r>
        <w:t>Candidate transformations: low-degree polynomial terms for a justified nonlinear response; specification-anchored bins for interpretable operating states; and a short, pre-specified set of process-by-recipe interactions.</w:t>
      </w:r>
    </w:p>
    <w:p>
      <w:pPr>
        <w:pStyle w:val="ListBullet"/>
      </w:pPr>
      <w:r>
        <w:t>Potential exclusions: final laboratory results, final release disposition, rework decisions, post-checkpoint measurements, future maintenance, and statistics that include later production events. Treat every field as unavailable until its timestamp and workflow are verified.</w:t>
      </w:r>
    </w:p>
    <w:p>
      <w:pPr>
        <w:pStyle w:val="ListBullet"/>
      </w:pPr>
      <w:r>
        <w:t>Missing readings: document fault and absence reasons; retain missingness indicators and coverage features where useful. Fit imputation within training folds. Do not replace absent measurements with a normal value or treat a missing quality test as conforming.</w:t>
      </w:r>
    </w:p>
    <w:p>
      <w:r>
        <w:t>Feature definitions and engineering controls should follow the Week 2 cleaning blueprint and Week 3 feature register. Proposed features are hypotheses about process information, not approved operating limits or process-control instructions.</w:t>
      </w:r>
    </w:p>
    <w:p>
      <w:pPr>
        <w:pStyle w:val="Heading1"/>
      </w:pPr>
      <w:r>
        <w:t>4. Proposed algorithms and expected outputs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2A4D60"/>
            <w:vAlign w:val="center"/>
          </w:tcPr>
          <w:p>
            <w:pPr>
              <w:keepLines/>
              <w:spacing w:after="20"/>
            </w:pPr>
            <w:r>
              <w:rPr>
                <w:rFonts w:ascii="Calibri" w:hAnsi="Calibri"/>
                <w:b/>
                <w:color w:val="FFFFFF"/>
                <w:sz w:val="14"/>
              </w:rPr>
              <w:t>Model</w:t>
            </w:r>
          </w:p>
        </w:tc>
        <w:tc>
          <w:tcPr>
            <w:tcW w:type="dxa" w:w="4104"/>
            <w:shd w:fill="2A4D60"/>
            <w:vAlign w:val="center"/>
          </w:tcPr>
          <w:p>
            <w:pPr>
              <w:keepLines/>
              <w:spacing w:after="20"/>
            </w:pPr>
            <w:r>
              <w:rPr>
                <w:rFonts w:ascii="Calibri" w:hAnsi="Calibri"/>
                <w:b/>
                <w:color w:val="FFFFFF"/>
                <w:sz w:val="14"/>
              </w:rPr>
              <w:t>Role and justification</w:t>
            </w:r>
          </w:p>
        </w:tc>
        <w:tc>
          <w:tcPr>
            <w:tcW w:type="dxa" w:w="3600"/>
            <w:shd w:fill="2A4D60"/>
            <w:vAlign w:val="center"/>
          </w:tcPr>
          <w:p>
            <w:pPr>
              <w:keepLines/>
              <w:spacing w:after="20"/>
            </w:pPr>
            <w:r>
              <w:rPr>
                <w:rFonts w:ascii="Calibri" w:hAnsi="Calibri"/>
                <w:b/>
                <w:color w:val="FFFFFF"/>
                <w:sz w:val="14"/>
              </w:rPr>
              <w:t>Expected output</w:t>
            </w:r>
          </w:p>
        </w:tc>
      </w:tr>
      <w:tr>
        <w:tc>
          <w:tcPr>
            <w:tcW w:type="dxa" w:w="2232"/>
            <w:vAlign w:val="center"/>
            <w:shd w:fill="F1F5F6"/>
          </w:tcPr>
          <w:p>
            <w:pPr>
              <w:keepLines/>
              <w:spacing w:after="20" w:line="240" w:lineRule="auto"/>
            </w:pPr>
            <w:r>
              <w:rPr>
                <w:rFonts w:ascii="Calibri" w:hAnsi="Calibri"/>
                <w:sz w:val="14"/>
              </w:rPr>
              <w:t>Prevalence / constant baseline</w:t>
            </w:r>
          </w:p>
        </w:tc>
        <w:tc>
          <w:tcPr>
            <w:tcW w:type="dxa" w:w="4104"/>
            <w:vAlign w:val="center"/>
            <w:shd w:fill="F1F5F6"/>
          </w:tcPr>
          <w:p>
            <w:pPr>
              <w:keepLines/>
              <w:spacing w:after="20" w:line="240" w:lineRule="auto"/>
            </w:pPr>
            <w:r>
              <w:rPr>
                <w:rFonts w:ascii="Calibri" w:hAnsi="Calibri"/>
                <w:sz w:val="14"/>
              </w:rPr>
              <w:t>Predict the training-period nonconformance rate or its median continuous target. Sets a minimum benchmark and exposes class imbalance.</w:t>
            </w:r>
          </w:p>
        </w:tc>
        <w:tc>
          <w:tcPr>
            <w:tcW w:type="dxa" w:w="3600"/>
            <w:vAlign w:val="center"/>
            <w:shd w:fill="F1F5F6"/>
          </w:tcPr>
          <w:p>
            <w:pPr>
              <w:keepLines/>
              <w:spacing w:after="20" w:line="240" w:lineRule="auto"/>
            </w:pPr>
            <w:r>
              <w:rPr>
                <w:rFonts w:ascii="Calibri" w:hAnsi="Calibri"/>
                <w:sz w:val="14"/>
              </w:rPr>
              <w:t>Baseline PR-AUC context, sensitivity/precision trade-off, calibration reference; continuous-target MAE/RMSE.</w:t>
            </w:r>
          </w:p>
        </w:tc>
      </w:tr>
      <w:tr>
        <w:tc>
          <w:tcPr>
            <w:tcW w:type="dxa" w:w="2232"/>
            <w:vAlign w:val="center"/>
          </w:tcPr>
          <w:p>
            <w:pPr>
              <w:keepLines/>
              <w:spacing w:after="20" w:line="240" w:lineRule="auto"/>
            </w:pPr>
            <w:r>
              <w:rPr>
                <w:rFonts w:ascii="Calibri" w:hAnsi="Calibri"/>
                <w:sz w:val="14"/>
              </w:rPr>
              <w:t>Logistic regression with regularization</w:t>
            </w:r>
          </w:p>
        </w:tc>
        <w:tc>
          <w:tcPr>
            <w:tcW w:type="dxa" w:w="4104"/>
            <w:vAlign w:val="center"/>
          </w:tcPr>
          <w:p>
            <w:pPr>
              <w:keepLines/>
              <w:spacing w:after="20" w:line="240" w:lineRule="auto"/>
            </w:pPr>
            <w:r>
              <w:rPr>
                <w:rFonts w:ascii="Calibri" w:hAnsi="Calibri"/>
                <w:sz w:val="14"/>
              </w:rPr>
              <w:t>Primary interpretable classifier for a binary target; direction and shrinkage help test pre-specified hypotheses while limiting overfit.</w:t>
            </w:r>
          </w:p>
        </w:tc>
        <w:tc>
          <w:tcPr>
            <w:tcW w:type="dxa" w:w="3600"/>
            <w:vAlign w:val="center"/>
          </w:tcPr>
          <w:p>
            <w:pPr>
              <w:keepLines/>
              <w:spacing w:after="20" w:line="240" w:lineRule="auto"/>
            </w:pPr>
            <w:r>
              <w:rPr>
                <w:rFonts w:ascii="Calibri" w:hAnsi="Calibri"/>
                <w:sz w:val="14"/>
              </w:rPr>
              <w:t>Per-batch probability of nonconformance, coefficients with uncertainty, threshold-independent and threshold-specific scores.</w:t>
            </w:r>
          </w:p>
        </w:tc>
      </w:tr>
      <w:tr>
        <w:tc>
          <w:tcPr>
            <w:tcW w:type="dxa" w:w="2232"/>
            <w:vAlign w:val="center"/>
            <w:shd w:fill="F1F5F6"/>
          </w:tcPr>
          <w:p>
            <w:pPr>
              <w:keepLines/>
              <w:spacing w:after="20" w:line="240" w:lineRule="auto"/>
            </w:pPr>
            <w:r>
              <w:rPr>
                <w:rFonts w:ascii="Calibri" w:hAnsi="Calibri"/>
                <w:sz w:val="14"/>
              </w:rPr>
              <w:t>Linear or Ridge regression</w:t>
            </w:r>
          </w:p>
        </w:tc>
        <w:tc>
          <w:tcPr>
            <w:tcW w:type="dxa" w:w="4104"/>
            <w:vAlign w:val="center"/>
            <w:shd w:fill="F1F5F6"/>
          </w:tcPr>
          <w:p>
            <w:pPr>
              <w:keepLines/>
              <w:spacing w:after="20" w:line="240" w:lineRule="auto"/>
            </w:pPr>
            <w:r>
              <w:rPr>
                <w:rFonts w:ascii="Calibri" w:hAnsi="Calibri"/>
                <w:sz w:val="14"/>
              </w:rPr>
              <w:t>Continuous outcome baseline in native units; estimates additive associations and establishes error scale.</w:t>
            </w:r>
          </w:p>
        </w:tc>
        <w:tc>
          <w:tcPr>
            <w:tcW w:type="dxa" w:w="3600"/>
            <w:vAlign w:val="center"/>
            <w:shd w:fill="F1F5F6"/>
          </w:tcPr>
          <w:p>
            <w:pPr>
              <w:keepLines/>
              <w:spacing w:after="20" w:line="240" w:lineRule="auto"/>
            </w:pPr>
            <w:r>
              <w:rPr>
                <w:rFonts w:ascii="Calibri" w:hAnsi="Calibri"/>
                <w:sz w:val="14"/>
              </w:rPr>
              <w:t>Predicted final lab result, MAE/RMSE, residual summaries, and stabilized coefficients.</w:t>
            </w:r>
          </w:p>
        </w:tc>
      </w:tr>
      <w:tr>
        <w:tc>
          <w:tcPr>
            <w:tcW w:type="dxa" w:w="2232"/>
            <w:vAlign w:val="center"/>
          </w:tcPr>
          <w:p>
            <w:pPr>
              <w:keepLines/>
              <w:spacing w:after="20" w:line="240" w:lineRule="auto"/>
            </w:pPr>
            <w:r>
              <w:rPr>
                <w:rFonts w:ascii="Calibri" w:hAnsi="Calibri"/>
                <w:sz w:val="14"/>
              </w:rPr>
              <w:t>Shallow decision tree</w:t>
            </w:r>
          </w:p>
        </w:tc>
        <w:tc>
          <w:tcPr>
            <w:tcW w:type="dxa" w:w="4104"/>
            <w:vAlign w:val="center"/>
          </w:tcPr>
          <w:p>
            <w:pPr>
              <w:keepLines/>
              <w:spacing w:after="20" w:line="240" w:lineRule="auto"/>
            </w:pPr>
            <w:r>
              <w:rPr>
                <w:rFonts w:ascii="Calibri" w:hAnsi="Calibri"/>
                <w:sz w:val="14"/>
              </w:rPr>
              <w:t>Readable nonlinear benchmark that can reveal candidate splits and interactions without an exhaustive feature expansion.</w:t>
            </w:r>
          </w:p>
        </w:tc>
        <w:tc>
          <w:tcPr>
            <w:tcW w:type="dxa" w:w="3600"/>
            <w:vAlign w:val="center"/>
          </w:tcPr>
          <w:p>
            <w:pPr>
              <w:keepLines/>
              <w:spacing w:after="20" w:line="240" w:lineRule="auto"/>
            </w:pPr>
            <w:r>
              <w:rPr>
                <w:rFonts w:ascii="Calibri" w:hAnsi="Calibri"/>
                <w:sz w:val="14"/>
              </w:rPr>
              <w:t>Risk segments and tree rules for exploration; constrained depth and minimum leaf sizes; no assumption that splits are causal.</w:t>
            </w:r>
          </w:p>
        </w:tc>
      </w:tr>
      <w:tr>
        <w:tc>
          <w:tcPr>
            <w:tcW w:type="dxa" w:w="2232"/>
            <w:vAlign w:val="center"/>
            <w:shd w:fill="F1F5F6"/>
          </w:tcPr>
          <w:p>
            <w:pPr>
              <w:keepLines/>
              <w:spacing w:after="20" w:line="240" w:lineRule="auto"/>
            </w:pPr>
            <w:r>
              <w:rPr>
                <w:rFonts w:ascii="Calibri" w:hAnsi="Calibri"/>
                <w:sz w:val="14"/>
              </w:rPr>
              <w:t>Random forest or gradient-boosted trees</w:t>
            </w:r>
          </w:p>
        </w:tc>
        <w:tc>
          <w:tcPr>
            <w:tcW w:type="dxa" w:w="4104"/>
            <w:vAlign w:val="center"/>
            <w:shd w:fill="F1F5F6"/>
          </w:tcPr>
          <w:p>
            <w:pPr>
              <w:keepLines/>
              <w:spacing w:after="20" w:line="240" w:lineRule="auto"/>
            </w:pPr>
            <w:r>
              <w:rPr>
                <w:rFonts w:ascii="Calibri" w:hAnsi="Calibri"/>
                <w:sz w:val="14"/>
              </w:rPr>
              <w:t>Secondary predictive comparison for nonlinearities and interactions after leakage-safe baselines; can model mixed response shapes.</w:t>
            </w:r>
          </w:p>
        </w:tc>
        <w:tc>
          <w:tcPr>
            <w:tcW w:type="dxa" w:w="3600"/>
            <w:vAlign w:val="center"/>
            <w:shd w:fill="F1F5F6"/>
          </w:tcPr>
          <w:p>
            <w:pPr>
              <w:keepLines/>
              <w:spacing w:after="20" w:line="240" w:lineRule="auto"/>
            </w:pPr>
            <w:r>
              <w:rPr>
                <w:rFonts w:ascii="Calibri" w:hAnsi="Calibri"/>
                <w:sz w:val="14"/>
              </w:rPr>
              <w:t>Risk probabilities or continuous predictions, calibration checks, grouped permutation importance; more complex models are retained only for stable incremental value.</w:t>
            </w:r>
          </w:p>
        </w:tc>
      </w:tr>
      <w:tr>
        <w:tc>
          <w:tcPr>
            <w:tcW w:type="dxa" w:w="2232"/>
            <w:vAlign w:val="center"/>
          </w:tcPr>
          <w:p>
            <w:pPr>
              <w:keepLines/>
              <w:spacing w:after="20" w:line="240" w:lineRule="auto"/>
            </w:pPr>
            <w:r>
              <w:rPr>
                <w:rFonts w:ascii="Calibri" w:hAnsi="Calibri"/>
                <w:sz w:val="14"/>
              </w:rPr>
              <w:t>Optional batch-profile clustering</w:t>
            </w:r>
          </w:p>
        </w:tc>
        <w:tc>
          <w:tcPr>
            <w:tcW w:type="dxa" w:w="4104"/>
            <w:vAlign w:val="center"/>
          </w:tcPr>
          <w:p>
            <w:pPr>
              <w:keepLines/>
              <w:spacing w:after="20" w:line="240" w:lineRule="auto"/>
            </w:pPr>
            <w:r>
              <w:rPr>
                <w:rFonts w:ascii="Calibri" w:hAnsi="Calibri"/>
                <w:sz w:val="14"/>
              </w:rPr>
              <w:t>Unsupervised exploration for recurring process regimes when no target is used to form clusters. Not a prediction model and not a quality grade.</w:t>
            </w:r>
          </w:p>
        </w:tc>
        <w:tc>
          <w:tcPr>
            <w:tcW w:type="dxa" w:w="3600"/>
            <w:vAlign w:val="center"/>
          </w:tcPr>
          <w:p>
            <w:pPr>
              <w:keepLines/>
              <w:spacing w:after="20" w:line="240" w:lineRule="auto"/>
            </w:pPr>
            <w:r>
              <w:rPr>
                <w:rFonts w:ascii="Calibri" w:hAnsi="Calibri"/>
                <w:sz w:val="14"/>
              </w:rPr>
              <w:t>Cluster assignments and profiles for engineer review, fit within training data and checked for time and product stability.</w:t>
            </w:r>
          </w:p>
        </w:tc>
      </w:tr>
    </w:tbl>
    <w:p>
      <w:pPr>
        <w:spacing w:after="20"/>
      </w:pPr>
    </w:p>
    <w:p>
      <w:r>
        <w:t>Start with one primary endpoint and the smallest interpretable feature set. Add feature groups in sequence: base process context, dynamics/exposure, raw-material context, sensor health, then pre-specified interactions. Compare on identical folds. Select a complex model only if it materially improves future-period, group-aware performance, remains reasonably calibrated, and can be operated and explained to the quality team.</w:t>
      </w:r>
    </w:p>
    <w:p>
      <w:pPr>
        <w:pStyle w:val="Heading1"/>
      </w:pPr>
      <w:r>
        <w:t>5. Evaluation metrics and validation design</w:t>
      </w:r>
    </w:p>
    <w:p>
      <w:pPr>
        <w:pStyle w:val="Heading2"/>
      </w:pPr>
      <w:r>
        <w:t>5.1 Metrics matched to the decision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2A4D60"/>
            <w:vAlign w:val="center"/>
          </w:tcPr>
          <w:p>
            <w:pPr>
              <w:keepLines/>
              <w:spacing w:after="20"/>
            </w:pPr>
            <w:r>
              <w:rPr>
                <w:rFonts w:ascii="Calibri" w:hAnsi="Calibri"/>
                <w:b/>
                <w:color w:val="FFFFFF"/>
                <w:sz w:val="14"/>
              </w:rPr>
              <w:t>Task</w:t>
            </w:r>
          </w:p>
        </w:tc>
        <w:tc>
          <w:tcPr>
            <w:tcW w:type="dxa" w:w="3528"/>
            <w:shd w:fill="2A4D60"/>
            <w:vAlign w:val="center"/>
          </w:tcPr>
          <w:p>
            <w:pPr>
              <w:keepLines/>
              <w:spacing w:after="20"/>
            </w:pPr>
            <w:r>
              <w:rPr>
                <w:rFonts w:ascii="Calibri" w:hAnsi="Calibri"/>
                <w:b/>
                <w:color w:val="FFFFFF"/>
                <w:sz w:val="14"/>
              </w:rPr>
              <w:t>Primary metrics</w:t>
            </w:r>
          </w:p>
        </w:tc>
        <w:tc>
          <w:tcPr>
            <w:tcW w:type="dxa" w:w="4320"/>
            <w:shd w:fill="2A4D60"/>
            <w:vAlign w:val="center"/>
          </w:tcPr>
          <w:p>
            <w:pPr>
              <w:keepLines/>
              <w:spacing w:after="20"/>
            </w:pPr>
            <w:r>
              <w:rPr>
                <w:rFonts w:ascii="Calibri" w:hAnsi="Calibri"/>
                <w:b/>
                <w:color w:val="FFFFFF"/>
                <w:sz w:val="14"/>
              </w:rPr>
              <w:t>Why and how to use</w:t>
            </w:r>
          </w:p>
        </w:tc>
      </w:tr>
      <w:tr>
        <w:tc>
          <w:tcPr>
            <w:tcW w:type="dxa" w:w="2088"/>
            <w:vAlign w:val="center"/>
            <w:shd w:fill="F1F5F6"/>
          </w:tcPr>
          <w:p>
            <w:pPr>
              <w:keepLines/>
              <w:spacing w:after="20" w:line="240" w:lineRule="auto"/>
            </w:pPr>
            <w:r>
              <w:rPr>
                <w:rFonts w:ascii="Calibri" w:hAnsi="Calibri"/>
                <w:sz w:val="14"/>
              </w:rPr>
              <w:t>Binary nonconformance classification</w:t>
            </w:r>
          </w:p>
        </w:tc>
        <w:tc>
          <w:tcPr>
            <w:tcW w:type="dxa" w:w="3528"/>
            <w:vAlign w:val="center"/>
            <w:shd w:fill="F1F5F6"/>
          </w:tcPr>
          <w:p>
            <w:pPr>
              <w:keepLines/>
              <w:spacing w:after="20" w:line="240" w:lineRule="auto"/>
            </w:pPr>
            <w:r>
              <w:rPr>
                <w:rFonts w:ascii="Calibri" w:hAnsi="Calibri"/>
                <w:sz w:val="14"/>
              </w:rPr>
              <w:t>Recall/sensitivity for nonconforming batches; precision; PR-AUC; calibration (Brier score and reliability plot).</w:t>
            </w:r>
          </w:p>
        </w:tc>
        <w:tc>
          <w:tcPr>
            <w:tcW w:type="dxa" w:w="4320"/>
            <w:vAlign w:val="center"/>
            <w:shd w:fill="F1F5F6"/>
          </w:tcPr>
          <w:p>
            <w:pPr>
              <w:keepLines/>
              <w:spacing w:after="20" w:line="240" w:lineRule="auto"/>
            </w:pPr>
            <w:r>
              <w:rPr>
                <w:rFonts w:ascii="Calibri" w:hAnsi="Calibri"/>
                <w:sz w:val="14"/>
              </w:rPr>
              <w:t>Nonconformance is likely the minority class. Recall measures misses, precision reflects review workload, PR-AUC summarizes ranking under imbalance, and calibration tests whether stated probabilities are credible.</w:t>
            </w:r>
          </w:p>
        </w:tc>
      </w:tr>
      <w:tr>
        <w:tc>
          <w:tcPr>
            <w:tcW w:type="dxa" w:w="2088"/>
            <w:vAlign w:val="center"/>
          </w:tcPr>
          <w:p>
            <w:pPr>
              <w:keepLines/>
              <w:spacing w:after="20" w:line="240" w:lineRule="auto"/>
            </w:pPr>
            <w:r>
              <w:rPr>
                <w:rFonts w:ascii="Calibri" w:hAnsi="Calibri"/>
                <w:sz w:val="14"/>
              </w:rPr>
              <w:t>Threshold and operational review</w:t>
            </w:r>
          </w:p>
        </w:tc>
        <w:tc>
          <w:tcPr>
            <w:tcW w:type="dxa" w:w="3528"/>
            <w:vAlign w:val="center"/>
          </w:tcPr>
          <w:p>
            <w:pPr>
              <w:keepLines/>
              <w:spacing w:after="20" w:line="240" w:lineRule="auto"/>
            </w:pPr>
            <w:r>
              <w:rPr>
                <w:rFonts w:ascii="Calibri" w:hAnsi="Calibri"/>
                <w:sz w:val="14"/>
              </w:rPr>
              <w:t>Confusion matrix, false-negative and false-positive counts/rates, alert volume per shift/day, and expected cost under stakeholder-approved costs.</w:t>
            </w:r>
          </w:p>
        </w:tc>
        <w:tc>
          <w:tcPr>
            <w:tcW w:type="dxa" w:w="4320"/>
            <w:vAlign w:val="center"/>
          </w:tcPr>
          <w:p>
            <w:pPr>
              <w:keepLines/>
              <w:spacing w:after="20" w:line="240" w:lineRule="auto"/>
            </w:pPr>
            <w:r>
              <w:rPr>
                <w:rFonts w:ascii="Calibri" w:hAnsi="Calibri"/>
                <w:sz w:val="14"/>
              </w:rPr>
              <w:t>Choose the alert threshold on validation data only, considering missed nonconforming batches and available review capacity. Report the resulting confusion matrix on untouched future data.</w:t>
            </w:r>
          </w:p>
        </w:tc>
      </w:tr>
      <w:tr>
        <w:tc>
          <w:tcPr>
            <w:tcW w:type="dxa" w:w="2088"/>
            <w:vAlign w:val="center"/>
            <w:shd w:fill="F1F5F6"/>
          </w:tcPr>
          <w:p>
            <w:pPr>
              <w:keepLines/>
              <w:spacing w:after="20" w:line="240" w:lineRule="auto"/>
            </w:pPr>
            <w:r>
              <w:rPr>
                <w:rFonts w:ascii="Calibri" w:hAnsi="Calibri"/>
                <w:sz w:val="14"/>
              </w:rPr>
              <w:t>Continuous quality prediction</w:t>
            </w:r>
          </w:p>
        </w:tc>
        <w:tc>
          <w:tcPr>
            <w:tcW w:type="dxa" w:w="3528"/>
            <w:vAlign w:val="center"/>
            <w:shd w:fill="F1F5F6"/>
          </w:tcPr>
          <w:p>
            <w:pPr>
              <w:keepLines/>
              <w:spacing w:after="20" w:line="240" w:lineRule="auto"/>
            </w:pPr>
            <w:r>
              <w:rPr>
                <w:rFonts w:ascii="Calibri" w:hAnsi="Calibri"/>
                <w:sz w:val="14"/>
              </w:rPr>
              <w:t>MAE as primary, RMSE for sensitivity to large errors, bias/mean error, and residual spread in original measurement units. R-squared is supplementary.</w:t>
            </w:r>
          </w:p>
        </w:tc>
        <w:tc>
          <w:tcPr>
            <w:tcW w:type="dxa" w:w="4320"/>
            <w:vAlign w:val="center"/>
            <w:shd w:fill="F1F5F6"/>
          </w:tcPr>
          <w:p>
            <w:pPr>
              <w:keepLines/>
              <w:spacing w:after="20" w:line="240" w:lineRule="auto"/>
            </w:pPr>
            <w:r>
              <w:rPr>
                <w:rFonts w:ascii="Calibri" w:hAnsi="Calibri"/>
                <w:sz w:val="14"/>
              </w:rPr>
              <w:t>Absolute error is operationally interpretable; RMSE penalizes large misses. Compare error against test-method repeatability and specification width, not an arbitrary generic threshold.</w:t>
            </w:r>
          </w:p>
        </w:tc>
      </w:tr>
      <w:tr>
        <w:tc>
          <w:tcPr>
            <w:tcW w:type="dxa" w:w="2088"/>
            <w:vAlign w:val="center"/>
          </w:tcPr>
          <w:p>
            <w:pPr>
              <w:keepLines/>
              <w:spacing w:after="20" w:line="240" w:lineRule="auto"/>
            </w:pPr>
            <w:r>
              <w:rPr>
                <w:rFonts w:ascii="Calibri" w:hAnsi="Calibri"/>
                <w:sz w:val="14"/>
              </w:rPr>
              <w:t>Probability quality</w:t>
            </w:r>
          </w:p>
        </w:tc>
        <w:tc>
          <w:tcPr>
            <w:tcW w:type="dxa" w:w="3528"/>
            <w:vAlign w:val="center"/>
          </w:tcPr>
          <w:p>
            <w:pPr>
              <w:keepLines/>
              <w:spacing w:after="20" w:line="240" w:lineRule="auto"/>
            </w:pPr>
            <w:r>
              <w:rPr>
                <w:rFonts w:ascii="Calibri" w:hAnsi="Calibri"/>
                <w:sz w:val="14"/>
              </w:rPr>
              <w:t>Brier score and calibration slope/intercept, alongside reliability plots.</w:t>
            </w:r>
          </w:p>
        </w:tc>
        <w:tc>
          <w:tcPr>
            <w:tcW w:type="dxa" w:w="4320"/>
            <w:vAlign w:val="center"/>
          </w:tcPr>
          <w:p>
            <w:pPr>
              <w:keepLines/>
              <w:spacing w:after="20" w:line="240" w:lineRule="auto"/>
            </w:pPr>
            <w:r>
              <w:rPr>
                <w:rFonts w:ascii="Calibri" w:hAnsi="Calibri"/>
                <w:sz w:val="14"/>
              </w:rPr>
              <w:t>A useful ranking can still have misleading probabilities. Recalibrate only on training/validation periods and recheck on later data.</w:t>
            </w:r>
          </w:p>
        </w:tc>
      </w:tr>
      <w:tr>
        <w:tc>
          <w:tcPr>
            <w:tcW w:type="dxa" w:w="2088"/>
            <w:vAlign w:val="center"/>
            <w:shd w:fill="F1F5F6"/>
          </w:tcPr>
          <w:p>
            <w:pPr>
              <w:keepLines/>
              <w:spacing w:after="20" w:line="240" w:lineRule="auto"/>
            </w:pPr>
            <w:r>
              <w:rPr>
                <w:rFonts w:ascii="Calibri" w:hAnsi="Calibri"/>
                <w:sz w:val="14"/>
              </w:rPr>
              <w:t>Subgroup checks</w:t>
            </w:r>
          </w:p>
        </w:tc>
        <w:tc>
          <w:tcPr>
            <w:tcW w:type="dxa" w:w="3528"/>
            <w:vAlign w:val="center"/>
            <w:shd w:fill="F1F5F6"/>
          </w:tcPr>
          <w:p>
            <w:pPr>
              <w:keepLines/>
              <w:spacing w:after="20" w:line="240" w:lineRule="auto"/>
            </w:pPr>
            <w:r>
              <w:rPr>
                <w:rFonts w:ascii="Calibri" w:hAnsi="Calibri"/>
                <w:sz w:val="14"/>
              </w:rPr>
              <w:t>Recall, precision, calibration, and MAE by product/recipe, line, time period, and sensor-coverage group where sample sizes permit.</w:t>
            </w:r>
          </w:p>
        </w:tc>
        <w:tc>
          <w:tcPr>
            <w:tcW w:type="dxa" w:w="4320"/>
            <w:vAlign w:val="center"/>
            <w:shd w:fill="F1F5F6"/>
          </w:tcPr>
          <w:p>
            <w:pPr>
              <w:keepLines/>
              <w:spacing w:after="20" w:line="240" w:lineRule="auto"/>
            </w:pPr>
            <w:r>
              <w:rPr>
                <w:rFonts w:ascii="Calibri" w:hAnsi="Calibri"/>
                <w:sz w:val="14"/>
              </w:rPr>
              <w:t>Detect uneven failure modes or data quality. Suppress unstable estimates for small groups and document counts and uncertainty.</w:t>
            </w:r>
          </w:p>
        </w:tc>
      </w:tr>
    </w:tbl>
    <w:p>
      <w:pPr>
        <w:spacing w:after="20"/>
      </w:pPr>
    </w:p>
    <w:p>
      <w:pPr>
        <w:pStyle w:val="Heading2"/>
      </w:pPr>
      <w:r>
        <w:t>5.2 Split and uncertainty plan</w:t>
      </w:r>
    </w:p>
    <w:p>
      <w:pPr>
        <w:pStyle w:val="ListBullet"/>
      </w:pPr>
      <w:r>
        <w:t>Reserve the latest representative production period as a locked final test. Do not use it for feature selection, threshold tuning, or model selection.</w:t>
      </w:r>
    </w:p>
    <w:p>
      <w:pPr>
        <w:pStyle w:val="ListBullet"/>
      </w:pPr>
      <w:r>
        <w:t>Within earlier data, use expanding-window or rolling-origin temporal validation to mimic future use. Group all records from a batch together; if lots or repeated campaigns create dependence, add a lot/campaign group holdout.</w:t>
      </w:r>
    </w:p>
    <w:p>
      <w:pPr>
        <w:pStyle w:val="ListBullet"/>
      </w:pPr>
      <w:r>
        <w:t>Use nested temporal/group-aware tuning when comparing hyperparameters. Keep imputation, scaling, encoding, binning, and feature selection inside each training fold.</w:t>
      </w:r>
    </w:p>
    <w:p>
      <w:pPr>
        <w:pStyle w:val="ListBullet"/>
      </w:pPr>
      <w:r>
        <w:t>Generate historical/rolling features with strict as-of joins at the prediction checkpoint. Audit that no target result, future reading, or test-period statistic enters model inputs.</w:t>
      </w:r>
    </w:p>
    <w:p>
      <w:pPr>
        <w:pStyle w:val="ListBullet"/>
      </w:pPr>
      <w:r>
        <w:t>Report fold-to-fold variability and confidence intervals, using batch-level or time-block resampling rather than individual sensor readings. Rare-event intervals may be wide; disclose that uncertainty instead of hiding it.</w:t>
      </w:r>
    </w:p>
    <w:p>
      <w:pPr>
        <w:pStyle w:val="ListBullet"/>
      </w:pPr>
      <w:r>
        <w:t>Compare with the prevalence/median baseline and the current documented quality workflow where a fair, timestamped comparison is possible.</w:t>
      </w:r>
    </w:p>
    <w:p>
      <w:pPr>
        <w:pStyle w:val="Heading1"/>
      </w:pPr>
      <w:r>
        <w:t>6. Hypothesis testing and interpretation protocol</w:t>
      </w:r>
    </w:p>
    <w:p>
      <w:r>
        <w:t>Prediction and hypothesis testing answer related but different questions. A model may predict well using correlated proxies without identifying a causal mechanism; a statistically associated feature may add no useful out-of-time prediction. Report predictive and inferential conclusions separately.</w:t>
      </w:r>
    </w:p>
    <w:p>
      <w:pPr>
        <w:pStyle w:val="ListNumber"/>
      </w:pPr>
      <w:r>
        <w:t>Pre-register the target, prediction cutoff, primary feature definitions, hypothesis directions, primary metrics, exclusion rules, and subgroup plan before inspecting outcome associations.</w:t>
      </w:r>
    </w:p>
    <w:p>
      <w:pPr>
        <w:pStyle w:val="ListNumber"/>
      </w:pPr>
      <w:r>
        <w:t>Fit a baseline and then the pre-specified logistic/linear models. Check functional form, residuals, separation, multicollinearity, repeated batches/lots, and missingness mechanisms.</w:t>
      </w:r>
    </w:p>
    <w:p>
      <w:pPr>
        <w:pStyle w:val="ListNumber"/>
      </w:pPr>
      <w:r>
        <w:t>Estimate effect sizes with confidence intervals; use batch-aware or time-block bootstrap uncertainty. Adjust secondary families of tests for multiple comparisons, such as with a false-discovery-rate procedure.</w:t>
      </w:r>
    </w:p>
    <w:p>
      <w:pPr>
        <w:pStyle w:val="ListNumber"/>
      </w:pPr>
      <w:r>
        <w:t>Use grouped permutation importance on held-out periods to measure incremental predictive contribution. Correlated inputs can share or obscure importance; do not label importance as causal effect.</w:t>
      </w:r>
    </w:p>
    <w:p>
      <w:pPr>
        <w:pStyle w:val="ListNumber"/>
      </w:pPr>
      <w:r>
        <w:t>Check direction, magnitude, calibration, and error stability across time and process strata. Investigate discrepancies with process and quality experts before accepting or discarding a hypothesis.</w:t>
      </w:r>
    </w:p>
    <w:p>
      <w:r>
        <w:t>A positive result supports an association in the observed process and period. Causal claims require a separately designed intervention or justified causal-inference study, controls for confounding and process changes, and review by the responsible subject-matter owners.</w:t>
      </w:r>
    </w:p>
    <w:p>
      <w:pPr>
        <w:pStyle w:val="Heading1"/>
      </w:pPr>
      <w:r>
        <w:t>7. Decision gates and success criteria</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728"/>
            <w:shd w:fill="2A4D60"/>
            <w:vAlign w:val="center"/>
          </w:tcPr>
          <w:p>
            <w:pPr>
              <w:keepLines/>
              <w:spacing w:after="20"/>
            </w:pPr>
            <w:r>
              <w:rPr>
                <w:rFonts w:ascii="Calibri" w:hAnsi="Calibri"/>
                <w:b/>
                <w:color w:val="FFFFFF"/>
                <w:sz w:val="15"/>
              </w:rPr>
              <w:t>Gate</w:t>
            </w:r>
          </w:p>
        </w:tc>
        <w:tc>
          <w:tcPr>
            <w:tcW w:type="dxa" w:w="4320"/>
            <w:shd w:fill="2A4D60"/>
            <w:vAlign w:val="center"/>
          </w:tcPr>
          <w:p>
            <w:pPr>
              <w:keepLines/>
              <w:spacing w:after="20"/>
            </w:pPr>
            <w:r>
              <w:rPr>
                <w:rFonts w:ascii="Calibri" w:hAnsi="Calibri"/>
                <w:b/>
                <w:color w:val="FFFFFF"/>
                <w:sz w:val="15"/>
              </w:rPr>
              <w:t>Evidence required to proceed</w:t>
            </w:r>
          </w:p>
        </w:tc>
        <w:tc>
          <w:tcPr>
            <w:tcW w:type="dxa" w:w="3888"/>
            <w:shd w:fill="2A4D60"/>
            <w:vAlign w:val="center"/>
          </w:tcPr>
          <w:p>
            <w:pPr>
              <w:keepLines/>
              <w:spacing w:after="20"/>
            </w:pPr>
            <w:r>
              <w:rPr>
                <w:rFonts w:ascii="Calibri" w:hAnsi="Calibri"/>
                <w:b/>
                <w:color w:val="FFFFFF"/>
                <w:sz w:val="15"/>
              </w:rPr>
              <w:t>Stop or revise when</w:t>
            </w:r>
          </w:p>
        </w:tc>
      </w:tr>
      <w:tr>
        <w:tc>
          <w:tcPr>
            <w:tcW w:type="dxa" w:w="1728"/>
            <w:vAlign w:val="center"/>
            <w:shd w:fill="F1F5F6"/>
          </w:tcPr>
          <w:p>
            <w:pPr>
              <w:keepLines/>
              <w:spacing w:after="20" w:line="240" w:lineRule="auto"/>
            </w:pPr>
            <w:r>
              <w:rPr>
                <w:rFonts w:ascii="Calibri" w:hAnsi="Calibri"/>
                <w:sz w:val="15"/>
              </w:rPr>
              <w:t>Data readiness</w:t>
            </w:r>
          </w:p>
        </w:tc>
        <w:tc>
          <w:tcPr>
            <w:tcW w:type="dxa" w:w="4320"/>
            <w:vAlign w:val="center"/>
            <w:shd w:fill="F1F5F6"/>
          </w:tcPr>
          <w:p>
            <w:pPr>
              <w:keepLines/>
              <w:spacing w:after="20" w:line="240" w:lineRule="auto"/>
            </w:pPr>
            <w:r>
              <w:rPr>
                <w:rFonts w:ascii="Calibri" w:hAnsi="Calibri"/>
                <w:sz w:val="15"/>
              </w:rPr>
              <w:t>Batch/target links reconcile; units, timestamps, target method, spec version, and feature availability are documented; no unresolved target leakage.</w:t>
            </w:r>
          </w:p>
        </w:tc>
        <w:tc>
          <w:tcPr>
            <w:tcW w:type="dxa" w:w="3888"/>
            <w:vAlign w:val="center"/>
            <w:shd w:fill="F1F5F6"/>
          </w:tcPr>
          <w:p>
            <w:pPr>
              <w:keepLines/>
              <w:spacing w:after="20" w:line="240" w:lineRule="auto"/>
            </w:pPr>
            <w:r>
              <w:rPr>
                <w:rFonts w:ascii="Calibri" w:hAnsi="Calibri"/>
                <w:sz w:val="15"/>
              </w:rPr>
              <w:t>Identity or timing is unreliable, outcome definition changes across periods without mapping, or essential labels are missing non-randomly.</w:t>
            </w:r>
          </w:p>
        </w:tc>
      </w:tr>
      <w:tr>
        <w:tc>
          <w:tcPr>
            <w:tcW w:type="dxa" w:w="1728"/>
            <w:vAlign w:val="center"/>
          </w:tcPr>
          <w:p>
            <w:pPr>
              <w:keepLines/>
              <w:spacing w:after="20" w:line="240" w:lineRule="auto"/>
            </w:pPr>
            <w:r>
              <w:rPr>
                <w:rFonts w:ascii="Calibri" w:hAnsi="Calibri"/>
                <w:sz w:val="15"/>
              </w:rPr>
              <w:t>Baseline credibility</w:t>
            </w:r>
          </w:p>
        </w:tc>
        <w:tc>
          <w:tcPr>
            <w:tcW w:type="dxa" w:w="4320"/>
            <w:vAlign w:val="center"/>
          </w:tcPr>
          <w:p>
            <w:pPr>
              <w:keepLines/>
              <w:spacing w:after="20" w:line="240" w:lineRule="auto"/>
            </w:pPr>
            <w:r>
              <w:rPr>
                <w:rFonts w:ascii="Calibri" w:hAnsi="Calibri"/>
                <w:sz w:val="15"/>
              </w:rPr>
              <w:t>Metrics use batch-grouped temporal folds; benchmark beats or meaningfully complements the baseline; fold results and uncertainty are reported.</w:t>
            </w:r>
          </w:p>
        </w:tc>
        <w:tc>
          <w:tcPr>
            <w:tcW w:type="dxa" w:w="3888"/>
            <w:vAlign w:val="center"/>
          </w:tcPr>
          <w:p>
            <w:pPr>
              <w:keepLines/>
              <w:spacing w:after="20" w:line="240" w:lineRule="auto"/>
            </w:pPr>
            <w:r>
              <w:rPr>
                <w:rFonts w:ascii="Calibri" w:hAnsi="Calibri"/>
                <w:sz w:val="15"/>
              </w:rPr>
              <w:t>Performance is driven by random splitting, one batch/line/time period, or post-event fields; metrics are unstable or near baseline with no operational value.</w:t>
            </w:r>
          </w:p>
        </w:tc>
      </w:tr>
      <w:tr>
        <w:tc>
          <w:tcPr>
            <w:tcW w:type="dxa" w:w="1728"/>
            <w:vAlign w:val="center"/>
            <w:shd w:fill="F1F5F6"/>
          </w:tcPr>
          <w:p>
            <w:pPr>
              <w:keepLines/>
              <w:spacing w:after="20" w:line="240" w:lineRule="auto"/>
            </w:pPr>
            <w:r>
              <w:rPr>
                <w:rFonts w:ascii="Calibri" w:hAnsi="Calibri"/>
                <w:sz w:val="15"/>
              </w:rPr>
              <w:t>Model selection</w:t>
            </w:r>
          </w:p>
        </w:tc>
        <w:tc>
          <w:tcPr>
            <w:tcW w:type="dxa" w:w="4320"/>
            <w:vAlign w:val="center"/>
            <w:shd w:fill="F1F5F6"/>
          </w:tcPr>
          <w:p>
            <w:pPr>
              <w:keepLines/>
              <w:spacing w:after="20" w:line="240" w:lineRule="auto"/>
            </w:pPr>
            <w:r>
              <w:rPr>
                <w:rFonts w:ascii="Calibri" w:hAnsi="Calibri"/>
                <w:sz w:val="15"/>
              </w:rPr>
              <w:t>Predefined decision metric and threshold show useful recall at an acceptable review workload; probabilities are sufficiently calibrated for the proposed use.</w:t>
            </w:r>
          </w:p>
        </w:tc>
        <w:tc>
          <w:tcPr>
            <w:tcW w:type="dxa" w:w="3888"/>
            <w:vAlign w:val="center"/>
            <w:shd w:fill="F1F5F6"/>
          </w:tcPr>
          <w:p>
            <w:pPr>
              <w:keepLines/>
              <w:spacing w:after="20" w:line="240" w:lineRule="auto"/>
            </w:pPr>
            <w:r>
              <w:rPr>
                <w:rFonts w:ascii="Calibri" w:hAnsi="Calibri"/>
                <w:sz w:val="15"/>
              </w:rPr>
              <w:t>Miss cost and review capacity are unknown, calibration is poor, or feature/model complexity has no stable incremental gain.</w:t>
            </w:r>
          </w:p>
        </w:tc>
      </w:tr>
      <w:tr>
        <w:tc>
          <w:tcPr>
            <w:tcW w:type="dxa" w:w="1728"/>
            <w:vAlign w:val="center"/>
          </w:tcPr>
          <w:p>
            <w:pPr>
              <w:keepLines/>
              <w:spacing w:after="20" w:line="240" w:lineRule="auto"/>
            </w:pPr>
            <w:r>
              <w:rPr>
                <w:rFonts w:ascii="Calibri" w:hAnsi="Calibri"/>
                <w:sz w:val="15"/>
              </w:rPr>
              <w:t>Operational pilot</w:t>
            </w:r>
          </w:p>
        </w:tc>
        <w:tc>
          <w:tcPr>
            <w:tcW w:type="dxa" w:w="4320"/>
            <w:vAlign w:val="center"/>
          </w:tcPr>
          <w:p>
            <w:pPr>
              <w:keepLines/>
              <w:spacing w:after="20" w:line="240" w:lineRule="auto"/>
            </w:pPr>
            <w:r>
              <w:rPr>
                <w:rFonts w:ascii="Calibri" w:hAnsi="Calibri"/>
                <w:sz w:val="15"/>
              </w:rPr>
              <w:t>Quality/process owners approve a shadow-mode trial, workflow, monitoring, escalation, and rollback plan; normal controls continue unchanged.</w:t>
            </w:r>
          </w:p>
        </w:tc>
        <w:tc>
          <w:tcPr>
            <w:tcW w:type="dxa" w:w="3888"/>
            <w:vAlign w:val="center"/>
          </w:tcPr>
          <w:p>
            <w:pPr>
              <w:keepLines/>
              <w:spacing w:after="20" w:line="240" w:lineRule="auto"/>
            </w:pPr>
            <w:r>
              <w:rPr>
                <w:rFonts w:ascii="Calibri" w:hAnsi="Calibri"/>
                <w:sz w:val="15"/>
              </w:rPr>
              <w:t>Model output would override validated controls, requires unapproved limits, or lacks an accountable response owner.</w:t>
            </w:r>
          </w:p>
        </w:tc>
      </w:tr>
    </w:tbl>
    <w:p>
      <w:pPr>
        <w:spacing w:after="20"/>
      </w:pPr>
    </w:p>
    <w:p>
      <w:r>
        <w:t>Numeric acceptance thresholds must be agreed before modeling with quality, process, and operations owners. This report intentionally sets no universal allowable error, risk threshold, recall target, or food-safety limit because those depend on the product, method, specification, and consequences of error.</w:t>
      </w:r>
    </w:p>
    <w:p>
      <w:pPr>
        <w:pStyle w:val="Heading1"/>
      </w:pPr>
      <w:r>
        <w:t>8. Implementation roadmap and resources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152"/>
            <w:shd w:fill="2A4D60"/>
            <w:vAlign w:val="center"/>
          </w:tcPr>
          <w:p>
            <w:pPr>
              <w:keepLines/>
              <w:spacing w:after="20"/>
            </w:pPr>
            <w:r>
              <w:rPr>
                <w:rFonts w:ascii="Calibri" w:hAnsi="Calibri"/>
                <w:b/>
                <w:color w:val="FFFFFF"/>
                <w:sz w:val="14"/>
              </w:rPr>
              <w:t>Week</w:t>
            </w:r>
          </w:p>
        </w:tc>
        <w:tc>
          <w:tcPr>
            <w:tcW w:type="dxa" w:w="4536"/>
            <w:shd w:fill="2A4D60"/>
            <w:vAlign w:val="center"/>
          </w:tcPr>
          <w:p>
            <w:pPr>
              <w:keepLines/>
              <w:spacing w:after="20"/>
            </w:pPr>
            <w:r>
              <w:rPr>
                <w:rFonts w:ascii="Calibri" w:hAnsi="Calibri"/>
                <w:b/>
                <w:color w:val="FFFFFF"/>
                <w:sz w:val="14"/>
              </w:rPr>
              <w:t>Work</w:t>
            </w:r>
          </w:p>
        </w:tc>
        <w:tc>
          <w:tcPr>
            <w:tcW w:type="dxa" w:w="4248"/>
            <w:shd w:fill="2A4D60"/>
            <w:vAlign w:val="center"/>
          </w:tcPr>
          <w:p>
            <w:pPr>
              <w:keepLines/>
              <w:spacing w:after="20"/>
            </w:pPr>
            <w:r>
              <w:rPr>
                <w:rFonts w:ascii="Calibri" w:hAnsi="Calibri"/>
                <w:b/>
                <w:color w:val="FFFFFF"/>
                <w:sz w:val="14"/>
              </w:rPr>
              <w:t>People and outputs</w:t>
            </w:r>
          </w:p>
        </w:tc>
      </w:tr>
      <w:tr>
        <w:tc>
          <w:tcPr>
            <w:tcW w:type="dxa" w:w="1152"/>
            <w:vAlign w:val="center"/>
            <w:shd w:fill="F1F5F6"/>
          </w:tcPr>
          <w:p>
            <w:pPr>
              <w:keepLines/>
              <w:spacing w:after="20" w:line="240" w:lineRule="auto"/>
            </w:pPr>
            <w:r>
              <w:rPr>
                <w:rFonts w:ascii="Calibri" w:hAnsi="Calibri"/>
                <w:sz w:val="14"/>
              </w:rPr>
              <w:t>1. Define</w:t>
            </w:r>
          </w:p>
        </w:tc>
        <w:tc>
          <w:tcPr>
            <w:tcW w:type="dxa" w:w="4536"/>
            <w:vAlign w:val="center"/>
            <w:shd w:fill="F1F5F6"/>
          </w:tcPr>
          <w:p>
            <w:pPr>
              <w:keepLines/>
              <w:spacing w:after="20" w:line="240" w:lineRule="auto"/>
            </w:pPr>
            <w:r>
              <w:rPr>
                <w:rFonts w:ascii="Calibri" w:hAnsi="Calibri"/>
                <w:sz w:val="14"/>
              </w:rPr>
              <w:t>Confirm product/process scope, endpoint, checkpoint, intended action, error costs, and hypotheses.</w:t>
            </w:r>
          </w:p>
        </w:tc>
        <w:tc>
          <w:tcPr>
            <w:tcW w:type="dxa" w:w="4248"/>
            <w:vAlign w:val="center"/>
            <w:shd w:fill="F1F5F6"/>
          </w:tcPr>
          <w:p>
            <w:pPr>
              <w:keepLines/>
              <w:spacing w:after="20" w:line="240" w:lineRule="auto"/>
            </w:pPr>
            <w:r>
              <w:rPr>
                <w:rFonts w:ascii="Calibri" w:hAnsi="Calibri"/>
                <w:sz w:val="14"/>
              </w:rPr>
              <w:t>Quality lead and process engineer; signed target and feature-availability definitions.</w:t>
            </w:r>
          </w:p>
        </w:tc>
      </w:tr>
      <w:tr>
        <w:tc>
          <w:tcPr>
            <w:tcW w:type="dxa" w:w="1152"/>
            <w:vAlign w:val="center"/>
          </w:tcPr>
          <w:p>
            <w:pPr>
              <w:keepLines/>
              <w:spacing w:after="20" w:line="240" w:lineRule="auto"/>
            </w:pPr>
            <w:r>
              <w:rPr>
                <w:rFonts w:ascii="Calibri" w:hAnsi="Calibri"/>
                <w:sz w:val="14"/>
              </w:rPr>
              <w:t>2. Assemble</w:t>
            </w:r>
          </w:p>
        </w:tc>
        <w:tc>
          <w:tcPr>
            <w:tcW w:type="dxa" w:w="4536"/>
            <w:vAlign w:val="center"/>
          </w:tcPr>
          <w:p>
            <w:pPr>
              <w:keepLines/>
              <w:spacing w:after="20" w:line="240" w:lineRule="auto"/>
            </w:pPr>
            <w:r>
              <w:rPr>
                <w:rFonts w:ascii="Calibri" w:hAnsi="Calibri"/>
                <w:sz w:val="14"/>
              </w:rPr>
              <w:t>Extract batch-linked sensors, recipe/material history, calibration/fault events, lab results, and specification versions. Reconcile identities, timestamps, units, duplicates, and retests.</w:t>
            </w:r>
          </w:p>
        </w:tc>
        <w:tc>
          <w:tcPr>
            <w:tcW w:type="dxa" w:w="4248"/>
            <w:vAlign w:val="center"/>
          </w:tcPr>
          <w:p>
            <w:pPr>
              <w:keepLines/>
              <w:spacing w:after="20" w:line="240" w:lineRule="auto"/>
            </w:pPr>
            <w:r>
              <w:rPr>
                <w:rFonts w:ascii="Calibri" w:hAnsi="Calibri"/>
                <w:sz w:val="14"/>
              </w:rPr>
              <w:t>Data engineer and lab/data owner; source map, data dictionary, and reconciliation report.</w:t>
            </w:r>
          </w:p>
        </w:tc>
      </w:tr>
      <w:tr>
        <w:tc>
          <w:tcPr>
            <w:tcW w:type="dxa" w:w="1152"/>
            <w:vAlign w:val="center"/>
            <w:shd w:fill="F1F5F6"/>
          </w:tcPr>
          <w:p>
            <w:pPr>
              <w:keepLines/>
              <w:spacing w:after="20" w:line="240" w:lineRule="auto"/>
            </w:pPr>
            <w:r>
              <w:rPr>
                <w:rFonts w:ascii="Calibri" w:hAnsi="Calibri"/>
                <w:sz w:val="14"/>
              </w:rPr>
              <w:t>3. Profile</w:t>
            </w:r>
          </w:p>
        </w:tc>
        <w:tc>
          <w:tcPr>
            <w:tcW w:type="dxa" w:w="4536"/>
            <w:vAlign w:val="center"/>
            <w:shd w:fill="F1F5F6"/>
          </w:tcPr>
          <w:p>
            <w:pPr>
              <w:keepLines/>
              <w:spacing w:after="20" w:line="240" w:lineRule="auto"/>
            </w:pPr>
            <w:r>
              <w:rPr>
                <w:rFonts w:ascii="Calibri" w:hAnsi="Calibri"/>
                <w:sz w:val="14"/>
              </w:rPr>
              <w:t>Assess prevalence, missingness, coverage, repeats, drift, measurement stability, and subgroup counts; freeze a primary analysis protocol.</w:t>
            </w:r>
          </w:p>
        </w:tc>
        <w:tc>
          <w:tcPr>
            <w:tcW w:type="dxa" w:w="4248"/>
            <w:vAlign w:val="center"/>
            <w:shd w:fill="F1F5F6"/>
          </w:tcPr>
          <w:p>
            <w:pPr>
              <w:keepLines/>
              <w:spacing w:after="20" w:line="240" w:lineRule="auto"/>
            </w:pPr>
            <w:r>
              <w:rPr>
                <w:rFonts w:ascii="Calibri" w:hAnsi="Calibri"/>
                <w:sz w:val="14"/>
              </w:rPr>
              <w:t>Data scientist plus process/quality reviewers; readiness decision and documented analysis plan.</w:t>
            </w:r>
          </w:p>
        </w:tc>
      </w:tr>
      <w:tr>
        <w:tc>
          <w:tcPr>
            <w:tcW w:type="dxa" w:w="1152"/>
            <w:vAlign w:val="center"/>
          </w:tcPr>
          <w:p>
            <w:pPr>
              <w:keepLines/>
              <w:spacing w:after="20" w:line="240" w:lineRule="auto"/>
            </w:pPr>
            <w:r>
              <w:rPr>
                <w:rFonts w:ascii="Calibri" w:hAnsi="Calibri"/>
                <w:sz w:val="14"/>
              </w:rPr>
              <w:t>4. Baseline</w:t>
            </w:r>
          </w:p>
        </w:tc>
        <w:tc>
          <w:tcPr>
            <w:tcW w:type="dxa" w:w="4536"/>
            <w:vAlign w:val="center"/>
          </w:tcPr>
          <w:p>
            <w:pPr>
              <w:keepLines/>
              <w:spacing w:after="20" w:line="240" w:lineRule="auto"/>
            </w:pPr>
            <w:r>
              <w:rPr>
                <w:rFonts w:ascii="Calibri" w:hAnsi="Calibri"/>
                <w:sz w:val="14"/>
              </w:rPr>
              <w:t>Build leakage-safe batch features and prevalence/median, logistic, and linear baselines with temporal/grouped validation.</w:t>
            </w:r>
          </w:p>
        </w:tc>
        <w:tc>
          <w:tcPr>
            <w:tcW w:type="dxa" w:w="4248"/>
            <w:vAlign w:val="center"/>
          </w:tcPr>
          <w:p>
            <w:pPr>
              <w:keepLines/>
              <w:spacing w:after="20" w:line="240" w:lineRule="auto"/>
            </w:pPr>
            <w:r>
              <w:rPr>
                <w:rFonts w:ascii="Calibri" w:hAnsi="Calibri"/>
                <w:sz w:val="14"/>
              </w:rPr>
              <w:t>Data scientist; reproducible pipeline, fold metrics, and leakage audit.</w:t>
            </w:r>
          </w:p>
        </w:tc>
      </w:tr>
      <w:tr>
        <w:tc>
          <w:tcPr>
            <w:tcW w:type="dxa" w:w="1152"/>
            <w:vAlign w:val="center"/>
            <w:shd w:fill="F1F5F6"/>
          </w:tcPr>
          <w:p>
            <w:pPr>
              <w:keepLines/>
              <w:spacing w:after="20" w:line="240" w:lineRule="auto"/>
            </w:pPr>
            <w:r>
              <w:rPr>
                <w:rFonts w:ascii="Calibri" w:hAnsi="Calibri"/>
                <w:sz w:val="14"/>
              </w:rPr>
              <w:t>5. Compare</w:t>
            </w:r>
          </w:p>
        </w:tc>
        <w:tc>
          <w:tcPr>
            <w:tcW w:type="dxa" w:w="4536"/>
            <w:vAlign w:val="center"/>
            <w:shd w:fill="F1F5F6"/>
          </w:tcPr>
          <w:p>
            <w:pPr>
              <w:keepLines/>
              <w:spacing w:after="20" w:line="240" w:lineRule="auto"/>
            </w:pPr>
            <w:r>
              <w:rPr>
                <w:rFonts w:ascii="Calibri" w:hAnsi="Calibri"/>
                <w:sz w:val="14"/>
              </w:rPr>
              <w:t>Test the pre-specified hypotheses, shallow tree, and one suitable ensemble; analyze calibration, threshold workload, uncertainty, and subgroup stability.</w:t>
            </w:r>
          </w:p>
        </w:tc>
        <w:tc>
          <w:tcPr>
            <w:tcW w:type="dxa" w:w="4248"/>
            <w:vAlign w:val="center"/>
            <w:shd w:fill="F1F5F6"/>
          </w:tcPr>
          <w:p>
            <w:pPr>
              <w:keepLines/>
              <w:spacing w:after="20" w:line="240" w:lineRule="auto"/>
            </w:pPr>
            <w:r>
              <w:rPr>
                <w:rFonts w:ascii="Calibri" w:hAnsi="Calibri"/>
                <w:sz w:val="14"/>
              </w:rPr>
              <w:t>Data scientist and statistician as needed; model comparison and hypothesis results.</w:t>
            </w:r>
          </w:p>
        </w:tc>
      </w:tr>
      <w:tr>
        <w:tc>
          <w:tcPr>
            <w:tcW w:type="dxa" w:w="1152"/>
            <w:vAlign w:val="center"/>
          </w:tcPr>
          <w:p>
            <w:pPr>
              <w:keepLines/>
              <w:spacing w:after="20" w:line="240" w:lineRule="auto"/>
            </w:pPr>
            <w:r>
              <w:rPr>
                <w:rFonts w:ascii="Calibri" w:hAnsi="Calibri"/>
                <w:sz w:val="14"/>
              </w:rPr>
              <w:t>6. Review</w:t>
            </w:r>
          </w:p>
        </w:tc>
        <w:tc>
          <w:tcPr>
            <w:tcW w:type="dxa" w:w="4536"/>
            <w:vAlign w:val="center"/>
          </w:tcPr>
          <w:p>
            <w:pPr>
              <w:keepLines/>
              <w:spacing w:after="20" w:line="240" w:lineRule="auto"/>
            </w:pPr>
            <w:r>
              <w:rPr>
                <w:rFonts w:ascii="Calibri" w:hAnsi="Calibri"/>
                <w:sz w:val="14"/>
              </w:rPr>
              <w:t>Conduct independent review; decide whether to stop, collect more data, or start a shadow-mode pilot with monitoring and rollback.</w:t>
            </w:r>
          </w:p>
        </w:tc>
        <w:tc>
          <w:tcPr>
            <w:tcW w:type="dxa" w:w="4248"/>
            <w:vAlign w:val="center"/>
          </w:tcPr>
          <w:p>
            <w:pPr>
              <w:keepLines/>
              <w:spacing w:after="20" w:line="240" w:lineRule="auto"/>
            </w:pPr>
            <w:r>
              <w:rPr>
                <w:rFonts w:ascii="Calibri" w:hAnsi="Calibri"/>
                <w:sz w:val="14"/>
              </w:rPr>
              <w:t>Quality/process owners, operations, and engineering; signed gate decision and handoff.</w:t>
            </w:r>
          </w:p>
        </w:tc>
      </w:tr>
    </w:tbl>
    <w:p>
      <w:pPr>
        <w:spacing w:after="20"/>
      </w:pPr>
    </w:p>
    <w:p>
      <w:r>
        <w:t>A small pilot can be led by one data scientist or analyst, with part-time support from a process engineer, quality/laboratory owner, and data engineer. Add a statistician if repeated-measure inference, rare events, or causal claims are in scope. Secure governed access to batch-level quality data; avoid exporting operator-identifying or restricted production records unnecessarily. The six-week timeline assumes timely access and review and should be revised if data reconciliation or laboratory linkage is substantial.</w:t>
      </w:r>
    </w:p>
    <w:p>
      <w:pPr>
        <w:pStyle w:val="Heading1"/>
      </w:pPr>
      <w:r>
        <w:t>9. Expected deliverables</w:t>
      </w:r>
    </w:p>
    <w:p>
      <w:pPr>
        <w:pStyle w:val="ListBullet"/>
      </w:pPr>
      <w:r>
        <w:t>A signed problem definition, target specification, prediction-time contract, and pre-specified hypothesis/metric plan.</w:t>
      </w:r>
    </w:p>
    <w:p>
      <w:pPr>
        <w:pStyle w:val="ListBullet"/>
      </w:pPr>
      <w:r>
        <w:t>A documented, leakage-audited batch dataset and versioned feature register linked to source measurements and specification versions.</w:t>
      </w:r>
    </w:p>
    <w:p>
      <w:pPr>
        <w:pStyle w:val="ListBullet"/>
      </w:pPr>
      <w:r>
        <w:t>Reproducible baseline and model-comparison results using future-period and batch/lot-aware validation, with uncertainty and subgroup reporting.</w:t>
      </w:r>
    </w:p>
    <w:p>
      <w:pPr>
        <w:pStyle w:val="ListBullet"/>
      </w:pPr>
      <w:r>
        <w:t>A hypothesis ledger showing support, uncertainty, or insufficient evidence without causal overstatement.</w:t>
      </w:r>
    </w:p>
    <w:p>
      <w:pPr>
        <w:pStyle w:val="ListBullet"/>
      </w:pPr>
      <w:r>
        <w:t>A quality-owner decision on whether to collect more data, stop, or enter a monitored shadow-mode pilot; no automatic production-control change.</w:t>
      </w:r>
    </w:p>
    <w:p>
      <w:pPr>
        <w:pStyle w:val="Heading1"/>
      </w:pPr>
      <w:r>
        <w:t>Conclusion</w:t>
      </w:r>
    </w:p>
    <w:p>
      <w:r>
        <w:t>A practical food-processing model should predict a clearly defined quality endpoint at a useful time, using only information genuinely available then. The strategy tests mechanistic but non-causal hypotheses, begins with interpretable baselines, compares limited nonlinear models, and judges performance with imbalance-aware, calibrated, and unit-relevant metrics under temporal and group-aware validation. Data linkage, specification history, measurement quality, and operational costs are prerequisites, not implementation details. Until process data and stakeholder-approved criteria are available, no hypothesis is confirmed and no model performance or food-safety claim can be made.</w:t>
      </w:r>
    </w:p>
    <w:p>
      <w:pPr>
        <w:pStyle w:val="Heading1"/>
      </w:pPr>
      <w:r>
        <w:t>References and context</w:t>
      </w:r>
    </w:p>
    <w:p>
      <w:r>
        <w:t>Week 1 report. Food Inspection Results: Exploratory analysis, prediction baseline, and next-step plan. Supplied inspection archive analysis, 19 October 2026.</w:t>
      </w:r>
    </w:p>
    <w:p>
      <w:r>
        <w:t>Week 2 report. Cleaning and Preprocessing Plan: Food processing quality data and production-line sensor readings. Data quality blueprint, 19 October 2026.</w:t>
      </w:r>
    </w:p>
    <w:p>
      <w:r>
        <w:t>Week 3 report. Turning Process Data into Useful Predictors: Feature engineering and exploratory modeling strategy, 21 October 2026.</w:t>
      </w:r>
    </w:p>
    <w:p>
      <w:r>
        <w:t>NIST/SEMATECH. e-Handbook of Statistical Methods. https://www.itl.nist.gov/div898/handbook/</w:t>
      </w:r>
    </w:p>
    <w:p>
      <w:r>
        <w:t>Scikit-learn documentation. Model evaluation, cross-validation, and probability calibration. https://scikit-learn.org/stable/user_guide.html</w:t>
      </w:r>
    </w:p>
    <w:p>
      <w:r>
        <w:t>Codex Alimentarius Commission. General Principles of Food Hygiene, CXC 1-1969. Consult the current revision and applicable local requirements; this modeling strategy does not replace a validated food-safety control plan.</w:t>
      </w:r>
    </w:p>
    <w:sectPr w:rsidR="00FC693F" w:rsidRPr="0006063C" w:rsidSect="00034616">
      <w:headerReference w:type="default" r:id="rId9"/>
      <w:footerReference w:type="default" r:id="rId10"/>
      <w:pgSz w:w="12240" w:h="15840"/>
      <w:pgMar w:top="965" w:right="1037" w:bottom="965"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Predictive modeling strategy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WEEK 4  |  FOOD PROCESSING PREDICTIVE MODELING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3038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Calibri" w:hAnsi="Calibri"/>
      <w:b/>
      <w:bCs/>
      <w:color w:val="2A4D6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2A4D60"/>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2A4D6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A4D6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53636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 Predictive Modeling Strategy</dc:title>
  <dc:subject>Hypothesis-led modeling plan for food processing quality</dc:subject>
  <dc:creator>Nikhil Gumasta</dc:creator>
  <cp:keywords>food processing, sensor data, data cleaning, preprocessing, validation</cp:keywords>
  <dc:description>generated by python-docx</dc:description>
  <cp:lastModifiedBy/>
  <cp:revision>1</cp:revision>
  <dcterms:created xsi:type="dcterms:W3CDTF">2013-12-23T23:15:00Z</dcterms:created>
  <dcterms:modified xsi:type="dcterms:W3CDTF">2013-12-23T23:15:00Z</dcterms:modified>
  <cp:category/>
</cp:coreProperties>
</file>