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b/>
          <w:color w:val="5B7C99"/>
          <w:sz w:val="26"/>
        </w:rPr>
        <w:t>WEEK 5</w:t>
      </w:r>
    </w:p>
    <w:p>
      <w:pPr>
        <w:pStyle w:val="Title"/>
      </w:pPr>
      <w:r>
        <w:t>Model Evaluation and</w:t>
        <w:br/>
        <w:t>Risk Assessment Framework</w:t>
      </w:r>
    </w:p>
    <w:p>
      <w:r>
        <w:rPr>
          <w:color w:val="404040"/>
          <w:sz w:val="30"/>
        </w:rPr>
        <w:t>Food processing quality prediction pilot</w:t>
      </w:r>
    </w:p>
    <w:p>
      <w:r>
        <w:t>A practical plan for evaluating predictive performance, validating future use, and controlling operational risk.</w:t>
      </w:r>
    </w:p>
    <w:p>
      <w:r>
        <w:t>Prepared: 22 October 2026</w:t>
      </w:r>
    </w:p>
    <w:p>
      <w:r>
        <w:t>Purpose: set evaluation and risk controls before production data or a candidate model are available.</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7365D"/>
          </w:tcPr>
          <w:p>
            <w:r>
              <w:rPr>
                <w:b/>
                <w:color w:val="FFFFFF"/>
                <w:sz w:val="18"/>
              </w:rPr>
              <w:t>Status</w:t>
            </w:r>
          </w:p>
        </w:tc>
        <w:tc>
          <w:tcPr>
            <w:tcW w:type="dxa" w:w="5112"/>
            <w:shd w:fill="17365D"/>
          </w:tcPr>
          <w:p>
            <w:r>
              <w:rPr>
                <w:b/>
                <w:color w:val="FFFFFF"/>
                <w:sz w:val="18"/>
              </w:rPr>
              <w:t>Scope</w:t>
            </w:r>
          </w:p>
        </w:tc>
      </w:tr>
      <w:tr>
        <w:trPr>
          <w:cantSplit/>
        </w:trPr>
        <w:tc>
          <w:tcPr>
            <w:tcW w:type="dxa" w:w="5112"/>
            <w:vAlign w:val="center"/>
          </w:tcPr>
          <w:p>
            <w:pPr>
              <w:spacing w:after="20"/>
            </w:pPr>
            <w:r>
              <w:rPr>
                <w:sz w:val="18"/>
              </w:rPr>
              <w:t>Prospective framework. No manufacturing dataset or fitted model was supplied.</w:t>
            </w:r>
          </w:p>
        </w:tc>
        <w:tc>
          <w:tcPr>
            <w:tcW w:type="dxa" w:w="5112"/>
            <w:vAlign w:val="center"/>
          </w:tcPr>
          <w:p>
            <w:pPr>
              <w:spacing w:after="20"/>
            </w:pPr>
            <w:r>
              <w:rPr>
                <w:sz w:val="18"/>
              </w:rPr>
              <w:t>Batch-level prediction of a predeclared final product-quality nonconformance at an in-process checkpoint.</w:t>
            </w:r>
          </w:p>
        </w:tc>
      </w:tr>
    </w:tbl>
    <w:p/>
    <w:p>
      <w:pPr>
        <w:pStyle w:val="Heading2"/>
      </w:pPr>
      <w:r>
        <w:t>Decision boundary</w:t>
      </w:r>
    </w:p>
    <w:p>
      <w:r>
        <w:t>The framework supports a controlled quality-review pilot. It does not authorize automatic process changes, product release, or food-safety decisions. Validated process controls and qualified personnel remain authoritative.</w:t>
      </w:r>
    </w:p>
    <w:p>
      <w:r>
        <w:br w:type="page"/>
      </w:r>
    </w:p>
    <w:p>
      <w:pPr>
        <w:pStyle w:val="Heading1"/>
      </w:pPr>
      <w:r>
        <w:t>Executive summary</w:t>
      </w:r>
    </w:p>
    <w:p>
      <w:r>
        <w:t>A model may appear accurate retrospectively and still fail on a new production period, recipe, line, sensor configuration, or specification version. In food processing, a missed nonconforming batch can cause rework, waste, customer impact, or potentially serious consequences when a separately validated safety endpoint is involved. False alerts also consume sampling and review capacity. Evaluation must connect statistics to the real decision, production data process, and approved controls.</w:t>
      </w:r>
    </w:p>
    <w:p>
      <w:r>
        <w:t>The proposed use is to estimate, at a defined batch checkpoint, the probability that a named final quality test will breach its approved specification. The primary endpoint is batch-level quality nonconformance, not generic food-safety risk. The framework prioritizes recall, precision and alert workload, precision-recall area, probability calibration, and error in laboratory units. Accuracy is reported but is never the only acceptance measure.</w:t>
      </w:r>
    </w:p>
    <w:p>
      <w:r>
        <w:t>Validation combines stratified cross-validation for development, batch/lot-aware grouping, a locked chronological test period, bootstrap uncertainty at the correct sampling unit, and an optional external line or product-family test. Preprocessing and tuning stay within training folds, and every input must be available at the prediction checkpoint.</w:t>
      </w:r>
    </w:p>
    <w:p>
      <w:r>
        <w:t>No factory batch, sensor, or laboratory records were supplied. Numerical performance, acceptance thresholds, residual risk, and deployment readiness are not established here. The earlier Week 1 inspection-outcome dataset is a different task and cannot validate factory quality predictions.</w:t>
      </w:r>
    </w:p>
    <w:p>
      <w:pPr>
        <w:pStyle w:val="Heading1"/>
      </w:pPr>
      <w:r>
        <w:t>1. Why robust evaluation is essential</w:t>
      </w:r>
    </w:p>
    <w:p>
      <w:r>
        <w:t>Production records are clustered by batch, recipe, lot, equipment, shift, and time. Laboratory targets arrive after processing, inputs may be recorded late, sensors fail, and specifications change. A random row split can put related observations in both training and test sets. A feature created after the checkpoint can leak the answer. Both errors produce optimistic scores that do not reproduce in the plant.</w:t>
      </w:r>
    </w:p>
    <w:p>
      <w:pPr>
        <w:pStyle w:val="ListBullet"/>
      </w:pPr>
      <w:r>
        <w:t>False negatives and false positives have different costs; decide how each maps to review, sampling, hold, rework, or waste.</w:t>
      </w:r>
    </w:p>
    <w:p>
      <w:pPr>
        <w:pStyle w:val="ListBullet"/>
      </w:pPr>
      <w:r>
        <w:t>A score is useful only with a defined action, response owner, decision time, and available review capacity.</w:t>
      </w:r>
    </w:p>
    <w:p>
      <w:pPr>
        <w:pStyle w:val="ListBullet"/>
      </w:pPr>
      <w:r>
        <w:t>Recipe, specification, laboratory-method, and equipment changes can alter labels and input distributions.</w:t>
      </w:r>
    </w:p>
    <w:p>
      <w:pPr>
        <w:pStyle w:val="ListBullet"/>
      </w:pPr>
      <w:r>
        <w:t>Predictive association does not show that changing a process variable will improve quality.</w:t>
      </w:r>
    </w:p>
    <w:p>
      <w:pPr>
        <w:pStyle w:val="ListBullet"/>
      </w:pPr>
      <w:r>
        <w:t>A quality label is not a pathogen or food-safety label. Safety use needs a separately defined endpoint, qualified data, and expert approval.</w:t>
      </w:r>
    </w:p>
    <w:p>
      <w:pPr>
        <w:pStyle w:val="Heading1"/>
      </w:pPr>
      <w:r>
        <w:t>2. Intended use and data contract</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7365D"/>
          </w:tcPr>
          <w:p>
            <w:r>
              <w:rPr>
                <w:b/>
                <w:color w:val="FFFFFF"/>
                <w:sz w:val="15"/>
              </w:rPr>
              <w:t>Element</w:t>
            </w:r>
          </w:p>
        </w:tc>
        <w:tc>
          <w:tcPr>
            <w:tcW w:type="dxa" w:w="3408"/>
            <w:shd w:fill="17365D"/>
          </w:tcPr>
          <w:p>
            <w:r>
              <w:rPr>
                <w:b/>
                <w:color w:val="FFFFFF"/>
                <w:sz w:val="15"/>
              </w:rPr>
              <w:t>Proposed definition</w:t>
            </w:r>
          </w:p>
        </w:tc>
        <w:tc>
          <w:tcPr>
            <w:tcW w:type="dxa" w:w="3408"/>
            <w:shd w:fill="17365D"/>
          </w:tcPr>
          <w:p>
            <w:r>
              <w:rPr>
                <w:b/>
                <w:color w:val="FFFFFF"/>
                <w:sz w:val="15"/>
              </w:rPr>
              <w:t>Must be confirmed</w:t>
            </w:r>
          </w:p>
        </w:tc>
      </w:tr>
      <w:tr>
        <w:trPr>
          <w:cantSplit/>
        </w:trPr>
        <w:tc>
          <w:tcPr>
            <w:tcW w:type="dxa" w:w="3408"/>
            <w:vAlign w:val="center"/>
          </w:tcPr>
          <w:p>
            <w:pPr>
              <w:spacing w:after="20"/>
            </w:pPr>
            <w:r>
              <w:rPr>
                <w:sz w:val="15"/>
              </w:rPr>
              <w:t>Population</w:t>
            </w:r>
          </w:p>
        </w:tc>
        <w:tc>
          <w:tcPr>
            <w:tcW w:type="dxa" w:w="3408"/>
            <w:vAlign w:val="center"/>
          </w:tcPr>
          <w:p>
            <w:pPr>
              <w:spacing w:after="20"/>
            </w:pPr>
            <w:r>
              <w:rPr>
                <w:sz w:val="15"/>
              </w:rPr>
              <w:t>One product family, process line, representative period.</w:t>
            </w:r>
          </w:p>
        </w:tc>
        <w:tc>
          <w:tcPr>
            <w:tcW w:type="dxa" w:w="3408"/>
            <w:vAlign w:val="center"/>
          </w:tcPr>
          <w:p>
            <w:pPr>
              <w:spacing w:after="20"/>
            </w:pPr>
            <w:r>
              <w:rPr>
                <w:sz w:val="15"/>
              </w:rPr>
              <w:t>Scope, inclusion rules, line coverage, product and recipe versions.</w:t>
            </w:r>
          </w:p>
        </w:tc>
      </w:tr>
      <w:tr>
        <w:trPr>
          <w:cantSplit/>
        </w:trPr>
        <w:tc>
          <w:tcPr>
            <w:tcW w:type="dxa" w:w="3408"/>
            <w:vAlign w:val="center"/>
          </w:tcPr>
          <w:p>
            <w:pPr>
              <w:spacing w:after="20"/>
            </w:pPr>
            <w:r>
              <w:rPr>
                <w:sz w:val="15"/>
              </w:rPr>
              <w:t>Prediction unit</w:t>
            </w:r>
          </w:p>
        </w:tc>
        <w:tc>
          <w:tcPr>
            <w:tcW w:type="dxa" w:w="3408"/>
            <w:vAlign w:val="center"/>
          </w:tcPr>
          <w:p>
            <w:pPr>
              <w:spacing w:after="20"/>
            </w:pPr>
            <w:r>
              <w:rPr>
                <w:sz w:val="15"/>
              </w:rPr>
              <w:t>One batch at one predefined checkpoint.</w:t>
            </w:r>
          </w:p>
        </w:tc>
        <w:tc>
          <w:tcPr>
            <w:tcW w:type="dxa" w:w="3408"/>
            <w:vAlign w:val="center"/>
          </w:tcPr>
          <w:p>
            <w:pPr>
              <w:spacing w:after="20"/>
            </w:pPr>
            <w:r>
              <w:rPr>
                <w:sz w:val="15"/>
              </w:rPr>
              <w:t>Checkpoint time, sensor coverage, repeated-checkpoint handling.</w:t>
            </w:r>
          </w:p>
        </w:tc>
      </w:tr>
      <w:tr>
        <w:trPr>
          <w:cantSplit/>
        </w:trPr>
        <w:tc>
          <w:tcPr>
            <w:tcW w:type="dxa" w:w="3408"/>
            <w:vAlign w:val="center"/>
          </w:tcPr>
          <w:p>
            <w:pPr>
              <w:spacing w:after="20"/>
            </w:pPr>
            <w:r>
              <w:rPr>
                <w:sz w:val="15"/>
              </w:rPr>
              <w:t>Primary target</w:t>
            </w:r>
          </w:p>
        </w:tc>
        <w:tc>
          <w:tcPr>
            <w:tcW w:type="dxa" w:w="3408"/>
            <w:vAlign w:val="center"/>
          </w:tcPr>
          <w:p>
            <w:pPr>
              <w:spacing w:after="20"/>
            </w:pPr>
            <w:r>
              <w:rPr>
                <w:sz w:val="15"/>
              </w:rPr>
              <w:t>Binary nonconformance for a named final laboratory test or quality rule.</w:t>
            </w:r>
          </w:p>
        </w:tc>
        <w:tc>
          <w:tcPr>
            <w:tcW w:type="dxa" w:w="3408"/>
            <w:vAlign w:val="center"/>
          </w:tcPr>
          <w:p>
            <w:pPr>
              <w:spacing w:after="20"/>
            </w:pPr>
            <w:r>
              <w:rPr>
                <w:sz w:val="15"/>
              </w:rPr>
              <w:t>Method, units, limit/version, retests, rework, censored outcomes, owner.</w:t>
            </w:r>
          </w:p>
        </w:tc>
      </w:tr>
      <w:tr>
        <w:trPr>
          <w:cantSplit/>
        </w:trPr>
        <w:tc>
          <w:tcPr>
            <w:tcW w:type="dxa" w:w="3408"/>
            <w:vAlign w:val="center"/>
          </w:tcPr>
          <w:p>
            <w:pPr>
              <w:spacing w:after="20"/>
            </w:pPr>
            <w:r>
              <w:rPr>
                <w:sz w:val="15"/>
              </w:rPr>
              <w:t>Secondary target</w:t>
            </w:r>
          </w:p>
        </w:tc>
        <w:tc>
          <w:tcPr>
            <w:tcW w:type="dxa" w:w="3408"/>
            <w:vAlign w:val="center"/>
          </w:tcPr>
          <w:p>
            <w:pPr>
              <w:spacing w:after="20"/>
            </w:pPr>
            <w:r>
              <w:rPr>
                <w:sz w:val="15"/>
              </w:rPr>
              <w:t>Continuous final quality measurement in its native unit, if comparable.</w:t>
            </w:r>
          </w:p>
        </w:tc>
        <w:tc>
          <w:tcPr>
            <w:tcW w:type="dxa" w:w="3408"/>
            <w:vAlign w:val="center"/>
          </w:tcPr>
          <w:p>
            <w:pPr>
              <w:spacing w:after="20"/>
            </w:pPr>
            <w:r>
              <w:rPr>
                <w:sz w:val="15"/>
              </w:rPr>
              <w:t>Method repeatability, detection limits, retest policy.</w:t>
            </w:r>
          </w:p>
        </w:tc>
      </w:tr>
      <w:tr>
        <w:trPr>
          <w:cantSplit/>
        </w:trPr>
        <w:tc>
          <w:tcPr>
            <w:tcW w:type="dxa" w:w="3408"/>
            <w:vAlign w:val="center"/>
          </w:tcPr>
          <w:p>
            <w:pPr>
              <w:spacing w:after="20"/>
            </w:pPr>
            <w:r>
              <w:rPr>
                <w:sz w:val="15"/>
              </w:rPr>
              <w:t>Inputs</w:t>
            </w:r>
          </w:p>
        </w:tc>
        <w:tc>
          <w:tcPr>
            <w:tcW w:type="dxa" w:w="3408"/>
            <w:vAlign w:val="center"/>
          </w:tcPr>
          <w:p>
            <w:pPr>
              <w:spacing w:after="20"/>
            </w:pPr>
            <w:r>
              <w:rPr>
                <w:sz w:val="15"/>
              </w:rPr>
              <w:t>Only information available by the prediction cutoff.</w:t>
            </w:r>
          </w:p>
        </w:tc>
        <w:tc>
          <w:tcPr>
            <w:tcW w:type="dxa" w:w="3408"/>
            <w:vAlign w:val="center"/>
          </w:tcPr>
          <w:p>
            <w:pPr>
              <w:spacing w:after="20"/>
            </w:pPr>
            <w:r>
              <w:rPr>
                <w:sz w:val="15"/>
              </w:rPr>
              <w:t>Event/source timestamps, units, sensor health, recipe/spec version.</w:t>
            </w:r>
          </w:p>
        </w:tc>
      </w:tr>
      <w:tr>
        <w:trPr>
          <w:cantSplit/>
        </w:trPr>
        <w:tc>
          <w:tcPr>
            <w:tcW w:type="dxa" w:w="3408"/>
            <w:vAlign w:val="center"/>
          </w:tcPr>
          <w:p>
            <w:pPr>
              <w:spacing w:after="20"/>
            </w:pPr>
            <w:r>
              <w:rPr>
                <w:sz w:val="15"/>
              </w:rPr>
              <w:t>Action</w:t>
            </w:r>
          </w:p>
        </w:tc>
        <w:tc>
          <w:tcPr>
            <w:tcW w:type="dxa" w:w="3408"/>
            <w:vAlign w:val="center"/>
          </w:tcPr>
          <w:p>
            <w:pPr>
              <w:spacing w:after="20"/>
            </w:pPr>
            <w:r>
              <w:rPr>
                <w:sz w:val="15"/>
              </w:rPr>
              <w:t>Prioritize timely review, confirmatory sampling, or engineer assessment.</w:t>
            </w:r>
          </w:p>
        </w:tc>
        <w:tc>
          <w:tcPr>
            <w:tcW w:type="dxa" w:w="3408"/>
            <w:vAlign w:val="center"/>
          </w:tcPr>
          <w:p>
            <w:pPr>
              <w:spacing w:after="20"/>
            </w:pPr>
            <w:r>
              <w:rPr>
                <w:sz w:val="15"/>
              </w:rPr>
              <w:t>Recipient, response time, capacity, escalation procedure.</w:t>
            </w:r>
          </w:p>
        </w:tc>
      </w:tr>
    </w:tbl>
    <w:p/>
    <w:p>
      <w:pPr>
        <w:pStyle w:val="Heading2"/>
      </w:pPr>
      <w:r>
        <w:t>Data-readiness checks</w:t>
      </w:r>
    </w:p>
    <w:p>
      <w:pPr>
        <w:pStyle w:val="ListBullet"/>
      </w:pPr>
      <w:r>
        <w:t>Reconcile one target to each eligible batch; account for duplicates, missing labels, conflicting results, retests, and delayed outcomes.</w:t>
      </w:r>
    </w:p>
    <w:p>
      <w:pPr>
        <w:pStyle w:val="ListBullet"/>
      </w:pPr>
      <w:r>
        <w:t>Preserve source and event timestamps and prove feature availability by the checkpoint using an as-of join.</w:t>
      </w:r>
    </w:p>
    <w:p>
      <w:pPr>
        <w:pStyle w:val="ListBullet"/>
      </w:pPr>
      <w:r>
        <w:t>Version units, specification limits, recipes, laboratory method, sensor calibration, and process-control changes.</w:t>
      </w:r>
    </w:p>
    <w:p>
      <w:pPr>
        <w:pStyle w:val="ListBullet"/>
      </w:pPr>
      <w:r>
        <w:t>Profile prevalence, missingness, coverage, repeated batches, lot/campaign dependence, and period coverage.</w:t>
      </w:r>
    </w:p>
    <w:p>
      <w:pPr>
        <w:pStyle w:val="ListBullet"/>
      </w:pPr>
      <w:r>
        <w:t>Exclude fields created during or after the quality test, disposition, or rework unless the intended use explicitly permits them.</w:t>
      </w:r>
    </w:p>
    <w:p>
      <w:pPr>
        <w:pStyle w:val="ListBullet"/>
      </w:pPr>
      <w:r>
        <w:t>Define indeterminate and missing outcomes before comparing models; do not silently drop difficult labels.</w:t>
      </w:r>
    </w:p>
    <w:p>
      <w:pPr>
        <w:pStyle w:val="Heading1"/>
      </w:pPr>
      <w:r>
        <w:t>3. Evaluation design and lifecycle</w:t>
      </w:r>
    </w:p>
    <w:p>
      <w:r>
        <w:t>Before comparison, freeze the target, checkpoint, candidate inputs, exclusions, primary metric, alert-capacity assumptions, subgroup plan, and acceptance rules. Preserve the data snapshot, code, and model version. Compare against a prevalence baseline for classification, a training-period median for continuous prediction, and the documented current workflow when a fair timestamped comparison is available.</w:t>
      </w:r>
    </w:p>
    <w:p>
      <w:pPr>
        <w:pStyle w:val="ListNumber"/>
      </w:pPr>
      <w:r>
        <w:t>Readiness: approve target provenance, prediction-time contract, and leakage audit. Stop if batch links, units, or outcome definitions cannot be reconciled.</w:t>
      </w:r>
    </w:p>
    <w:p>
      <w:pPr>
        <w:pStyle w:val="ListNumber"/>
      </w:pPr>
      <w:r>
        <w:t>Development: compare a simple baseline with regularized logistic/linear models and a small set of interpretable or shallow-tree alternatives.</w:t>
      </w:r>
    </w:p>
    <w:p>
      <w:pPr>
        <w:pStyle w:val="ListNumber"/>
      </w:pPr>
      <w:r>
        <w:t>Validation: use batch/lot-aware folds for development and rolling-origin temporal validation for future production behavior.</w:t>
      </w:r>
    </w:p>
    <w:p>
      <w:pPr>
        <w:pStyle w:val="ListNumber"/>
      </w:pPr>
      <w:r>
        <w:t>Final test: open the latest representative period once, after selection and threshold design. Never tune against it.</w:t>
      </w:r>
    </w:p>
    <w:p>
      <w:pPr>
        <w:pStyle w:val="ListNumber"/>
      </w:pPr>
      <w:r>
        <w:t>Independent review: quality, process, data, and operations owners review errors, subgroups, uncertainty, workload, and failure modes.</w:t>
      </w:r>
    </w:p>
    <w:p>
      <w:pPr>
        <w:pStyle w:val="ListNumber"/>
      </w:pPr>
      <w:r>
        <w:t>Pilot: run in shadow mode with existing controls unchanged; assess eventual outcomes and operational feasibility before limited use.</w:t>
      </w:r>
    </w:p>
    <w:p>
      <w:r>
        <w:t>Imputation, scaling, encoding, feature selection, calibration, and threshold selection must be fitted within training data only. Keep all observations from a batch, lot, or campaign in one partition. Repeatedly checking the final test period turns it into a tuning set.</w:t>
      </w:r>
    </w:p>
    <w:p>
      <w:pPr>
        <w:pStyle w:val="Heading1"/>
      </w:pPr>
      <w:r>
        <w:t>4. Performance metrics and calculation</w:t>
      </w:r>
    </w:p>
    <w:p>
      <w:r>
        <w:t>The positive class is a batch that fails its approved quality specification. TP is a nonconforming batch flagged for review; FN is a nonconforming batch not flagged; FP is a conforming batch flagged; TN is a conforming batch not flagged. Report counts and rates, because identical percentages can mean very different production workloads.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7365D"/>
          </w:tcPr>
          <w:p>
            <w:r>
              <w:rPr>
                <w:b/>
                <w:color w:val="FFFFFF"/>
                <w:sz w:val="14"/>
              </w:rPr>
              <w:t>Metric</w:t>
            </w:r>
          </w:p>
        </w:tc>
        <w:tc>
          <w:tcPr>
            <w:tcW w:type="dxa" w:w="3408"/>
            <w:shd w:fill="17365D"/>
          </w:tcPr>
          <w:p>
            <w:r>
              <w:rPr>
                <w:b/>
                <w:color w:val="FFFFFF"/>
                <w:sz w:val="14"/>
              </w:rPr>
              <w:t>Calculation</w:t>
            </w:r>
          </w:p>
        </w:tc>
        <w:tc>
          <w:tcPr>
            <w:tcW w:type="dxa" w:w="3408"/>
            <w:shd w:fill="17365D"/>
          </w:tcPr>
          <w:p>
            <w:r>
              <w:rPr>
                <w:b/>
                <w:color w:val="FFFFFF"/>
                <w:sz w:val="14"/>
              </w:rPr>
              <w:t>Interpretation and use</w:t>
            </w:r>
          </w:p>
        </w:tc>
      </w:tr>
      <w:tr>
        <w:trPr>
          <w:cantSplit/>
        </w:trPr>
        <w:tc>
          <w:tcPr>
            <w:tcW w:type="dxa" w:w="3408"/>
            <w:vAlign w:val="center"/>
          </w:tcPr>
          <w:p>
            <w:pPr>
              <w:spacing w:after="20"/>
            </w:pPr>
            <w:r>
              <w:rPr>
                <w:sz w:val="14"/>
              </w:rPr>
              <w:t>Accuracy</w:t>
            </w:r>
          </w:p>
        </w:tc>
        <w:tc>
          <w:tcPr>
            <w:tcW w:type="dxa" w:w="3408"/>
            <w:vAlign w:val="center"/>
          </w:tcPr>
          <w:p>
            <w:pPr>
              <w:spacing w:after="20"/>
            </w:pPr>
            <w:r>
              <w:rPr>
                <w:sz w:val="14"/>
              </w:rPr>
              <w:t>(TP + TN) / total</w:t>
            </w:r>
          </w:p>
        </w:tc>
        <w:tc>
          <w:tcPr>
            <w:tcW w:type="dxa" w:w="3408"/>
            <w:vAlign w:val="center"/>
          </w:tcPr>
          <w:p>
            <w:pPr>
              <w:spacing w:after="20"/>
            </w:pPr>
            <w:r>
              <w:rPr>
                <w:sz w:val="14"/>
              </w:rPr>
              <w:t>Overall fraction correct; misleading when failures are rare.</w:t>
            </w:r>
          </w:p>
        </w:tc>
      </w:tr>
      <w:tr>
        <w:trPr>
          <w:cantSplit/>
        </w:trPr>
        <w:tc>
          <w:tcPr>
            <w:tcW w:type="dxa" w:w="3408"/>
            <w:vAlign w:val="center"/>
          </w:tcPr>
          <w:p>
            <w:pPr>
              <w:spacing w:after="20"/>
            </w:pPr>
            <w:r>
              <w:rPr>
                <w:sz w:val="14"/>
              </w:rPr>
              <w:t>Precision</w:t>
            </w:r>
          </w:p>
        </w:tc>
        <w:tc>
          <w:tcPr>
            <w:tcW w:type="dxa" w:w="3408"/>
            <w:vAlign w:val="center"/>
          </w:tcPr>
          <w:p>
            <w:pPr>
              <w:spacing w:after="20"/>
            </w:pPr>
            <w:r>
              <w:rPr>
                <w:sz w:val="14"/>
              </w:rPr>
              <w:t>TP / (TP + FP)</w:t>
            </w:r>
          </w:p>
        </w:tc>
        <w:tc>
          <w:tcPr>
            <w:tcW w:type="dxa" w:w="3408"/>
            <w:vAlign w:val="center"/>
          </w:tcPr>
          <w:p>
            <w:pPr>
              <w:spacing w:after="20"/>
            </w:pPr>
            <w:r>
              <w:rPr>
                <w:sz w:val="14"/>
              </w:rPr>
              <w:t>Share of alerts that are truly nonconforming; reflects review workload.</w:t>
            </w:r>
          </w:p>
        </w:tc>
      </w:tr>
      <w:tr>
        <w:trPr>
          <w:cantSplit/>
        </w:trPr>
        <w:tc>
          <w:tcPr>
            <w:tcW w:type="dxa" w:w="3408"/>
            <w:vAlign w:val="center"/>
          </w:tcPr>
          <w:p>
            <w:pPr>
              <w:spacing w:after="20"/>
            </w:pPr>
            <w:r>
              <w:rPr>
                <w:sz w:val="14"/>
              </w:rPr>
              <w:t>Recall / sensitivity</w:t>
            </w:r>
          </w:p>
        </w:tc>
        <w:tc>
          <w:tcPr>
            <w:tcW w:type="dxa" w:w="3408"/>
            <w:vAlign w:val="center"/>
          </w:tcPr>
          <w:p>
            <w:pPr>
              <w:spacing w:after="20"/>
            </w:pPr>
            <w:r>
              <w:rPr>
                <w:sz w:val="14"/>
              </w:rPr>
              <w:t>TP / (TP + FN)</w:t>
            </w:r>
          </w:p>
        </w:tc>
        <w:tc>
          <w:tcPr>
            <w:tcW w:type="dxa" w:w="3408"/>
            <w:vAlign w:val="center"/>
          </w:tcPr>
          <w:p>
            <w:pPr>
              <w:spacing w:after="20"/>
            </w:pPr>
            <w:r>
              <w:rPr>
                <w:sz w:val="14"/>
              </w:rPr>
              <w:t>Share of nonconforming batches detected; central miss measure.</w:t>
            </w:r>
          </w:p>
        </w:tc>
      </w:tr>
      <w:tr>
        <w:trPr>
          <w:cantSplit/>
        </w:trPr>
        <w:tc>
          <w:tcPr>
            <w:tcW w:type="dxa" w:w="3408"/>
            <w:vAlign w:val="center"/>
          </w:tcPr>
          <w:p>
            <w:pPr>
              <w:spacing w:after="20"/>
            </w:pPr>
            <w:r>
              <w:rPr>
                <w:sz w:val="14"/>
              </w:rPr>
              <w:t>Specificity</w:t>
            </w:r>
          </w:p>
        </w:tc>
        <w:tc>
          <w:tcPr>
            <w:tcW w:type="dxa" w:w="3408"/>
            <w:vAlign w:val="center"/>
          </w:tcPr>
          <w:p>
            <w:pPr>
              <w:spacing w:after="20"/>
            </w:pPr>
            <w:r>
              <w:rPr>
                <w:sz w:val="14"/>
              </w:rPr>
              <w:t>TN / (TN + FP)</w:t>
            </w:r>
          </w:p>
        </w:tc>
        <w:tc>
          <w:tcPr>
            <w:tcW w:type="dxa" w:w="3408"/>
            <w:vAlign w:val="center"/>
          </w:tcPr>
          <w:p>
            <w:pPr>
              <w:spacing w:after="20"/>
            </w:pPr>
            <w:r>
              <w:rPr>
                <w:sz w:val="14"/>
              </w:rPr>
              <w:t>Share of conforming batches correctly not flagged.</w:t>
            </w:r>
          </w:p>
        </w:tc>
      </w:tr>
      <w:tr>
        <w:trPr>
          <w:cantSplit/>
        </w:trPr>
        <w:tc>
          <w:tcPr>
            <w:tcW w:type="dxa" w:w="3408"/>
            <w:vAlign w:val="center"/>
          </w:tcPr>
          <w:p>
            <w:pPr>
              <w:spacing w:after="20"/>
            </w:pPr>
            <w:r>
              <w:rPr>
                <w:sz w:val="14"/>
              </w:rPr>
              <w:t>F1</w:t>
            </w:r>
          </w:p>
        </w:tc>
        <w:tc>
          <w:tcPr>
            <w:tcW w:type="dxa" w:w="3408"/>
            <w:vAlign w:val="center"/>
          </w:tcPr>
          <w:p>
            <w:pPr>
              <w:spacing w:after="20"/>
            </w:pPr>
            <w:r>
              <w:rPr>
                <w:sz w:val="14"/>
              </w:rPr>
              <w:t>2 × precision × recall / (precision + recall)</w:t>
            </w:r>
          </w:p>
        </w:tc>
        <w:tc>
          <w:tcPr>
            <w:tcW w:type="dxa" w:w="3408"/>
            <w:vAlign w:val="center"/>
          </w:tcPr>
          <w:p>
            <w:pPr>
              <w:spacing w:after="20"/>
            </w:pPr>
            <w:r>
              <w:rPr>
                <w:sz w:val="14"/>
              </w:rPr>
              <w:t>Threshold-dependent summary; does not encode business costs.</w:t>
            </w:r>
          </w:p>
        </w:tc>
      </w:tr>
      <w:tr>
        <w:trPr>
          <w:cantSplit/>
        </w:trPr>
        <w:tc>
          <w:tcPr>
            <w:tcW w:type="dxa" w:w="3408"/>
            <w:vAlign w:val="center"/>
          </w:tcPr>
          <w:p>
            <w:pPr>
              <w:spacing w:after="20"/>
            </w:pPr>
            <w:r>
              <w:rPr>
                <w:sz w:val="14"/>
              </w:rPr>
              <w:t>Balanced accuracy</w:t>
            </w:r>
          </w:p>
        </w:tc>
        <w:tc>
          <w:tcPr>
            <w:tcW w:type="dxa" w:w="3408"/>
            <w:vAlign w:val="center"/>
          </w:tcPr>
          <w:p>
            <w:pPr>
              <w:spacing w:after="20"/>
            </w:pPr>
            <w:r>
              <w:rPr>
                <w:sz w:val="14"/>
              </w:rPr>
              <w:t>(sensitivity + specificity) / 2</w:t>
            </w:r>
          </w:p>
        </w:tc>
        <w:tc>
          <w:tcPr>
            <w:tcW w:type="dxa" w:w="3408"/>
            <w:vAlign w:val="center"/>
          </w:tcPr>
          <w:p>
            <w:pPr>
              <w:spacing w:after="20"/>
            </w:pPr>
            <w:r>
              <w:rPr>
                <w:sz w:val="14"/>
              </w:rPr>
              <w:t>Class-balanced threshold metric to pair with accuracy.</w:t>
            </w:r>
          </w:p>
        </w:tc>
      </w:tr>
      <w:tr>
        <w:trPr>
          <w:cantSplit/>
        </w:trPr>
        <w:tc>
          <w:tcPr>
            <w:tcW w:type="dxa" w:w="3408"/>
            <w:vAlign w:val="center"/>
          </w:tcPr>
          <w:p>
            <w:pPr>
              <w:spacing w:after="20"/>
            </w:pPr>
            <w:r>
              <w:rPr>
                <w:sz w:val="14"/>
              </w:rPr>
              <w:t>PR-AUC / average precision</w:t>
            </w:r>
          </w:p>
        </w:tc>
        <w:tc>
          <w:tcPr>
            <w:tcW w:type="dxa" w:w="3408"/>
            <w:vAlign w:val="center"/>
          </w:tcPr>
          <w:p>
            <w:pPr>
              <w:spacing w:after="20"/>
            </w:pPr>
            <w:r>
              <w:rPr>
                <w:sz w:val="14"/>
              </w:rPr>
              <w:t>Area under precision-recall curve</w:t>
            </w:r>
          </w:p>
        </w:tc>
        <w:tc>
          <w:tcPr>
            <w:tcW w:type="dxa" w:w="3408"/>
            <w:vAlign w:val="center"/>
          </w:tcPr>
          <w:p>
            <w:pPr>
              <w:spacing w:after="20"/>
            </w:pPr>
            <w:r>
              <w:rPr>
                <w:sz w:val="14"/>
              </w:rPr>
              <w:t>Positive-class ranking summary; compare with event prevalence.</w:t>
            </w:r>
          </w:p>
        </w:tc>
      </w:tr>
      <w:tr>
        <w:trPr>
          <w:cantSplit/>
        </w:trPr>
        <w:tc>
          <w:tcPr>
            <w:tcW w:type="dxa" w:w="3408"/>
            <w:vAlign w:val="center"/>
          </w:tcPr>
          <w:p>
            <w:pPr>
              <w:spacing w:after="20"/>
            </w:pPr>
            <w:r>
              <w:rPr>
                <w:sz w:val="14"/>
              </w:rPr>
              <w:t>ROC-AUC</w:t>
            </w:r>
          </w:p>
        </w:tc>
        <w:tc>
          <w:tcPr>
            <w:tcW w:type="dxa" w:w="3408"/>
            <w:vAlign w:val="center"/>
          </w:tcPr>
          <w:p>
            <w:pPr>
              <w:spacing w:after="20"/>
            </w:pPr>
            <w:r>
              <w:rPr>
                <w:sz w:val="14"/>
              </w:rPr>
              <w:t>Area under ROC curve</w:t>
            </w:r>
          </w:p>
        </w:tc>
        <w:tc>
          <w:tcPr>
            <w:tcW w:type="dxa" w:w="3408"/>
            <w:vAlign w:val="center"/>
          </w:tcPr>
          <w:p>
            <w:pPr>
              <w:spacing w:after="20"/>
            </w:pPr>
            <w:r>
              <w:rPr>
                <w:sz w:val="14"/>
              </w:rPr>
              <w:t>Threshold-free ranking measure; may obscure rare-event performance.</w:t>
            </w:r>
          </w:p>
        </w:tc>
      </w:tr>
      <w:tr>
        <w:trPr>
          <w:cantSplit/>
        </w:trPr>
        <w:tc>
          <w:tcPr>
            <w:tcW w:type="dxa" w:w="3408"/>
            <w:vAlign w:val="center"/>
          </w:tcPr>
          <w:p>
            <w:pPr>
              <w:spacing w:after="20"/>
            </w:pPr>
            <w:r>
              <w:rPr>
                <w:sz w:val="14"/>
              </w:rPr>
              <w:t>Brier score</w:t>
            </w:r>
          </w:p>
        </w:tc>
        <w:tc>
          <w:tcPr>
            <w:tcW w:type="dxa" w:w="3408"/>
            <w:vAlign w:val="center"/>
          </w:tcPr>
          <w:p>
            <w:pPr>
              <w:spacing w:after="20"/>
            </w:pPr>
            <w:r>
              <w:rPr>
                <w:sz w:val="14"/>
              </w:rPr>
              <w:t>Mean((probability − outcome)²)</w:t>
            </w:r>
          </w:p>
        </w:tc>
        <w:tc>
          <w:tcPr>
            <w:tcW w:type="dxa" w:w="3408"/>
            <w:vAlign w:val="center"/>
          </w:tcPr>
          <w:p>
            <w:pPr>
              <w:spacing w:after="20"/>
            </w:pPr>
            <w:r>
              <w:rPr>
                <w:sz w:val="14"/>
              </w:rPr>
              <w:t>Probability error; lower is better, requires probabilities.</w:t>
            </w:r>
          </w:p>
        </w:tc>
      </w:tr>
      <w:tr>
        <w:trPr>
          <w:cantSplit/>
        </w:trPr>
        <w:tc>
          <w:tcPr>
            <w:tcW w:type="dxa" w:w="3408"/>
            <w:vAlign w:val="center"/>
          </w:tcPr>
          <w:p>
            <w:pPr>
              <w:spacing w:after="20"/>
            </w:pPr>
            <w:r>
              <w:rPr>
                <w:sz w:val="14"/>
              </w:rPr>
              <w:t>Calibration error</w:t>
            </w:r>
          </w:p>
        </w:tc>
        <w:tc>
          <w:tcPr>
            <w:tcW w:type="dxa" w:w="3408"/>
            <w:vAlign w:val="center"/>
          </w:tcPr>
          <w:p>
            <w:pPr>
              <w:spacing w:after="20"/>
            </w:pPr>
            <w:r>
              <w:rPr>
                <w:sz w:val="14"/>
              </w:rPr>
              <w:t>Sum over bins: bin share × |mean probability − event rate|</w:t>
            </w:r>
          </w:p>
        </w:tc>
        <w:tc>
          <w:tcPr>
            <w:tcW w:type="dxa" w:w="3408"/>
            <w:vAlign w:val="center"/>
          </w:tcPr>
          <w:p>
            <w:pPr>
              <w:spacing w:after="20"/>
            </w:pPr>
            <w:r>
              <w:rPr>
                <w:sz w:val="14"/>
              </w:rPr>
              <w:t>Pair with reliability plot, bin counts, and Brier score.</w:t>
            </w:r>
          </w:p>
        </w:tc>
      </w:tr>
      <w:tr>
        <w:trPr>
          <w:cantSplit/>
        </w:trPr>
        <w:tc>
          <w:tcPr>
            <w:tcW w:type="dxa" w:w="3408"/>
            <w:vAlign w:val="center"/>
          </w:tcPr>
          <w:p>
            <w:pPr>
              <w:spacing w:after="20"/>
            </w:pPr>
            <w:r>
              <w:rPr>
                <w:sz w:val="14"/>
              </w:rPr>
              <w:t>MAE</w:t>
            </w:r>
          </w:p>
        </w:tc>
        <w:tc>
          <w:tcPr>
            <w:tcW w:type="dxa" w:w="3408"/>
            <w:vAlign w:val="center"/>
          </w:tcPr>
          <w:p>
            <w:pPr>
              <w:spacing w:after="20"/>
            </w:pPr>
            <w:r>
              <w:rPr>
                <w:sz w:val="14"/>
              </w:rPr>
              <w:t>Mean(|observed − predicted|)</w:t>
            </w:r>
          </w:p>
        </w:tc>
        <w:tc>
          <w:tcPr>
            <w:tcW w:type="dxa" w:w="3408"/>
            <w:vAlign w:val="center"/>
          </w:tcPr>
          <w:p>
            <w:pPr>
              <w:spacing w:after="20"/>
            </w:pPr>
            <w:r>
              <w:rPr>
                <w:sz w:val="14"/>
              </w:rPr>
              <w:t>Continuous error in laboratory units; compare with method repeatability.</w:t>
            </w:r>
          </w:p>
        </w:tc>
      </w:tr>
      <w:tr>
        <w:trPr>
          <w:cantSplit/>
        </w:trPr>
        <w:tc>
          <w:tcPr>
            <w:tcW w:type="dxa" w:w="3408"/>
            <w:vAlign w:val="center"/>
          </w:tcPr>
          <w:p>
            <w:pPr>
              <w:spacing w:after="20"/>
            </w:pPr>
            <w:r>
              <w:rPr>
                <w:sz w:val="14"/>
              </w:rPr>
              <w:t>RMSE</w:t>
            </w:r>
          </w:p>
        </w:tc>
        <w:tc>
          <w:tcPr>
            <w:tcW w:type="dxa" w:w="3408"/>
            <w:vAlign w:val="center"/>
          </w:tcPr>
          <w:p>
            <w:pPr>
              <w:spacing w:after="20"/>
            </w:pPr>
            <w:r>
              <w:rPr>
                <w:sz w:val="14"/>
              </w:rPr>
              <w:t>Square root of mean squared error</w:t>
            </w:r>
          </w:p>
        </w:tc>
        <w:tc>
          <w:tcPr>
            <w:tcW w:type="dxa" w:w="3408"/>
            <w:vAlign w:val="center"/>
          </w:tcPr>
          <w:p>
            <w:pPr>
              <w:spacing w:after="20"/>
            </w:pPr>
            <w:r>
              <w:rPr>
                <w:sz w:val="14"/>
              </w:rPr>
              <w:t>Penalizes larger misses; examine alongside MAE.</w:t>
            </w:r>
          </w:p>
        </w:tc>
      </w:tr>
      <w:tr>
        <w:trPr>
          <w:cantSplit/>
        </w:trPr>
        <w:tc>
          <w:tcPr>
            <w:tcW w:type="dxa" w:w="3408"/>
            <w:vAlign w:val="center"/>
          </w:tcPr>
          <w:p>
            <w:pPr>
              <w:spacing w:after="20"/>
            </w:pPr>
            <w:r>
              <w:rPr>
                <w:sz w:val="14"/>
              </w:rPr>
              <w:t>Bias</w:t>
            </w:r>
          </w:p>
        </w:tc>
        <w:tc>
          <w:tcPr>
            <w:tcW w:type="dxa" w:w="3408"/>
            <w:vAlign w:val="center"/>
          </w:tcPr>
          <w:p>
            <w:pPr>
              <w:spacing w:after="20"/>
            </w:pPr>
            <w:r>
              <w:rPr>
                <w:sz w:val="14"/>
              </w:rPr>
              <w:t>Mean(predicted − observed)</w:t>
            </w:r>
          </w:p>
        </w:tc>
        <w:tc>
          <w:tcPr>
            <w:tcW w:type="dxa" w:w="3408"/>
            <w:vAlign w:val="center"/>
          </w:tcPr>
          <w:p>
            <w:pPr>
              <w:spacing w:after="20"/>
            </w:pPr>
            <w:r>
              <w:rPr>
                <w:sz w:val="14"/>
              </w:rPr>
              <w:t>Systematic over- or under-prediction in native units.</w:t>
            </w:r>
          </w:p>
        </w:tc>
      </w:tr>
      <w:tr>
        <w:trPr>
          <w:cantSplit/>
        </w:trPr>
        <w:tc>
          <w:tcPr>
            <w:tcW w:type="dxa" w:w="3408"/>
            <w:vAlign w:val="center"/>
          </w:tcPr>
          <w:p>
            <w:pPr>
              <w:spacing w:after="20"/>
            </w:pPr>
            <w:r>
              <w:rPr>
                <w:sz w:val="14"/>
              </w:rPr>
              <w:t>R-squared</w:t>
            </w:r>
          </w:p>
        </w:tc>
        <w:tc>
          <w:tcPr>
            <w:tcW w:type="dxa" w:w="3408"/>
            <w:vAlign w:val="center"/>
          </w:tcPr>
          <w:p>
            <w:pPr>
              <w:spacing w:after="20"/>
            </w:pPr>
            <w:r>
              <w:rPr>
                <w:sz w:val="14"/>
              </w:rPr>
              <w:t>1 − residual sum of squares / total sum of squares</w:t>
            </w:r>
          </w:p>
        </w:tc>
        <w:tc>
          <w:tcPr>
            <w:tcW w:type="dxa" w:w="3408"/>
            <w:vAlign w:val="center"/>
          </w:tcPr>
          <w:p>
            <w:pPr>
              <w:spacing w:after="20"/>
            </w:pPr>
            <w:r>
              <w:rPr>
                <w:sz w:val="14"/>
              </w:rPr>
              <w:t>Supplementary only; can be negative out of sample.</w:t>
            </w:r>
          </w:p>
        </w:tc>
      </w:tr>
      <w:tr>
        <w:trPr>
          <w:cantSplit/>
        </w:trPr>
        <w:tc>
          <w:tcPr>
            <w:tcW w:type="dxa" w:w="3408"/>
            <w:vAlign w:val="center"/>
          </w:tcPr>
          <w:p>
            <w:pPr>
              <w:spacing w:after="20"/>
            </w:pPr>
            <w:r>
              <w:rPr>
                <w:sz w:val="14"/>
              </w:rPr>
              <w:t>Alert workload</w:t>
            </w:r>
          </w:p>
        </w:tc>
        <w:tc>
          <w:tcPr>
            <w:tcW w:type="dxa" w:w="3408"/>
            <w:vAlign w:val="center"/>
          </w:tcPr>
          <w:p>
            <w:pPr>
              <w:spacing w:after="20"/>
            </w:pPr>
            <w:r>
              <w:rPr>
                <w:sz w:val="14"/>
              </w:rPr>
              <w:t>Alerts per shift/day and referred batch fraction</w:t>
            </w:r>
          </w:p>
        </w:tc>
        <w:tc>
          <w:tcPr>
            <w:tcW w:type="dxa" w:w="3408"/>
            <w:vAlign w:val="center"/>
          </w:tcPr>
          <w:p>
            <w:pPr>
              <w:spacing w:after="20"/>
            </w:pPr>
            <w:r>
              <w:rPr>
                <w:sz w:val="14"/>
              </w:rPr>
              <w:t>Compare threshold-specific volume with review capacity.</w:t>
            </w:r>
          </w:p>
        </w:tc>
      </w:tr>
    </w:tbl>
    <w:p/>
    <w:p>
      <w:pPr>
        <w:pStyle w:val="Heading2"/>
      </w:pPr>
      <w:r>
        <w:t>Threshold and uncertainty</w:t>
      </w:r>
    </w:p>
    <w:p>
      <w:r>
        <w:t>Choose the probability threshold on development/validation data only. Plot recall, precision, false-negative and false-positive rates, and alert volume over candidate thresholds. Select with quality and operations owners using agreed miss costs and daily capacity; lock it before final testing. If costs are unknown, report a threshold table rather than claiming an optimum.</w:t>
      </w:r>
    </w:p>
    <w:p>
      <w:r>
        <w:t>Report fold-level and pooled out-of-fold metrics, sample counts, and confidence intervals. Resample batches for batch-level targets; use lot/campaign clusters or time blocks when dependence requires it. Do not bootstrap sensor rows as independent batches. For subgroup metrics, show denominators and uncertainty; do not make stable claims from small groups.</w:t>
      </w:r>
    </w:p>
    <w:p>
      <w:pPr>
        <w:pStyle w:val="Heading1"/>
      </w:pPr>
      <w:r>
        <w:t>5. Validation techniques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7365D"/>
          </w:tcPr>
          <w:p>
            <w:r>
              <w:rPr>
                <w:b/>
                <w:color w:val="FFFFFF"/>
                <w:sz w:val="14"/>
              </w:rPr>
              <w:t>Technique</w:t>
            </w:r>
          </w:p>
        </w:tc>
        <w:tc>
          <w:tcPr>
            <w:tcW w:type="dxa" w:w="3408"/>
            <w:shd w:fill="17365D"/>
          </w:tcPr>
          <w:p>
            <w:r>
              <w:rPr>
                <w:b/>
                <w:color w:val="FFFFFF"/>
                <w:sz w:val="14"/>
              </w:rPr>
              <w:t>Procedure</w:t>
            </w:r>
          </w:p>
        </w:tc>
        <w:tc>
          <w:tcPr>
            <w:tcW w:type="dxa" w:w="3408"/>
            <w:shd w:fill="17365D"/>
          </w:tcPr>
          <w:p>
            <w:r>
              <w:rPr>
                <w:b/>
                <w:color w:val="FFFFFF"/>
                <w:sz w:val="14"/>
              </w:rPr>
              <w:t>Evidence and limitation</w:t>
            </w:r>
          </w:p>
        </w:tc>
      </w:tr>
      <w:tr>
        <w:trPr>
          <w:cantSplit/>
        </w:trPr>
        <w:tc>
          <w:tcPr>
            <w:tcW w:type="dxa" w:w="3408"/>
            <w:vAlign w:val="center"/>
          </w:tcPr>
          <w:p>
            <w:pPr>
              <w:spacing w:after="20"/>
            </w:pPr>
            <w:r>
              <w:rPr>
                <w:sz w:val="14"/>
              </w:rPr>
              <w:t>Stratified k-fold</w:t>
            </w:r>
          </w:p>
        </w:tc>
        <w:tc>
          <w:tcPr>
            <w:tcW w:type="dxa" w:w="3408"/>
            <w:vAlign w:val="center"/>
          </w:tcPr>
          <w:p>
            <w:pPr>
              <w:spacing w:after="20"/>
            </w:pPr>
            <w:r>
              <w:rPr>
                <w:sz w:val="14"/>
              </w:rPr>
              <w:t>Split batches into k folds with approximate class balance; fit on k−1 and score the held-out fold.</w:t>
            </w:r>
          </w:p>
        </w:tc>
        <w:tc>
          <w:tcPr>
            <w:tcW w:type="dxa" w:w="3408"/>
            <w:vAlign w:val="center"/>
          </w:tcPr>
          <w:p>
            <w:pPr>
              <w:spacing w:after="20"/>
            </w:pPr>
            <w:r>
              <w:rPr>
                <w:sz w:val="14"/>
              </w:rPr>
              <w:t>Development stability; random folds are not final evidence with time or batch dependence.</w:t>
            </w:r>
          </w:p>
        </w:tc>
      </w:tr>
      <w:tr>
        <w:trPr>
          <w:cantSplit/>
        </w:trPr>
        <w:tc>
          <w:tcPr>
            <w:tcW w:type="dxa" w:w="3408"/>
            <w:vAlign w:val="center"/>
          </w:tcPr>
          <w:p>
            <w:pPr>
              <w:spacing w:after="20"/>
            </w:pPr>
            <w:r>
              <w:rPr>
                <w:sz w:val="14"/>
              </w:rPr>
              <w:t>Group-aware k-fold</w:t>
            </w:r>
          </w:p>
        </w:tc>
        <w:tc>
          <w:tcPr>
            <w:tcW w:type="dxa" w:w="3408"/>
            <w:vAlign w:val="center"/>
          </w:tcPr>
          <w:p>
            <w:pPr>
              <w:spacing w:after="20"/>
            </w:pPr>
            <w:r>
              <w:rPr>
                <w:sz w:val="14"/>
              </w:rPr>
              <w:t>Keep each batch, lot, or campaign in one fold; stratify groups when feasible.</w:t>
            </w:r>
          </w:p>
        </w:tc>
        <w:tc>
          <w:tcPr>
            <w:tcW w:type="dxa" w:w="3408"/>
            <w:vAlign w:val="center"/>
          </w:tcPr>
          <w:p>
            <w:pPr>
              <w:spacing w:after="20"/>
            </w:pPr>
            <w:r>
              <w:rPr>
                <w:sz w:val="14"/>
              </w:rPr>
              <w:t>Reduces related-record leakage; needs enough independent groups and events.</w:t>
            </w:r>
          </w:p>
        </w:tc>
      </w:tr>
      <w:tr>
        <w:trPr>
          <w:cantSplit/>
        </w:trPr>
        <w:tc>
          <w:tcPr>
            <w:tcW w:type="dxa" w:w="3408"/>
            <w:vAlign w:val="center"/>
          </w:tcPr>
          <w:p>
            <w:pPr>
              <w:spacing w:after="20"/>
            </w:pPr>
            <w:r>
              <w:rPr>
                <w:sz w:val="14"/>
              </w:rPr>
              <w:t>Nested validation</w:t>
            </w:r>
          </w:p>
        </w:tc>
        <w:tc>
          <w:tcPr>
            <w:tcW w:type="dxa" w:w="3408"/>
            <w:vAlign w:val="center"/>
          </w:tcPr>
          <w:p>
            <w:pPr>
              <w:spacing w:after="20"/>
            </w:pPr>
            <w:r>
              <w:rPr>
                <w:sz w:val="14"/>
              </w:rPr>
              <w:t>Inner folds select settings; outer folds estimate performance.</w:t>
            </w:r>
          </w:p>
        </w:tc>
        <w:tc>
          <w:tcPr>
            <w:tcW w:type="dxa" w:w="3408"/>
            <w:vAlign w:val="center"/>
          </w:tcPr>
          <w:p>
            <w:pPr>
              <w:spacing w:after="20"/>
            </w:pPr>
            <w:r>
              <w:rPr>
                <w:sz w:val="14"/>
              </w:rPr>
              <w:t>Reduces selection optimism; use group/time-aware folds at both levels.</w:t>
            </w:r>
          </w:p>
        </w:tc>
      </w:tr>
      <w:tr>
        <w:trPr>
          <w:cantSplit/>
        </w:trPr>
        <w:tc>
          <w:tcPr>
            <w:tcW w:type="dxa" w:w="3408"/>
            <w:vAlign w:val="center"/>
          </w:tcPr>
          <w:p>
            <w:pPr>
              <w:spacing w:after="20"/>
            </w:pPr>
            <w:r>
              <w:rPr>
                <w:sz w:val="14"/>
              </w:rPr>
              <w:t>Rolling-origin temporal</w:t>
            </w:r>
          </w:p>
        </w:tc>
        <w:tc>
          <w:tcPr>
            <w:tcW w:type="dxa" w:w="3408"/>
            <w:vAlign w:val="center"/>
          </w:tcPr>
          <w:p>
            <w:pPr>
              <w:spacing w:after="20"/>
            </w:pPr>
            <w:r>
              <w:rPr>
                <w:sz w:val="14"/>
              </w:rPr>
              <w:t>Train on earlier periods, validate on the next, then advance the cutoff.</w:t>
            </w:r>
          </w:p>
        </w:tc>
        <w:tc>
          <w:tcPr>
            <w:tcW w:type="dxa" w:w="3408"/>
            <w:vAlign w:val="center"/>
          </w:tcPr>
          <w:p>
            <w:pPr>
              <w:spacing w:after="20"/>
            </w:pPr>
            <w:r>
              <w:rPr>
                <w:sz w:val="14"/>
              </w:rPr>
              <w:t>Mimics future use; prevents future-derived statistics from entering features.</w:t>
            </w:r>
          </w:p>
        </w:tc>
      </w:tr>
      <w:tr>
        <w:trPr>
          <w:cantSplit/>
        </w:trPr>
        <w:tc>
          <w:tcPr>
            <w:tcW w:type="dxa" w:w="3408"/>
            <w:vAlign w:val="center"/>
          </w:tcPr>
          <w:p>
            <w:pPr>
              <w:spacing w:after="20"/>
            </w:pPr>
            <w:r>
              <w:rPr>
                <w:sz w:val="14"/>
              </w:rPr>
              <w:t>Locked chronological test</w:t>
            </w:r>
          </w:p>
        </w:tc>
        <w:tc>
          <w:tcPr>
            <w:tcW w:type="dxa" w:w="3408"/>
            <w:vAlign w:val="center"/>
          </w:tcPr>
          <w:p>
            <w:pPr>
              <w:spacing w:after="20"/>
            </w:pPr>
            <w:r>
              <w:rPr>
                <w:sz w:val="14"/>
              </w:rPr>
              <w:t>Reserve latest representative period; do not tune features, model, calibration, or threshold on it.</w:t>
            </w:r>
          </w:p>
        </w:tc>
        <w:tc>
          <w:tcPr>
            <w:tcW w:type="dxa" w:w="3408"/>
            <w:vAlign w:val="center"/>
          </w:tcPr>
          <w:p>
            <w:pPr>
              <w:spacing w:after="20"/>
            </w:pPr>
            <w:r>
              <w:rPr>
                <w:sz w:val="14"/>
              </w:rPr>
              <w:t>Final out-of-time check for only the tested process scope.</w:t>
            </w:r>
          </w:p>
        </w:tc>
      </w:tr>
      <w:tr>
        <w:trPr>
          <w:cantSplit/>
        </w:trPr>
        <w:tc>
          <w:tcPr>
            <w:tcW w:type="dxa" w:w="3408"/>
            <w:vAlign w:val="center"/>
          </w:tcPr>
          <w:p>
            <w:pPr>
              <w:spacing w:after="20"/>
            </w:pPr>
            <w:r>
              <w:rPr>
                <w:sz w:val="14"/>
              </w:rPr>
              <w:t>Bootstrap intervals</w:t>
            </w:r>
          </w:p>
        </w:tc>
        <w:tc>
          <w:tcPr>
            <w:tcW w:type="dxa" w:w="3408"/>
            <w:vAlign w:val="center"/>
          </w:tcPr>
          <w:p>
            <w:pPr>
              <w:spacing w:after="20"/>
            </w:pPr>
            <w:r>
              <w:rPr>
                <w:sz w:val="14"/>
              </w:rPr>
              <w:t>Resample batches, lots, or time blocks with replacement and recompute metrics.</w:t>
            </w:r>
          </w:p>
        </w:tc>
        <w:tc>
          <w:tcPr>
            <w:tcW w:type="dxa" w:w="3408"/>
            <w:vAlign w:val="center"/>
          </w:tcPr>
          <w:p>
            <w:pPr>
              <w:spacing w:after="20"/>
            </w:pPr>
            <w:r>
              <w:rPr>
                <w:sz w:val="14"/>
              </w:rPr>
              <w:t>Quantifies uncertainty; rare events may yield wide or invalid intervals.</w:t>
            </w:r>
          </w:p>
        </w:tc>
      </w:tr>
      <w:tr>
        <w:trPr>
          <w:cantSplit/>
        </w:trPr>
        <w:tc>
          <w:tcPr>
            <w:tcW w:type="dxa" w:w="3408"/>
            <w:vAlign w:val="center"/>
          </w:tcPr>
          <w:p>
            <w:pPr>
              <w:spacing w:after="20"/>
            </w:pPr>
            <w:r>
              <w:rPr>
                <w:sz w:val="14"/>
              </w:rPr>
              <w:t>External / leave-one-line-out</w:t>
            </w:r>
          </w:p>
        </w:tc>
        <w:tc>
          <w:tcPr>
            <w:tcW w:type="dxa" w:w="3408"/>
            <w:vAlign w:val="center"/>
          </w:tcPr>
          <w:p>
            <w:pPr>
              <w:spacing w:after="20"/>
            </w:pPr>
            <w:r>
              <w:rPr>
                <w:sz w:val="14"/>
              </w:rPr>
              <w:t>Test on an unused line, site, product family, or campaign.</w:t>
            </w:r>
          </w:p>
        </w:tc>
        <w:tc>
          <w:tcPr>
            <w:tcW w:type="dxa" w:w="3408"/>
            <w:vAlign w:val="center"/>
          </w:tcPr>
          <w:p>
            <w:pPr>
              <w:spacing w:after="20"/>
            </w:pPr>
            <w:r>
              <w:rPr>
                <w:sz w:val="14"/>
              </w:rPr>
              <w:t>Assesses transportability; a different process may need new data and scope.</w:t>
            </w:r>
          </w:p>
        </w:tc>
      </w:tr>
      <w:tr>
        <w:trPr>
          <w:cantSplit/>
        </w:trPr>
        <w:tc>
          <w:tcPr>
            <w:tcW w:type="dxa" w:w="3408"/>
            <w:vAlign w:val="center"/>
          </w:tcPr>
          <w:p>
            <w:pPr>
              <w:spacing w:after="20"/>
            </w:pPr>
            <w:r>
              <w:rPr>
                <w:sz w:val="14"/>
              </w:rPr>
              <w:t>Shadow-mode pilot</w:t>
            </w:r>
          </w:p>
        </w:tc>
        <w:tc>
          <w:tcPr>
            <w:tcW w:type="dxa" w:w="3408"/>
            <w:vAlign w:val="center"/>
          </w:tcPr>
          <w:p>
            <w:pPr>
              <w:spacing w:after="20"/>
            </w:pPr>
            <w:r>
              <w:rPr>
                <w:sz w:val="14"/>
              </w:rPr>
              <w:t>Time-stamp scores without changing release or process decisions.</w:t>
            </w:r>
          </w:p>
        </w:tc>
        <w:tc>
          <w:tcPr>
            <w:tcW w:type="dxa" w:w="3408"/>
            <w:vAlign w:val="center"/>
          </w:tcPr>
          <w:p>
            <w:pPr>
              <w:spacing w:after="20"/>
            </w:pPr>
            <w:r>
              <w:rPr>
                <w:sz w:val="14"/>
              </w:rPr>
              <w:t>Tests integration, latency, missing inputs, review load, and label delay.</w:t>
            </w:r>
          </w:p>
        </w:tc>
      </w:tr>
    </w:tbl>
    <w:p/>
    <w:p>
      <w:pPr>
        <w:pStyle w:val="Heading2"/>
      </w:pPr>
      <w:r>
        <w:t>Validation controls</w:t>
      </w:r>
    </w:p>
    <w:p>
      <w:pPr>
        <w:pStyle w:val="ListBullet"/>
      </w:pPr>
      <w:r>
        <w:t>Use the same grouping unit in feature creation and splitting; no batch may straddle partitions.</w:t>
      </w:r>
    </w:p>
    <w:p>
      <w:pPr>
        <w:pStyle w:val="ListBullet"/>
      </w:pPr>
      <w:r>
        <w:t>Keep all preprocessing and threshold work inside training/validation; preserve a locked final test.</w:t>
      </w:r>
    </w:p>
    <w:p>
      <w:pPr>
        <w:pStyle w:val="ListBullet"/>
      </w:pPr>
      <w:r>
        <w:t>If a fold lacks a class, mark the metric undefined and revisit design or data volume.</w:t>
      </w:r>
    </w:p>
    <w:p>
      <w:pPr>
        <w:pStyle w:val="ListBullet"/>
      </w:pPr>
      <w:r>
        <w:t>Compare with prevalence/median baselines and the current workflow; use paired batch comparisons for model changes.</w:t>
      </w:r>
    </w:p>
    <w:p>
      <w:pPr>
        <w:pStyle w:val="ListBullet"/>
      </w:pPr>
      <w:r>
        <w:t>Report split dates, group counts, per-fold values, baseline, confidence intervals, and every exclusion.</w:t>
      </w:r>
    </w:p>
    <w:p>
      <w:pPr>
        <w:pStyle w:val="Heading1"/>
      </w:pPr>
      <w:r>
        <w:t>6. Qualitative review</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7365D"/>
          </w:tcPr>
          <w:p>
            <w:r>
              <w:rPr>
                <w:b/>
                <w:color w:val="FFFFFF"/>
                <w:sz w:val="15"/>
              </w:rPr>
              <w:t>Review area</w:t>
            </w:r>
          </w:p>
        </w:tc>
        <w:tc>
          <w:tcPr>
            <w:tcW w:type="dxa" w:w="5112"/>
            <w:shd w:fill="17365D"/>
          </w:tcPr>
          <w:p>
            <w:r>
              <w:rPr>
                <w:b/>
                <w:color w:val="FFFFFF"/>
                <w:sz w:val="15"/>
              </w:rPr>
              <w:t>Questions for the record</w:t>
            </w:r>
          </w:p>
        </w:tc>
      </w:tr>
      <w:tr>
        <w:trPr>
          <w:cantSplit/>
        </w:trPr>
        <w:tc>
          <w:tcPr>
            <w:tcW w:type="dxa" w:w="5112"/>
            <w:vAlign w:val="center"/>
          </w:tcPr>
          <w:p>
            <w:pPr>
              <w:spacing w:after="20"/>
            </w:pPr>
            <w:r>
              <w:rPr>
                <w:sz w:val="15"/>
              </w:rPr>
              <w:t>Process validity</w:t>
            </w:r>
          </w:p>
        </w:tc>
        <w:tc>
          <w:tcPr>
            <w:tcW w:type="dxa" w:w="5112"/>
            <w:vAlign w:val="center"/>
          </w:tcPr>
          <w:p>
            <w:pPr>
              <w:spacing w:after="20"/>
            </w:pPr>
            <w:r>
              <w:rPr>
                <w:sz w:val="15"/>
              </w:rPr>
              <w:t>Do inputs match process stage and product? Are units, limits, recipe, and measurement methods correct?</w:t>
            </w:r>
          </w:p>
        </w:tc>
      </w:tr>
      <w:tr>
        <w:trPr>
          <w:cantSplit/>
        </w:trPr>
        <w:tc>
          <w:tcPr>
            <w:tcW w:type="dxa" w:w="5112"/>
            <w:vAlign w:val="center"/>
          </w:tcPr>
          <w:p>
            <w:pPr>
              <w:spacing w:after="20"/>
            </w:pPr>
            <w:r>
              <w:rPr>
                <w:sz w:val="15"/>
              </w:rPr>
              <w:t>Leakage and timing</w:t>
            </w:r>
          </w:p>
        </w:tc>
        <w:tc>
          <w:tcPr>
            <w:tcW w:type="dxa" w:w="5112"/>
            <w:vAlign w:val="center"/>
          </w:tcPr>
          <w:p>
            <w:pPr>
              <w:spacing w:after="20"/>
            </w:pPr>
            <w:r>
              <w:rPr>
                <w:sz w:val="15"/>
              </w:rPr>
              <w:t>Could any feature be assigned after checkpoint, test, or disposition? Can timing be independently reproduced?</w:t>
            </w:r>
          </w:p>
        </w:tc>
      </w:tr>
      <w:tr>
        <w:trPr>
          <w:cantSplit/>
        </w:trPr>
        <w:tc>
          <w:tcPr>
            <w:tcW w:type="dxa" w:w="5112"/>
            <w:vAlign w:val="center"/>
          </w:tcPr>
          <w:p>
            <w:pPr>
              <w:spacing w:after="20"/>
            </w:pPr>
            <w:r>
              <w:rPr>
                <w:sz w:val="15"/>
              </w:rPr>
              <w:t>Error cases</w:t>
            </w:r>
          </w:p>
        </w:tc>
        <w:tc>
          <w:tcPr>
            <w:tcW w:type="dxa" w:w="5112"/>
            <w:vAlign w:val="center"/>
          </w:tcPr>
          <w:p>
            <w:pPr>
              <w:spacing w:after="20"/>
            </w:pPr>
            <w:r>
              <w:rPr>
                <w:sz w:val="15"/>
              </w:rPr>
              <w:t>Were false negatives and positives checked against sensor traces, lab records, retests, and equipment changes?</w:t>
            </w:r>
          </w:p>
        </w:tc>
      </w:tr>
      <w:tr>
        <w:trPr>
          <w:cantSplit/>
        </w:trPr>
        <w:tc>
          <w:tcPr>
            <w:tcW w:type="dxa" w:w="5112"/>
            <w:vAlign w:val="center"/>
          </w:tcPr>
          <w:p>
            <w:pPr>
              <w:spacing w:after="20"/>
            </w:pPr>
            <w:r>
              <w:rPr>
                <w:sz w:val="15"/>
              </w:rPr>
              <w:t>Human factors</w:t>
            </w:r>
          </w:p>
        </w:tc>
        <w:tc>
          <w:tcPr>
            <w:tcW w:type="dxa" w:w="5112"/>
            <w:vAlign w:val="center"/>
          </w:tcPr>
          <w:p>
            <w:pPr>
              <w:spacing w:after="20"/>
            </w:pPr>
            <w:r>
              <w:rPr>
                <w:sz w:val="15"/>
              </w:rPr>
              <w:t>Can users understand score, uncertainty, threshold, and action? Is there a challenge path and disposition log?</w:t>
            </w:r>
          </w:p>
        </w:tc>
      </w:tr>
      <w:tr>
        <w:trPr>
          <w:cantSplit/>
        </w:trPr>
        <w:tc>
          <w:tcPr>
            <w:tcW w:type="dxa" w:w="5112"/>
            <w:vAlign w:val="center"/>
          </w:tcPr>
          <w:p>
            <w:pPr>
              <w:spacing w:after="20"/>
            </w:pPr>
            <w:r>
              <w:rPr>
                <w:sz w:val="15"/>
              </w:rPr>
              <w:t>Operational readiness</w:t>
            </w:r>
          </w:p>
        </w:tc>
        <w:tc>
          <w:tcPr>
            <w:tcW w:type="dxa" w:w="5112"/>
            <w:vAlign w:val="center"/>
          </w:tcPr>
          <w:p>
            <w:pPr>
              <w:spacing w:after="20"/>
            </w:pPr>
            <w:r>
              <w:rPr>
                <w:sz w:val="15"/>
              </w:rPr>
              <w:t>Are data latency, access, monitoring, on-call ownership, and rollback tested? What happens during lab delay/outage?</w:t>
            </w:r>
          </w:p>
        </w:tc>
      </w:tr>
      <w:tr>
        <w:trPr>
          <w:cantSplit/>
        </w:trPr>
        <w:tc>
          <w:tcPr>
            <w:tcW w:type="dxa" w:w="5112"/>
            <w:vAlign w:val="center"/>
          </w:tcPr>
          <w:p>
            <w:pPr>
              <w:spacing w:after="20"/>
            </w:pPr>
            <w:r>
              <w:rPr>
                <w:sz w:val="15"/>
              </w:rPr>
              <w:t>Interpretability</w:t>
            </w:r>
          </w:p>
        </w:tc>
        <w:tc>
          <w:tcPr>
            <w:tcW w:type="dxa" w:w="5112"/>
            <w:vAlign w:val="center"/>
          </w:tcPr>
          <w:p>
            <w:pPr>
              <w:spacing w:after="20"/>
            </w:pPr>
            <w:r>
              <w:rPr>
                <w:sz w:val="15"/>
              </w:rPr>
              <w:t>Are effects stable across folds/time? Are importance measures understood as association, not causation?</w:t>
            </w:r>
          </w:p>
        </w:tc>
      </w:tr>
      <w:tr>
        <w:trPr>
          <w:cantSplit/>
        </w:trPr>
        <w:tc>
          <w:tcPr>
            <w:tcW w:type="dxa" w:w="5112"/>
            <w:vAlign w:val="center"/>
          </w:tcPr>
          <w:p>
            <w:pPr>
              <w:spacing w:after="20"/>
            </w:pPr>
            <w:r>
              <w:rPr>
                <w:sz w:val="15"/>
              </w:rPr>
              <w:t>Scope and safety</w:t>
            </w:r>
          </w:p>
        </w:tc>
        <w:tc>
          <w:tcPr>
            <w:tcW w:type="dxa" w:w="5112"/>
            <w:vAlign w:val="center"/>
          </w:tcPr>
          <w:p>
            <w:pPr>
              <w:spacing w:after="20"/>
            </w:pPr>
            <w:r>
              <w:rPr>
                <w:sz w:val="15"/>
              </w:rPr>
              <w:t>Does endpoint fit intended use? Is any safety use separately validated and approved by qualified owners?</w:t>
            </w:r>
          </w:p>
        </w:tc>
      </w:tr>
    </w:tbl>
    <w:p/>
    <w:p>
      <w:pPr>
        <w:pStyle w:val="Heading1"/>
      </w:pPr>
      <w:r>
        <w:t>7. Risk scoring model</w:t>
      </w:r>
    </w:p>
    <w:p>
      <w:r>
        <w:t>Score each risk before and after controls. Likelihood (L) and impact (I) each range from 1 to 5; score = L × I. This prioritization aid does not replace hazard analysis, food-safety plans, legal requirements, or quality-system decisions. Assign an owner, evidence, due date, and trigger. Ratings below are prospective planning estimates, not plant measurements.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7365D"/>
          </w:tcPr>
          <w:p>
            <w:r>
              <w:rPr>
                <w:b/>
                <w:color w:val="FFFFFF"/>
                <w:sz w:val="15"/>
              </w:rPr>
              <w:t>Score</w:t>
            </w:r>
          </w:p>
        </w:tc>
        <w:tc>
          <w:tcPr>
            <w:tcW w:type="dxa" w:w="3408"/>
            <w:shd w:fill="17365D"/>
          </w:tcPr>
          <w:p>
            <w:r>
              <w:rPr>
                <w:b/>
                <w:color w:val="FFFFFF"/>
                <w:sz w:val="15"/>
              </w:rPr>
              <w:t>Likelihood guide</w:t>
            </w:r>
          </w:p>
        </w:tc>
        <w:tc>
          <w:tcPr>
            <w:tcW w:type="dxa" w:w="3408"/>
            <w:shd w:fill="17365D"/>
          </w:tcPr>
          <w:p>
            <w:r>
              <w:rPr>
                <w:b/>
                <w:color w:val="FFFFFF"/>
                <w:sz w:val="15"/>
              </w:rPr>
              <w:t>Impact guide</w:t>
            </w:r>
          </w:p>
        </w:tc>
      </w:tr>
      <w:tr>
        <w:trPr>
          <w:cantSplit/>
        </w:trPr>
        <w:tc>
          <w:tcPr>
            <w:tcW w:type="dxa" w:w="3408"/>
            <w:vAlign w:val="center"/>
          </w:tcPr>
          <w:p>
            <w:pPr>
              <w:spacing w:after="20"/>
            </w:pPr>
            <w:r>
              <w:rPr>
                <w:sz w:val="15"/>
              </w:rPr>
              <w:t>1</w:t>
            </w:r>
          </w:p>
        </w:tc>
        <w:tc>
          <w:tcPr>
            <w:tcW w:type="dxa" w:w="3408"/>
            <w:vAlign w:val="center"/>
          </w:tcPr>
          <w:p>
            <w:pPr>
              <w:spacing w:after="20"/>
            </w:pPr>
            <w:r>
              <w:rPr>
                <w:sz w:val="15"/>
              </w:rPr>
              <w:t>Rare under expected conditions</w:t>
            </w:r>
          </w:p>
        </w:tc>
        <w:tc>
          <w:tcPr>
            <w:tcW w:type="dxa" w:w="3408"/>
            <w:vAlign w:val="center"/>
          </w:tcPr>
          <w:p>
            <w:pPr>
              <w:spacing w:after="20"/>
            </w:pPr>
            <w:r>
              <w:rPr>
                <w:sz w:val="15"/>
              </w:rPr>
              <w:t>Negligible rework or short delay.</w:t>
            </w:r>
          </w:p>
        </w:tc>
      </w:tr>
      <w:tr>
        <w:trPr>
          <w:cantSplit/>
        </w:trPr>
        <w:tc>
          <w:tcPr>
            <w:tcW w:type="dxa" w:w="3408"/>
            <w:vAlign w:val="center"/>
          </w:tcPr>
          <w:p>
            <w:pPr>
              <w:spacing w:after="20"/>
            </w:pPr>
            <w:r>
              <w:rPr>
                <w:sz w:val="15"/>
              </w:rPr>
              <w:t>2</w:t>
            </w:r>
          </w:p>
        </w:tc>
        <w:tc>
          <w:tcPr>
            <w:tcW w:type="dxa" w:w="3408"/>
            <w:vAlign w:val="center"/>
          </w:tcPr>
          <w:p>
            <w:pPr>
              <w:spacing w:after="20"/>
            </w:pPr>
            <w:r>
              <w:rPr>
                <w:sz w:val="15"/>
              </w:rPr>
              <w:t>Unlikely but plausible</w:t>
            </w:r>
          </w:p>
        </w:tc>
        <w:tc>
          <w:tcPr>
            <w:tcW w:type="dxa" w:w="3408"/>
            <w:vAlign w:val="center"/>
          </w:tcPr>
          <w:p>
            <w:pPr>
              <w:spacing w:after="20"/>
            </w:pPr>
            <w:r>
              <w:rPr>
                <w:sz w:val="15"/>
              </w:rPr>
              <w:t>Minor localized quality or workflow disruption.</w:t>
            </w:r>
          </w:p>
        </w:tc>
      </w:tr>
      <w:tr>
        <w:trPr>
          <w:cantSplit/>
        </w:trPr>
        <w:tc>
          <w:tcPr>
            <w:tcW w:type="dxa" w:w="3408"/>
            <w:vAlign w:val="center"/>
          </w:tcPr>
          <w:p>
            <w:pPr>
              <w:spacing w:after="20"/>
            </w:pPr>
            <w:r>
              <w:rPr>
                <w:sz w:val="15"/>
              </w:rPr>
              <w:t>3</w:t>
            </w:r>
          </w:p>
        </w:tc>
        <w:tc>
          <w:tcPr>
            <w:tcW w:type="dxa" w:w="3408"/>
            <w:vAlign w:val="center"/>
          </w:tcPr>
          <w:p>
            <w:pPr>
              <w:spacing w:after="20"/>
            </w:pPr>
            <w:r>
              <w:rPr>
                <w:sz w:val="15"/>
              </w:rPr>
              <w:t>Possible or seen in comparable processes</w:t>
            </w:r>
          </w:p>
        </w:tc>
        <w:tc>
          <w:tcPr>
            <w:tcW w:type="dxa" w:w="3408"/>
            <w:vAlign w:val="center"/>
          </w:tcPr>
          <w:p>
            <w:pPr>
              <w:spacing w:after="20"/>
            </w:pPr>
            <w:r>
              <w:rPr>
                <w:sz w:val="15"/>
              </w:rPr>
              <w:t>Material rework, hold, waste, or repeated investigation.</w:t>
            </w:r>
          </w:p>
        </w:tc>
      </w:tr>
      <w:tr>
        <w:trPr>
          <w:cantSplit/>
        </w:trPr>
        <w:tc>
          <w:tcPr>
            <w:tcW w:type="dxa" w:w="3408"/>
            <w:vAlign w:val="center"/>
          </w:tcPr>
          <w:p>
            <w:pPr>
              <w:spacing w:after="20"/>
            </w:pPr>
            <w:r>
              <w:rPr>
                <w:sz w:val="15"/>
              </w:rPr>
              <w:t>4</w:t>
            </w:r>
          </w:p>
        </w:tc>
        <w:tc>
          <w:tcPr>
            <w:tcW w:type="dxa" w:w="3408"/>
            <w:vAlign w:val="center"/>
          </w:tcPr>
          <w:p>
            <w:pPr>
              <w:spacing w:after="20"/>
            </w:pPr>
            <w:r>
              <w:rPr>
                <w:sz w:val="15"/>
              </w:rPr>
              <w:t>Likely under some conditions</w:t>
            </w:r>
          </w:p>
        </w:tc>
        <w:tc>
          <w:tcPr>
            <w:tcW w:type="dxa" w:w="3408"/>
            <w:vAlign w:val="center"/>
          </w:tcPr>
          <w:p>
            <w:pPr>
              <w:spacing w:after="20"/>
            </w:pPr>
            <w:r>
              <w:rPr>
                <w:sz w:val="15"/>
              </w:rPr>
              <w:t>Major batch, customer, compliance, or production impact.</w:t>
            </w:r>
          </w:p>
        </w:tc>
      </w:tr>
      <w:tr>
        <w:trPr>
          <w:cantSplit/>
        </w:trPr>
        <w:tc>
          <w:tcPr>
            <w:tcW w:type="dxa" w:w="3408"/>
            <w:vAlign w:val="center"/>
          </w:tcPr>
          <w:p>
            <w:pPr>
              <w:spacing w:after="20"/>
            </w:pPr>
            <w:r>
              <w:rPr>
                <w:sz w:val="15"/>
              </w:rPr>
              <w:t>5</w:t>
            </w:r>
          </w:p>
        </w:tc>
        <w:tc>
          <w:tcPr>
            <w:tcW w:type="dxa" w:w="3408"/>
            <w:vAlign w:val="center"/>
          </w:tcPr>
          <w:p>
            <w:pPr>
              <w:spacing w:after="20"/>
            </w:pPr>
            <w:r>
              <w:rPr>
                <w:sz w:val="15"/>
              </w:rPr>
              <w:t>Expected/recurrent without controls</w:t>
            </w:r>
          </w:p>
        </w:tc>
        <w:tc>
          <w:tcPr>
            <w:tcW w:type="dxa" w:w="3408"/>
            <w:vAlign w:val="center"/>
          </w:tcPr>
          <w:p>
            <w:pPr>
              <w:spacing w:after="20"/>
            </w:pPr>
            <w:r>
              <w:rPr>
                <w:sz w:val="15"/>
              </w:rPr>
              <w:t>Potential serious consumer, product, or business consequence; safety assessed separately.</w:t>
            </w:r>
          </w:p>
        </w:tc>
      </w:tr>
    </w:tbl>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7365D"/>
          </w:tcPr>
          <w:p>
            <w:r>
              <w:rPr>
                <w:b/>
                <w:color w:val="FFFFFF"/>
                <w:sz w:val="15"/>
              </w:rPr>
              <w:t>Score band</w:t>
            </w:r>
          </w:p>
        </w:tc>
        <w:tc>
          <w:tcPr>
            <w:tcW w:type="dxa" w:w="3408"/>
            <w:shd w:fill="17365D"/>
          </w:tcPr>
          <w:p>
            <w:r>
              <w:rPr>
                <w:b/>
                <w:color w:val="FFFFFF"/>
                <w:sz w:val="15"/>
              </w:rPr>
              <w:t>Rating</w:t>
            </w:r>
          </w:p>
        </w:tc>
        <w:tc>
          <w:tcPr>
            <w:tcW w:type="dxa" w:w="3408"/>
            <w:shd w:fill="17365D"/>
          </w:tcPr>
          <w:p>
            <w:r>
              <w:rPr>
                <w:b/>
                <w:color w:val="FFFFFF"/>
                <w:sz w:val="15"/>
              </w:rPr>
              <w:t>Required response</w:t>
            </w:r>
          </w:p>
        </w:tc>
      </w:tr>
      <w:tr>
        <w:trPr>
          <w:cantSplit/>
        </w:trPr>
        <w:tc>
          <w:tcPr>
            <w:tcW w:type="dxa" w:w="3408"/>
            <w:vAlign w:val="center"/>
          </w:tcPr>
          <w:p>
            <w:pPr>
              <w:spacing w:after="20"/>
            </w:pPr>
            <w:r>
              <w:rPr>
                <w:sz w:val="15"/>
              </w:rPr>
              <w:t>1–4</w:t>
            </w:r>
          </w:p>
        </w:tc>
        <w:tc>
          <w:tcPr>
            <w:tcW w:type="dxa" w:w="3408"/>
            <w:vAlign w:val="center"/>
          </w:tcPr>
          <w:p>
            <w:pPr>
              <w:spacing w:after="20"/>
            </w:pPr>
            <w:r>
              <w:rPr>
                <w:sz w:val="15"/>
              </w:rPr>
              <w:t>Low</w:t>
            </w:r>
          </w:p>
        </w:tc>
        <w:tc>
          <w:tcPr>
            <w:tcW w:type="dxa" w:w="3408"/>
            <w:vAlign w:val="center"/>
          </w:tcPr>
          <w:p>
            <w:pPr>
              <w:spacing w:after="20"/>
            </w:pPr>
            <w:r>
              <w:rPr>
                <w:sz w:val="15"/>
              </w:rPr>
              <w:t>Routine controls; owner confirms they remain effective.</w:t>
            </w:r>
          </w:p>
        </w:tc>
      </w:tr>
      <w:tr>
        <w:trPr>
          <w:cantSplit/>
        </w:trPr>
        <w:tc>
          <w:tcPr>
            <w:tcW w:type="dxa" w:w="3408"/>
            <w:vAlign w:val="center"/>
          </w:tcPr>
          <w:p>
            <w:pPr>
              <w:spacing w:after="20"/>
            </w:pPr>
            <w:r>
              <w:rPr>
                <w:sz w:val="15"/>
              </w:rPr>
              <w:t>5–9</w:t>
            </w:r>
          </w:p>
        </w:tc>
        <w:tc>
          <w:tcPr>
            <w:tcW w:type="dxa" w:w="3408"/>
            <w:vAlign w:val="center"/>
          </w:tcPr>
          <w:p>
            <w:pPr>
              <w:spacing w:after="20"/>
            </w:pPr>
            <w:r>
              <w:rPr>
                <w:sz w:val="15"/>
              </w:rPr>
              <w:t>Moderate</w:t>
            </w:r>
          </w:p>
        </w:tc>
        <w:tc>
          <w:tcPr>
            <w:tcW w:type="dxa" w:w="3408"/>
            <w:vAlign w:val="center"/>
          </w:tcPr>
          <w:p>
            <w:pPr>
              <w:spacing w:after="20"/>
            </w:pPr>
            <w:r>
              <w:rPr>
                <w:sz w:val="15"/>
              </w:rPr>
              <w:t>Document mitigation and monitor the trigger.</w:t>
            </w:r>
          </w:p>
        </w:tc>
      </w:tr>
      <w:tr>
        <w:trPr>
          <w:cantSplit/>
        </w:trPr>
        <w:tc>
          <w:tcPr>
            <w:tcW w:type="dxa" w:w="3408"/>
            <w:vAlign w:val="center"/>
          </w:tcPr>
          <w:p>
            <w:pPr>
              <w:spacing w:after="20"/>
            </w:pPr>
            <w:r>
              <w:rPr>
                <w:sz w:val="15"/>
              </w:rPr>
              <w:t>10–16</w:t>
            </w:r>
          </w:p>
        </w:tc>
        <w:tc>
          <w:tcPr>
            <w:tcW w:type="dxa" w:w="3408"/>
            <w:vAlign w:val="center"/>
          </w:tcPr>
          <w:p>
            <w:pPr>
              <w:spacing w:after="20"/>
            </w:pPr>
            <w:r>
              <w:rPr>
                <w:sz w:val="15"/>
              </w:rPr>
              <w:t>High</w:t>
            </w:r>
          </w:p>
        </w:tc>
        <w:tc>
          <w:tcPr>
            <w:tcW w:type="dxa" w:w="3408"/>
            <w:vAlign w:val="center"/>
          </w:tcPr>
          <w:p>
            <w:pPr>
              <w:spacing w:after="20"/>
            </w:pPr>
            <w:r>
              <w:rPr>
                <w:sz w:val="15"/>
              </w:rPr>
              <w:t>Mitigate before pilot; quality/process approval required.</w:t>
            </w:r>
          </w:p>
        </w:tc>
      </w:tr>
      <w:tr>
        <w:trPr>
          <w:cantSplit/>
        </w:trPr>
        <w:tc>
          <w:tcPr>
            <w:tcW w:type="dxa" w:w="3408"/>
            <w:vAlign w:val="center"/>
          </w:tcPr>
          <w:p>
            <w:pPr>
              <w:spacing w:after="20"/>
            </w:pPr>
            <w:r>
              <w:rPr>
                <w:sz w:val="15"/>
              </w:rPr>
              <w:t>17–25</w:t>
            </w:r>
          </w:p>
        </w:tc>
        <w:tc>
          <w:tcPr>
            <w:tcW w:type="dxa" w:w="3408"/>
            <w:vAlign w:val="center"/>
          </w:tcPr>
          <w:p>
            <w:pPr>
              <w:spacing w:after="20"/>
            </w:pPr>
            <w:r>
              <w:rPr>
                <w:sz w:val="15"/>
              </w:rPr>
              <w:t>Critical</w:t>
            </w:r>
          </w:p>
        </w:tc>
        <w:tc>
          <w:tcPr>
            <w:tcW w:type="dxa" w:w="3408"/>
            <w:vAlign w:val="center"/>
          </w:tcPr>
          <w:p>
            <w:pPr>
              <w:spacing w:after="20"/>
            </w:pPr>
            <w:r>
              <w:rPr>
                <w:sz w:val="15"/>
              </w:rPr>
              <w:t>Do not proceed until addressed and independently reviewed.</w:t>
            </w:r>
          </w:p>
        </w:tc>
      </w:tr>
    </w:tbl>
    <w:p/>
    <w:p>
      <w:pPr>
        <w:pStyle w:val="Heading1"/>
      </w:pPr>
      <w:r>
        <w:t>8. Risk register and controls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cantSplit/>
        </w:trPr>
        <w:tc>
          <w:tcPr>
            <w:tcW w:type="dxa" w:w="2045"/>
            <w:shd w:fill="17365D"/>
          </w:tcPr>
          <w:p>
            <w:r>
              <w:rPr>
                <w:b/>
                <w:color w:val="FFFFFF"/>
                <w:sz w:val="12"/>
              </w:rPr>
              <w:t>Risk / failure mode</w:t>
            </w:r>
          </w:p>
        </w:tc>
        <w:tc>
          <w:tcPr>
            <w:tcW w:type="dxa" w:w="2045"/>
            <w:shd w:fill="17365D"/>
          </w:tcPr>
          <w:p>
            <w:r>
              <w:rPr>
                <w:b/>
                <w:color w:val="FFFFFF"/>
                <w:sz w:val="12"/>
              </w:rPr>
              <w:t>Real-world effect</w:t>
            </w:r>
          </w:p>
        </w:tc>
        <w:tc>
          <w:tcPr>
            <w:tcW w:type="dxa" w:w="2045"/>
            <w:shd w:fill="17365D"/>
          </w:tcPr>
          <w:p>
            <w:r>
              <w:rPr>
                <w:b/>
                <w:color w:val="FFFFFF"/>
                <w:sz w:val="12"/>
              </w:rPr>
              <w:t>Initial score</w:t>
            </w:r>
          </w:p>
        </w:tc>
        <w:tc>
          <w:tcPr>
            <w:tcW w:type="dxa" w:w="2045"/>
            <w:shd w:fill="17365D"/>
          </w:tcPr>
          <w:p>
            <w:r>
              <w:rPr>
                <w:b/>
                <w:color w:val="FFFFFF"/>
                <w:sz w:val="12"/>
              </w:rPr>
              <w:t>Mitigation and evidence</w:t>
            </w:r>
          </w:p>
        </w:tc>
        <w:tc>
          <w:tcPr>
            <w:tcW w:type="dxa" w:w="2045"/>
            <w:shd w:fill="17365D"/>
          </w:tcPr>
          <w:p>
            <w:r>
              <w:rPr>
                <w:b/>
                <w:color w:val="FFFFFF"/>
                <w:sz w:val="12"/>
              </w:rPr>
              <w:t>Residual target</w:t>
            </w:r>
          </w:p>
        </w:tc>
      </w:tr>
      <w:tr>
        <w:trPr>
          <w:cantSplit/>
        </w:trPr>
        <w:tc>
          <w:tcPr>
            <w:tcW w:type="dxa" w:w="2045"/>
            <w:vAlign w:val="center"/>
          </w:tcPr>
          <w:p>
            <w:pPr>
              <w:spacing w:after="20"/>
            </w:pPr>
            <w:r>
              <w:rPr>
                <w:sz w:val="12"/>
              </w:rPr>
              <w:t>Target leakage / invalid as-of timing</w:t>
            </w:r>
          </w:p>
        </w:tc>
        <w:tc>
          <w:tcPr>
            <w:tcW w:type="dxa" w:w="2045"/>
            <w:vAlign w:val="center"/>
          </w:tcPr>
          <w:p>
            <w:pPr>
              <w:spacing w:after="20"/>
            </w:pPr>
            <w:r>
              <w:rPr>
                <w:sz w:val="12"/>
              </w:rPr>
              <w:t>Inflated scores; failure at checkpoint.</w:t>
            </w:r>
          </w:p>
        </w:tc>
        <w:tc>
          <w:tcPr>
            <w:tcW w:type="dxa" w:w="2045"/>
            <w:vAlign w:val="center"/>
          </w:tcPr>
          <w:p>
            <w:pPr>
              <w:spacing w:after="20"/>
            </w:pPr>
            <w:r>
              <w:rPr>
                <w:sz w:val="12"/>
              </w:rPr>
              <w:t>4×5 = 20 Critical</w:t>
            </w:r>
          </w:p>
        </w:tc>
        <w:tc>
          <w:tcPr>
            <w:tcW w:type="dxa" w:w="2045"/>
            <w:vAlign w:val="center"/>
          </w:tcPr>
          <w:p>
            <w:pPr>
              <w:spacing w:after="20"/>
            </w:pPr>
            <w:r>
              <w:rPr>
                <w:sz w:val="12"/>
              </w:rPr>
              <w:t>Timestamp/source audit; availability register; cutoff assertions; independent review.</w:t>
            </w:r>
          </w:p>
        </w:tc>
        <w:tc>
          <w:tcPr>
            <w:tcW w:type="dxa" w:w="2045"/>
            <w:vAlign w:val="center"/>
          </w:tcPr>
          <w:p>
            <w:pPr>
              <w:spacing w:after="20"/>
            </w:pPr>
            <w:r>
              <w:rPr>
                <w:sz w:val="12"/>
              </w:rPr>
              <w:t>2×4 = 8 Moderate</w:t>
            </w:r>
          </w:p>
        </w:tc>
      </w:tr>
      <w:tr>
        <w:trPr>
          <w:cantSplit/>
        </w:trPr>
        <w:tc>
          <w:tcPr>
            <w:tcW w:type="dxa" w:w="2045"/>
            <w:vAlign w:val="center"/>
          </w:tcPr>
          <w:p>
            <w:pPr>
              <w:spacing w:after="20"/>
            </w:pPr>
            <w:r>
              <w:rPr>
                <w:sz w:val="12"/>
              </w:rPr>
              <w:t>Overfitting / selection bias</w:t>
            </w:r>
          </w:p>
        </w:tc>
        <w:tc>
          <w:tcPr>
            <w:tcW w:type="dxa" w:w="2045"/>
            <w:vAlign w:val="center"/>
          </w:tcPr>
          <w:p>
            <w:pPr>
              <w:spacing w:after="20"/>
            </w:pPr>
            <w:r>
              <w:rPr>
                <w:sz w:val="12"/>
              </w:rPr>
              <w:t>Unstable future batches, recipes, or lines.</w:t>
            </w:r>
          </w:p>
        </w:tc>
        <w:tc>
          <w:tcPr>
            <w:tcW w:type="dxa" w:w="2045"/>
            <w:vAlign w:val="center"/>
          </w:tcPr>
          <w:p>
            <w:pPr>
              <w:spacing w:after="20"/>
            </w:pPr>
            <w:r>
              <w:rPr>
                <w:sz w:val="12"/>
              </w:rPr>
              <w:t>4×4 = 16 High</w:t>
            </w:r>
          </w:p>
        </w:tc>
        <w:tc>
          <w:tcPr>
            <w:tcW w:type="dxa" w:w="2045"/>
            <w:vAlign w:val="center"/>
          </w:tcPr>
          <w:p>
            <w:pPr>
              <w:spacing w:after="20"/>
            </w:pPr>
            <w:r>
              <w:rPr>
                <w:sz w:val="12"/>
              </w:rPr>
              <w:t>Baselines, regularization, grouped/nested validation, locked temporal test, limited tuning.</w:t>
            </w:r>
          </w:p>
        </w:tc>
        <w:tc>
          <w:tcPr>
            <w:tcW w:type="dxa" w:w="2045"/>
            <w:vAlign w:val="center"/>
          </w:tcPr>
          <w:p>
            <w:pPr>
              <w:spacing w:after="20"/>
            </w:pPr>
            <w:r>
              <w:rPr>
                <w:sz w:val="12"/>
              </w:rPr>
              <w:t>2×3 = 6 Moderate</w:t>
            </w:r>
          </w:p>
        </w:tc>
      </w:tr>
      <w:tr>
        <w:trPr>
          <w:cantSplit/>
        </w:trPr>
        <w:tc>
          <w:tcPr>
            <w:tcW w:type="dxa" w:w="2045"/>
            <w:vAlign w:val="center"/>
          </w:tcPr>
          <w:p>
            <w:pPr>
              <w:spacing w:after="20"/>
            </w:pPr>
            <w:r>
              <w:rPr>
                <w:sz w:val="12"/>
              </w:rPr>
              <w:t>Process, recipe, or spec drift</w:t>
            </w:r>
          </w:p>
        </w:tc>
        <w:tc>
          <w:tcPr>
            <w:tcW w:type="dxa" w:w="2045"/>
            <w:vAlign w:val="center"/>
          </w:tcPr>
          <w:p>
            <w:pPr>
              <w:spacing w:after="20"/>
            </w:pPr>
            <w:r>
              <w:rPr>
                <w:sz w:val="12"/>
              </w:rPr>
              <w:t>Calibration and recall degrade after change.</w:t>
            </w:r>
          </w:p>
        </w:tc>
        <w:tc>
          <w:tcPr>
            <w:tcW w:type="dxa" w:w="2045"/>
            <w:vAlign w:val="center"/>
          </w:tcPr>
          <w:p>
            <w:pPr>
              <w:spacing w:after="20"/>
            </w:pPr>
            <w:r>
              <w:rPr>
                <w:sz w:val="12"/>
              </w:rPr>
              <w:t>4×4 = 16 High</w:t>
            </w:r>
          </w:p>
        </w:tc>
        <w:tc>
          <w:tcPr>
            <w:tcW w:type="dxa" w:w="2045"/>
            <w:vAlign w:val="center"/>
          </w:tcPr>
          <w:p>
            <w:pPr>
              <w:spacing w:after="20"/>
            </w:pPr>
            <w:r>
              <w:rPr>
                <w:sz w:val="12"/>
              </w:rPr>
              <w:t>Monitor features, labels, versions, calibration; event-triggered review; suspend on unapproved change.</w:t>
            </w:r>
          </w:p>
        </w:tc>
        <w:tc>
          <w:tcPr>
            <w:tcW w:type="dxa" w:w="2045"/>
            <w:vAlign w:val="center"/>
          </w:tcPr>
          <w:p>
            <w:pPr>
              <w:spacing w:after="20"/>
            </w:pPr>
            <w:r>
              <w:rPr>
                <w:sz w:val="12"/>
              </w:rPr>
              <w:t>2×4 = 8 Moderate</w:t>
            </w:r>
          </w:p>
        </w:tc>
      </w:tr>
      <w:tr>
        <w:trPr>
          <w:cantSplit/>
        </w:trPr>
        <w:tc>
          <w:tcPr>
            <w:tcW w:type="dxa" w:w="2045"/>
            <w:vAlign w:val="center"/>
          </w:tcPr>
          <w:p>
            <w:pPr>
              <w:spacing w:after="20"/>
            </w:pPr>
            <w:r>
              <w:rPr>
                <w:sz w:val="12"/>
              </w:rPr>
              <w:t>False negatives</w:t>
            </w:r>
          </w:p>
        </w:tc>
        <w:tc>
          <w:tcPr>
            <w:tcW w:type="dxa" w:w="2045"/>
            <w:vAlign w:val="center"/>
          </w:tcPr>
          <w:p>
            <w:pPr>
              <w:spacing w:after="20"/>
            </w:pPr>
            <w:r>
              <w:rPr>
                <w:sz w:val="12"/>
              </w:rPr>
              <w:t>Nonconforming batch not referred; quality/customer impact.</w:t>
            </w:r>
          </w:p>
        </w:tc>
        <w:tc>
          <w:tcPr>
            <w:tcW w:type="dxa" w:w="2045"/>
            <w:vAlign w:val="center"/>
          </w:tcPr>
          <w:p>
            <w:pPr>
              <w:spacing w:after="20"/>
            </w:pPr>
            <w:r>
              <w:rPr>
                <w:sz w:val="12"/>
              </w:rPr>
              <w:t>3×5 = 15 High</w:t>
            </w:r>
          </w:p>
        </w:tc>
        <w:tc>
          <w:tcPr>
            <w:tcW w:type="dxa" w:w="2045"/>
            <w:vAlign w:val="center"/>
          </w:tcPr>
          <w:p>
            <w:pPr>
              <w:spacing w:after="20"/>
            </w:pPr>
            <w:r>
              <w:rPr>
                <w:sz w:val="12"/>
              </w:rPr>
              <w:t>Owner-set recall target; review threshold; existing controls continue; audit misses; no release authority.</w:t>
            </w:r>
          </w:p>
        </w:tc>
        <w:tc>
          <w:tcPr>
            <w:tcW w:type="dxa" w:w="2045"/>
            <w:vAlign w:val="center"/>
          </w:tcPr>
          <w:p>
            <w:pPr>
              <w:spacing w:after="20"/>
            </w:pPr>
            <w:r>
              <w:rPr>
                <w:sz w:val="12"/>
              </w:rPr>
              <w:t>2×5 = 10 High</w:t>
            </w:r>
          </w:p>
        </w:tc>
      </w:tr>
      <w:tr>
        <w:trPr>
          <w:cantSplit/>
        </w:trPr>
        <w:tc>
          <w:tcPr>
            <w:tcW w:type="dxa" w:w="2045"/>
            <w:vAlign w:val="center"/>
          </w:tcPr>
          <w:p>
            <w:pPr>
              <w:spacing w:after="20"/>
            </w:pPr>
            <w:r>
              <w:rPr>
                <w:sz w:val="12"/>
              </w:rPr>
              <w:t>False positives / overload</w:t>
            </w:r>
          </w:p>
        </w:tc>
        <w:tc>
          <w:tcPr>
            <w:tcW w:type="dxa" w:w="2045"/>
            <w:vAlign w:val="center"/>
          </w:tcPr>
          <w:p>
            <w:pPr>
              <w:spacing w:after="20"/>
            </w:pPr>
            <w:r>
              <w:rPr>
                <w:sz w:val="12"/>
              </w:rPr>
              <w:t>Unnecessary reviews/holds, delay, waste, alert fatigue.</w:t>
            </w:r>
          </w:p>
        </w:tc>
        <w:tc>
          <w:tcPr>
            <w:tcW w:type="dxa" w:w="2045"/>
            <w:vAlign w:val="center"/>
          </w:tcPr>
          <w:p>
            <w:pPr>
              <w:spacing w:after="20"/>
            </w:pPr>
            <w:r>
              <w:rPr>
                <w:sz w:val="12"/>
              </w:rPr>
              <w:t>4×3 = 12 High</w:t>
            </w:r>
          </w:p>
        </w:tc>
        <w:tc>
          <w:tcPr>
            <w:tcW w:type="dxa" w:w="2045"/>
            <w:vAlign w:val="center"/>
          </w:tcPr>
          <w:p>
            <w:pPr>
              <w:spacing w:after="20"/>
            </w:pPr>
            <w:r>
              <w:rPr>
                <w:sz w:val="12"/>
              </w:rPr>
              <w:t>Track alert volume/precision; capacity-based threshold; disposition logging and human triage.</w:t>
            </w:r>
          </w:p>
        </w:tc>
        <w:tc>
          <w:tcPr>
            <w:tcW w:type="dxa" w:w="2045"/>
            <w:vAlign w:val="center"/>
          </w:tcPr>
          <w:p>
            <w:pPr>
              <w:spacing w:after="20"/>
            </w:pPr>
            <w:r>
              <w:rPr>
                <w:sz w:val="12"/>
              </w:rPr>
              <w:t>2×3 = 6 Moderate</w:t>
            </w:r>
          </w:p>
        </w:tc>
      </w:tr>
      <w:tr>
        <w:trPr>
          <w:cantSplit/>
        </w:trPr>
        <w:tc>
          <w:tcPr>
            <w:tcW w:type="dxa" w:w="2045"/>
            <w:vAlign w:val="center"/>
          </w:tcPr>
          <w:p>
            <w:pPr>
              <w:spacing w:after="20"/>
            </w:pPr>
            <w:r>
              <w:rPr>
                <w:sz w:val="12"/>
              </w:rPr>
              <w:t>Poor labels / lab variation</w:t>
            </w:r>
          </w:p>
        </w:tc>
        <w:tc>
          <w:tcPr>
            <w:tcW w:type="dxa" w:w="2045"/>
            <w:vAlign w:val="center"/>
          </w:tcPr>
          <w:p>
            <w:pPr>
              <w:spacing w:after="20"/>
            </w:pPr>
            <w:r>
              <w:rPr>
                <w:sz w:val="12"/>
              </w:rPr>
              <w:t>Model reflects inconsistent testing or retest process.</w:t>
            </w:r>
          </w:p>
        </w:tc>
        <w:tc>
          <w:tcPr>
            <w:tcW w:type="dxa" w:w="2045"/>
            <w:vAlign w:val="center"/>
          </w:tcPr>
          <w:p>
            <w:pPr>
              <w:spacing w:after="20"/>
            </w:pPr>
            <w:r>
              <w:rPr>
                <w:sz w:val="12"/>
              </w:rPr>
              <w:t>3×4 = 12 High</w:t>
            </w:r>
          </w:p>
        </w:tc>
        <w:tc>
          <w:tcPr>
            <w:tcW w:type="dxa" w:w="2045"/>
            <w:vAlign w:val="center"/>
          </w:tcPr>
          <w:p>
            <w:pPr>
              <w:spacing w:after="20"/>
            </w:pPr>
            <w:r>
              <w:rPr>
                <w:sz w:val="12"/>
              </w:rPr>
              <w:t>Method/retest review; version limits; reconcile links; quantify repeatability and label delays.</w:t>
            </w:r>
          </w:p>
        </w:tc>
        <w:tc>
          <w:tcPr>
            <w:tcW w:type="dxa" w:w="2045"/>
            <w:vAlign w:val="center"/>
          </w:tcPr>
          <w:p>
            <w:pPr>
              <w:spacing w:after="20"/>
            </w:pPr>
            <w:r>
              <w:rPr>
                <w:sz w:val="12"/>
              </w:rPr>
              <w:t>2×3 = 6 Moderate</w:t>
            </w:r>
          </w:p>
        </w:tc>
      </w:tr>
      <w:tr>
        <w:trPr>
          <w:cantSplit/>
        </w:trPr>
        <w:tc>
          <w:tcPr>
            <w:tcW w:type="dxa" w:w="2045"/>
            <w:vAlign w:val="center"/>
          </w:tcPr>
          <w:p>
            <w:pPr>
              <w:spacing w:after="20"/>
            </w:pPr>
            <w:r>
              <w:rPr>
                <w:sz w:val="12"/>
              </w:rPr>
              <w:t>Rare events / weak calibration</w:t>
            </w:r>
          </w:p>
        </w:tc>
        <w:tc>
          <w:tcPr>
            <w:tcW w:type="dxa" w:w="2045"/>
            <w:vAlign w:val="center"/>
          </w:tcPr>
          <w:p>
            <w:pPr>
              <w:spacing w:after="20"/>
            </w:pPr>
            <w:r>
              <w:rPr>
                <w:sz w:val="12"/>
              </w:rPr>
              <w:t>Unstable recall and misleading probabilities/subgroups.</w:t>
            </w:r>
          </w:p>
        </w:tc>
        <w:tc>
          <w:tcPr>
            <w:tcW w:type="dxa" w:w="2045"/>
            <w:vAlign w:val="center"/>
          </w:tcPr>
          <w:p>
            <w:pPr>
              <w:spacing w:after="20"/>
            </w:pPr>
            <w:r>
              <w:rPr>
                <w:sz w:val="12"/>
              </w:rPr>
              <w:t>4×4 = 16 High</w:t>
            </w:r>
          </w:p>
        </w:tc>
        <w:tc>
          <w:tcPr>
            <w:tcW w:type="dxa" w:w="2045"/>
            <w:vAlign w:val="center"/>
          </w:tcPr>
          <w:p>
            <w:pPr>
              <w:spacing w:after="20"/>
            </w:pPr>
            <w:r>
              <w:rPr>
                <w:sz w:val="12"/>
              </w:rPr>
              <w:t>Prevalence, PR-AUC, Brier, plots, intervals; gather more events; avoid unsupported claims.</w:t>
            </w:r>
          </w:p>
        </w:tc>
        <w:tc>
          <w:tcPr>
            <w:tcW w:type="dxa" w:w="2045"/>
            <w:vAlign w:val="center"/>
          </w:tcPr>
          <w:p>
            <w:pPr>
              <w:spacing w:after="20"/>
            </w:pPr>
            <w:r>
              <w:rPr>
                <w:sz w:val="12"/>
              </w:rPr>
              <w:t>3×3 = 9 Moderate</w:t>
            </w:r>
          </w:p>
        </w:tc>
      </w:tr>
      <w:tr>
        <w:trPr>
          <w:cantSplit/>
        </w:trPr>
        <w:tc>
          <w:tcPr>
            <w:tcW w:type="dxa" w:w="2045"/>
            <w:vAlign w:val="center"/>
          </w:tcPr>
          <w:p>
            <w:pPr>
              <w:spacing w:after="20"/>
            </w:pPr>
            <w:r>
              <w:rPr>
                <w:sz w:val="12"/>
              </w:rPr>
              <w:t>Batch, lot, or campaign dependence</w:t>
            </w:r>
          </w:p>
        </w:tc>
        <w:tc>
          <w:tcPr>
            <w:tcW w:type="dxa" w:w="2045"/>
            <w:vAlign w:val="center"/>
          </w:tcPr>
          <w:p>
            <w:pPr>
              <w:spacing w:after="20"/>
            </w:pPr>
            <w:r>
              <w:rPr>
                <w:sz w:val="12"/>
              </w:rPr>
              <w:t>Leakage and overconfident uncertainty.</w:t>
            </w:r>
          </w:p>
        </w:tc>
        <w:tc>
          <w:tcPr>
            <w:tcW w:type="dxa" w:w="2045"/>
            <w:vAlign w:val="center"/>
          </w:tcPr>
          <w:p>
            <w:pPr>
              <w:spacing w:after="20"/>
            </w:pPr>
            <w:r>
              <w:rPr>
                <w:sz w:val="12"/>
              </w:rPr>
              <w:t>4×4 = 16 High</w:t>
            </w:r>
          </w:p>
        </w:tc>
        <w:tc>
          <w:tcPr>
            <w:tcW w:type="dxa" w:w="2045"/>
            <w:vAlign w:val="center"/>
          </w:tcPr>
          <w:p>
            <w:pPr>
              <w:spacing w:after="20"/>
            </w:pPr>
            <w:r>
              <w:rPr>
                <w:sz w:val="12"/>
              </w:rPr>
              <w:t>Group splits, cluster bootstrap, leave-line/lot tests, independent group counts.</w:t>
            </w:r>
          </w:p>
        </w:tc>
        <w:tc>
          <w:tcPr>
            <w:tcW w:type="dxa" w:w="2045"/>
            <w:vAlign w:val="center"/>
          </w:tcPr>
          <w:p>
            <w:pPr>
              <w:spacing w:after="20"/>
            </w:pPr>
            <w:r>
              <w:rPr>
                <w:sz w:val="12"/>
              </w:rPr>
              <w:t>2×3 = 6 Moderate</w:t>
            </w:r>
          </w:p>
        </w:tc>
      </w:tr>
      <w:tr>
        <w:trPr>
          <w:cantSplit/>
        </w:trPr>
        <w:tc>
          <w:tcPr>
            <w:tcW w:type="dxa" w:w="2045"/>
            <w:vAlign w:val="center"/>
          </w:tcPr>
          <w:p>
            <w:pPr>
              <w:spacing w:after="20"/>
            </w:pPr>
            <w:r>
              <w:rPr>
                <w:sz w:val="12"/>
              </w:rPr>
              <w:t>Sensor faults, missingness, unit change</w:t>
            </w:r>
          </w:p>
        </w:tc>
        <w:tc>
          <w:tcPr>
            <w:tcW w:type="dxa" w:w="2045"/>
            <w:vAlign w:val="center"/>
          </w:tcPr>
          <w:p>
            <w:pPr>
              <w:spacing w:after="20"/>
            </w:pPr>
            <w:r>
              <w:rPr>
                <w:sz w:val="12"/>
              </w:rPr>
              <w:t>Misleading or unavailable inputs; silent degradation.</w:t>
            </w:r>
          </w:p>
        </w:tc>
        <w:tc>
          <w:tcPr>
            <w:tcW w:type="dxa" w:w="2045"/>
            <w:vAlign w:val="center"/>
          </w:tcPr>
          <w:p>
            <w:pPr>
              <w:spacing w:after="20"/>
            </w:pPr>
            <w:r>
              <w:rPr>
                <w:sz w:val="12"/>
              </w:rPr>
              <w:t>4×4 = 16 High</w:t>
            </w:r>
          </w:p>
        </w:tc>
        <w:tc>
          <w:tcPr>
            <w:tcW w:type="dxa" w:w="2045"/>
            <w:vAlign w:val="center"/>
          </w:tcPr>
          <w:p>
            <w:pPr>
              <w:spacing w:after="20"/>
            </w:pPr>
            <w:r>
              <w:rPr>
                <w:sz w:val="12"/>
              </w:rPr>
              <w:t>Schema/unit/range/health checks; coverage rule; fail to existing procedure on invalid input.</w:t>
            </w:r>
          </w:p>
        </w:tc>
        <w:tc>
          <w:tcPr>
            <w:tcW w:type="dxa" w:w="2045"/>
            <w:vAlign w:val="center"/>
          </w:tcPr>
          <w:p>
            <w:pPr>
              <w:spacing w:after="20"/>
            </w:pPr>
            <w:r>
              <w:rPr>
                <w:sz w:val="12"/>
              </w:rPr>
              <w:t>2×4 = 8 Moderate</w:t>
            </w:r>
          </w:p>
        </w:tc>
      </w:tr>
      <w:tr>
        <w:trPr>
          <w:cantSplit/>
        </w:trPr>
        <w:tc>
          <w:tcPr>
            <w:tcW w:type="dxa" w:w="2045"/>
            <w:vAlign w:val="center"/>
          </w:tcPr>
          <w:p>
            <w:pPr>
              <w:spacing w:after="20"/>
            </w:pPr>
            <w:r>
              <w:rPr>
                <w:sz w:val="12"/>
              </w:rPr>
              <w:t>Uneven subgroup performance</w:t>
            </w:r>
          </w:p>
        </w:tc>
        <w:tc>
          <w:tcPr>
            <w:tcW w:type="dxa" w:w="2045"/>
            <w:vAlign w:val="center"/>
          </w:tcPr>
          <w:p>
            <w:pPr>
              <w:spacing w:after="20"/>
            </w:pPr>
            <w:r>
              <w:rPr>
                <w:sz w:val="12"/>
              </w:rPr>
              <w:t>Some recipe, shift, or line gets unreliable alerts.</w:t>
            </w:r>
          </w:p>
        </w:tc>
        <w:tc>
          <w:tcPr>
            <w:tcW w:type="dxa" w:w="2045"/>
            <w:vAlign w:val="center"/>
          </w:tcPr>
          <w:p>
            <w:pPr>
              <w:spacing w:after="20"/>
            </w:pPr>
            <w:r>
              <w:rPr>
                <w:sz w:val="12"/>
              </w:rPr>
              <w:t>3×4 = 12 High</w:t>
            </w:r>
          </w:p>
        </w:tc>
        <w:tc>
          <w:tcPr>
            <w:tcW w:type="dxa" w:w="2045"/>
            <w:vAlign w:val="center"/>
          </w:tcPr>
          <w:p>
            <w:pPr>
              <w:spacing w:after="20"/>
            </w:pPr>
            <w:r>
              <w:rPr>
                <w:sz w:val="12"/>
              </w:rPr>
              <w:t>Pre-specified subgroup metrics/counts; process review; restrict scope if evidence is weak.</w:t>
            </w:r>
          </w:p>
        </w:tc>
        <w:tc>
          <w:tcPr>
            <w:tcW w:type="dxa" w:w="2045"/>
            <w:vAlign w:val="center"/>
          </w:tcPr>
          <w:p>
            <w:pPr>
              <w:spacing w:after="20"/>
            </w:pPr>
            <w:r>
              <w:rPr>
                <w:sz w:val="12"/>
              </w:rPr>
              <w:t>2×3 = 6 Moderate</w:t>
            </w:r>
          </w:p>
        </w:tc>
      </w:tr>
      <w:tr>
        <w:trPr>
          <w:cantSplit/>
        </w:trPr>
        <w:tc>
          <w:tcPr>
            <w:tcW w:type="dxa" w:w="2045"/>
            <w:vAlign w:val="center"/>
          </w:tcPr>
          <w:p>
            <w:pPr>
              <w:spacing w:after="20"/>
            </w:pPr>
            <w:r>
              <w:rPr>
                <w:sz w:val="12"/>
              </w:rPr>
              <w:t>Automation bias / unclear owner</w:t>
            </w:r>
          </w:p>
        </w:tc>
        <w:tc>
          <w:tcPr>
            <w:tcW w:type="dxa" w:w="2045"/>
            <w:vAlign w:val="center"/>
          </w:tcPr>
          <w:p>
            <w:pPr>
              <w:spacing w:after="20"/>
            </w:pPr>
            <w:r>
              <w:rPr>
                <w:sz w:val="12"/>
              </w:rPr>
              <w:t>Score treated as instruction; controls bypassed.</w:t>
            </w:r>
          </w:p>
        </w:tc>
        <w:tc>
          <w:tcPr>
            <w:tcW w:type="dxa" w:w="2045"/>
            <w:vAlign w:val="center"/>
          </w:tcPr>
          <w:p>
            <w:pPr>
              <w:spacing w:after="20"/>
            </w:pPr>
            <w:r>
              <w:rPr>
                <w:sz w:val="12"/>
              </w:rPr>
              <w:t>3×5 = 15 High</w:t>
            </w:r>
          </w:p>
        </w:tc>
        <w:tc>
          <w:tcPr>
            <w:tcW w:type="dxa" w:w="2045"/>
            <w:vAlign w:val="center"/>
          </w:tcPr>
          <w:p>
            <w:pPr>
              <w:spacing w:after="20"/>
            </w:pPr>
            <w:r>
              <w:rPr>
                <w:sz w:val="12"/>
              </w:rPr>
              <w:t>Shadow mode; named owner; user training; override logging; no release decision.</w:t>
            </w:r>
          </w:p>
        </w:tc>
        <w:tc>
          <w:tcPr>
            <w:tcW w:type="dxa" w:w="2045"/>
            <w:vAlign w:val="center"/>
          </w:tcPr>
          <w:p>
            <w:pPr>
              <w:spacing w:after="20"/>
            </w:pPr>
            <w:r>
              <w:rPr>
                <w:sz w:val="12"/>
              </w:rPr>
              <w:t>2×4 = 8 Moderate</w:t>
            </w:r>
          </w:p>
        </w:tc>
      </w:tr>
      <w:tr>
        <w:trPr>
          <w:cantSplit/>
        </w:trPr>
        <w:tc>
          <w:tcPr>
            <w:tcW w:type="dxa" w:w="2045"/>
            <w:vAlign w:val="center"/>
          </w:tcPr>
          <w:p>
            <w:pPr>
              <w:spacing w:after="20"/>
            </w:pPr>
            <w:r>
              <w:rPr>
                <w:sz w:val="12"/>
              </w:rPr>
              <w:t>Pipeline, access, or version failure</w:t>
            </w:r>
          </w:p>
        </w:tc>
        <w:tc>
          <w:tcPr>
            <w:tcW w:type="dxa" w:w="2045"/>
            <w:vAlign w:val="center"/>
          </w:tcPr>
          <w:p>
            <w:pPr>
              <w:spacing w:after="20"/>
            </w:pPr>
            <w:r>
              <w:rPr>
                <w:sz w:val="12"/>
              </w:rPr>
              <w:t>Stale/wrong model, lost audit trail, or data exposure.</w:t>
            </w:r>
          </w:p>
        </w:tc>
        <w:tc>
          <w:tcPr>
            <w:tcW w:type="dxa" w:w="2045"/>
            <w:vAlign w:val="center"/>
          </w:tcPr>
          <w:p>
            <w:pPr>
              <w:spacing w:after="20"/>
            </w:pPr>
            <w:r>
              <w:rPr>
                <w:sz w:val="12"/>
              </w:rPr>
              <w:t>2×5 = 10 High</w:t>
            </w:r>
          </w:p>
        </w:tc>
        <w:tc>
          <w:tcPr>
            <w:tcW w:type="dxa" w:w="2045"/>
            <w:vAlign w:val="center"/>
          </w:tcPr>
          <w:p>
            <w:pPr>
              <w:spacing w:after="20"/>
            </w:pPr>
            <w:r>
              <w:rPr>
                <w:sz w:val="12"/>
              </w:rPr>
              <w:t>Role-based access; approved storage; versioned artifacts; deployment/rollback test; incident plan.</w:t>
            </w:r>
          </w:p>
        </w:tc>
        <w:tc>
          <w:tcPr>
            <w:tcW w:type="dxa" w:w="2045"/>
            <w:vAlign w:val="center"/>
          </w:tcPr>
          <w:p>
            <w:pPr>
              <w:spacing w:after="20"/>
            </w:pPr>
            <w:r>
              <w:rPr>
                <w:sz w:val="12"/>
              </w:rPr>
              <w:t>1×5 = 5 Moderate</w:t>
            </w:r>
          </w:p>
        </w:tc>
      </w:tr>
    </w:tbl>
    <w:p/>
    <w:p>
      <w:r>
        <w:t>Residual values are targets conditional on controls being implemented and verified. Owners must reassess them using actual plant evidence. Any serious safety risk requires the site's qualified safety and quality process, not just this score.</w:t>
      </w:r>
    </w:p>
    <w:p>
      <w:pPr>
        <w:pStyle w:val="Heading1"/>
      </w:pPr>
      <w:r>
        <w:t>9. Mitigation, fail-safe, and monitoring</w:t>
      </w:r>
    </w:p>
    <w:p>
      <w:pPr>
        <w:pStyle w:val="Heading2"/>
      </w:pPr>
      <w:r>
        <w:t>Fail-safe behavior</w:t>
      </w:r>
    </w:p>
    <w:p>
      <w:pPr>
        <w:pStyle w:val="ListBullet"/>
      </w:pPr>
      <w:r>
        <w:t>If required inputs, schema, model artifact, or specification version are missing or invalid, do not emit a normal-looking score. Route to the approved existing quality procedure.</w:t>
      </w:r>
    </w:p>
    <w:p>
      <w:pPr>
        <w:pStyle w:val="ListBullet"/>
      </w:pPr>
      <w:r>
        <w:t>If data arrive after the checkpoint, mark the prediction unavailable; never silently substitute future data.</w:t>
      </w:r>
    </w:p>
    <w:p>
      <w:pPr>
        <w:pStyle w:val="ListBullet"/>
      </w:pPr>
      <w:r>
        <w:t>A score may trigger review only. Existing process controls, sampling, hold/release authority, and escalation remain in force.</w:t>
      </w:r>
    </w:p>
    <w:p>
      <w:pPr>
        <w:pStyle w:val="ListBullet"/>
      </w:pPr>
      <w:r>
        <w:t>Log input snapshot, model version, threshold, output, time, and human disposition; name owners for alerts, misses, and service incidents.</w:t>
      </w:r>
    </w:p>
    <w:p>
      <w:pPr>
        <w:pStyle w:val="ListBullet"/>
      </w:pPr>
      <w:r>
        <w:t>Define suspension and rollback before the pilot. Return to the documented non-model procedure if monitoring fails or scope is exceeded.</w:t>
      </w:r>
    </w:p>
    <w:p>
      <w:pPr>
        <w:pStyle w:val="Heading2"/>
      </w:pPr>
      <w:r>
        <w:t>Periodic re-evaluation schedule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7365D"/>
          </w:tcPr>
          <w:p>
            <w:r>
              <w:rPr>
                <w:b/>
                <w:color w:val="FFFFFF"/>
                <w:sz w:val="14"/>
              </w:rPr>
              <w:t>Frequency / trigger</w:t>
            </w:r>
          </w:p>
        </w:tc>
        <w:tc>
          <w:tcPr>
            <w:tcW w:type="dxa" w:w="3408"/>
            <w:shd w:fill="17365D"/>
          </w:tcPr>
          <w:p>
            <w:r>
              <w:rPr>
                <w:b/>
                <w:color w:val="FFFFFF"/>
                <w:sz w:val="14"/>
              </w:rPr>
              <w:t>Checks</w:t>
            </w:r>
          </w:p>
        </w:tc>
        <w:tc>
          <w:tcPr>
            <w:tcW w:type="dxa" w:w="3408"/>
            <w:shd w:fill="17365D"/>
          </w:tcPr>
          <w:p>
            <w:r>
              <w:rPr>
                <w:b/>
                <w:color w:val="FFFFFF"/>
                <w:sz w:val="14"/>
              </w:rPr>
              <w:t>Action / owner</w:t>
            </w:r>
          </w:p>
        </w:tc>
      </w:tr>
      <w:tr>
        <w:trPr>
          <w:cantSplit/>
        </w:trPr>
        <w:tc>
          <w:tcPr>
            <w:tcW w:type="dxa" w:w="3408"/>
            <w:vAlign w:val="center"/>
          </w:tcPr>
          <w:p>
            <w:pPr>
              <w:spacing w:after="20"/>
            </w:pPr>
            <w:r>
              <w:rPr>
                <w:sz w:val="14"/>
              </w:rPr>
              <w:t>Every prediction</w:t>
            </w:r>
          </w:p>
        </w:tc>
        <w:tc>
          <w:tcPr>
            <w:tcW w:type="dxa" w:w="3408"/>
            <w:vAlign w:val="center"/>
          </w:tcPr>
          <w:p>
            <w:pPr>
              <w:spacing w:after="20"/>
            </w:pPr>
            <w:r>
              <w:rPr>
                <w:sz w:val="14"/>
              </w:rPr>
              <w:t>Schema, units, missingness, range, sensor health, cutoff, version, availability.</w:t>
            </w:r>
          </w:p>
        </w:tc>
        <w:tc>
          <w:tcPr>
            <w:tcW w:type="dxa" w:w="3408"/>
            <w:vAlign w:val="center"/>
          </w:tcPr>
          <w:p>
            <w:pPr>
              <w:spacing w:after="20"/>
            </w:pPr>
            <w:r>
              <w:rPr>
                <w:sz w:val="14"/>
              </w:rPr>
              <w:t>Block invalid score; use existing procedure. Data/platform owner.</w:t>
            </w:r>
          </w:p>
        </w:tc>
      </w:tr>
      <w:tr>
        <w:trPr>
          <w:cantSplit/>
        </w:trPr>
        <w:tc>
          <w:tcPr>
            <w:tcW w:type="dxa" w:w="3408"/>
            <w:vAlign w:val="center"/>
          </w:tcPr>
          <w:p>
            <w:pPr>
              <w:spacing w:after="20"/>
            </w:pPr>
            <w:r>
              <w:rPr>
                <w:sz w:val="14"/>
              </w:rPr>
              <w:t>Weekly in shadow</w:t>
            </w:r>
          </w:p>
        </w:tc>
        <w:tc>
          <w:tcPr>
            <w:tcW w:type="dxa" w:w="3408"/>
            <w:vAlign w:val="center"/>
          </w:tcPr>
          <w:p>
            <w:pPr>
              <w:spacing w:after="20"/>
            </w:pPr>
            <w:r>
              <w:rPr>
                <w:sz w:val="14"/>
              </w:rPr>
              <w:t>Latency, coverage, alert volume, review completion, exceptions.</w:t>
            </w:r>
          </w:p>
        </w:tc>
        <w:tc>
          <w:tcPr>
            <w:tcW w:type="dxa" w:w="3408"/>
            <w:vAlign w:val="center"/>
          </w:tcPr>
          <w:p>
            <w:pPr>
              <w:spacing w:after="20"/>
            </w:pPr>
            <w:r>
              <w:rPr>
                <w:sz w:val="14"/>
              </w:rPr>
              <w:t>Resolve workflow issues; do not tune locked test. Operations/data.</w:t>
            </w:r>
          </w:p>
        </w:tc>
      </w:tr>
      <w:tr>
        <w:trPr>
          <w:cantSplit/>
        </w:trPr>
        <w:tc>
          <w:tcPr>
            <w:tcW w:type="dxa" w:w="3408"/>
            <w:vAlign w:val="center"/>
          </w:tcPr>
          <w:p>
            <w:pPr>
              <w:spacing w:after="20"/>
            </w:pPr>
            <w:r>
              <w:rPr>
                <w:sz w:val="14"/>
              </w:rPr>
              <w:t>Monthly or each 500 batches</w:t>
            </w:r>
          </w:p>
        </w:tc>
        <w:tc>
          <w:tcPr>
            <w:tcW w:type="dxa" w:w="3408"/>
            <w:vAlign w:val="center"/>
          </w:tcPr>
          <w:p>
            <w:pPr>
              <w:spacing w:after="20"/>
            </w:pPr>
            <w:r>
              <w:rPr>
                <w:sz w:val="14"/>
              </w:rPr>
              <w:t>Feature distribution, missingness, score distribution, PSI, subgroup volumes, label delay.</w:t>
            </w:r>
          </w:p>
        </w:tc>
        <w:tc>
          <w:tcPr>
            <w:tcW w:type="dxa" w:w="3408"/>
            <w:vAlign w:val="center"/>
          </w:tcPr>
          <w:p>
            <w:pPr>
              <w:spacing w:after="20"/>
            </w:pPr>
            <w:r>
              <w:rPr>
                <w:sz w:val="14"/>
              </w:rPr>
              <w:t>Investigate. PSI &gt;0.20 is a review signal, not automatic failure. Data/process owners.</w:t>
            </w:r>
          </w:p>
        </w:tc>
      </w:tr>
      <w:tr>
        <w:trPr>
          <w:cantSplit/>
        </w:trPr>
        <w:tc>
          <w:tcPr>
            <w:tcW w:type="dxa" w:w="3408"/>
            <w:vAlign w:val="center"/>
          </w:tcPr>
          <w:p>
            <w:pPr>
              <w:spacing w:after="20"/>
            </w:pPr>
            <w:r>
              <w:rPr>
                <w:sz w:val="14"/>
              </w:rPr>
              <w:t>Quarterly after labels mature</w:t>
            </w:r>
          </w:p>
        </w:tc>
        <w:tc>
          <w:tcPr>
            <w:tcW w:type="dxa" w:w="3408"/>
            <w:vAlign w:val="center"/>
          </w:tcPr>
          <w:p>
            <w:pPr>
              <w:spacing w:after="20"/>
            </w:pPr>
            <w:r>
              <w:rPr>
                <w:sz w:val="14"/>
              </w:rPr>
              <w:t>Recall, precision, PR-AUC, calibration, confusion matrix, MAE/RMSE, subgroup stability, uncertainty.</w:t>
            </w:r>
          </w:p>
        </w:tc>
        <w:tc>
          <w:tcPr>
            <w:tcW w:type="dxa" w:w="3408"/>
            <w:vAlign w:val="center"/>
          </w:tcPr>
          <w:p>
            <w:pPr>
              <w:spacing w:after="20"/>
            </w:pPr>
            <w:r>
              <w:rPr>
                <w:sz w:val="14"/>
              </w:rPr>
              <w:t>Quality/model owner signs continued-use decision.</w:t>
            </w:r>
          </w:p>
        </w:tc>
      </w:tr>
      <w:tr>
        <w:trPr>
          <w:cantSplit/>
        </w:trPr>
        <w:tc>
          <w:tcPr>
            <w:tcW w:type="dxa" w:w="3408"/>
            <w:vAlign w:val="center"/>
          </w:tcPr>
          <w:p>
            <w:pPr>
              <w:spacing w:after="20"/>
            </w:pPr>
            <w:r>
              <w:rPr>
                <w:sz w:val="14"/>
              </w:rPr>
              <w:t>Event-triggered</w:t>
            </w:r>
          </w:p>
        </w:tc>
        <w:tc>
          <w:tcPr>
            <w:tcW w:type="dxa" w:w="3408"/>
            <w:vAlign w:val="center"/>
          </w:tcPr>
          <w:p>
            <w:pPr>
              <w:spacing w:after="20"/>
            </w:pPr>
            <w:r>
              <w:rPr>
                <w:sz w:val="14"/>
              </w:rPr>
              <w:t>Recipe/spec/line/sensor/lab change, incident, drift, performance breach, pipeline change.</w:t>
            </w:r>
          </w:p>
        </w:tc>
        <w:tc>
          <w:tcPr>
            <w:tcW w:type="dxa" w:w="3408"/>
            <w:vAlign w:val="center"/>
          </w:tcPr>
          <w:p>
            <w:pPr>
              <w:spacing w:after="20"/>
            </w:pPr>
            <w:r>
              <w:rPr>
                <w:sz w:val="14"/>
              </w:rPr>
              <w:t>Reassess scope; suspend if validity uncertain; revalidate before resuming.</w:t>
            </w:r>
          </w:p>
        </w:tc>
      </w:tr>
    </w:tbl>
    <w:p/>
    <w:p>
      <w:r>
        <w:t>Site-specific triggers must be approved before use. Starting examples for review include a sustained recall decrease of 10 percentage points, material calibration error, feature PSI above 0.20, critical input coverage below an agreed minimum, or alerts beyond staffed capacity. These are discussion values, not universal or regulatory limits. A trigger starts an investigation; it does not automatically trigger retraining.</w:t>
      </w:r>
    </w:p>
    <w:p>
      <w:pPr>
        <w:pStyle w:val="Heading1"/>
      </w:pPr>
      <w:r>
        <w:t>10. Model update and change control</w:t>
      </w:r>
    </w:p>
    <w:p>
      <w:pPr>
        <w:pStyle w:val="ListNumber"/>
      </w:pPr>
      <w:r>
        <w:t>Open a change record with trigger, affected process/recipe/spec version, scope, owner, and rollback artifact.</w:t>
      </w:r>
    </w:p>
    <w:p>
      <w:pPr>
        <w:pStyle w:val="ListNumber"/>
      </w:pPr>
      <w:r>
        <w:t>Confirm that the target and data generation still match; define a new evaluation if they do not.</w:t>
      </w:r>
    </w:p>
    <w:p>
      <w:pPr>
        <w:pStyle w:val="ListNumber"/>
      </w:pPr>
      <w:r>
        <w:t>Rebuild using documented cutoff. If a previous test is reused for training, reserve a new untouched period.</w:t>
      </w:r>
    </w:p>
    <w:p>
      <w:pPr>
        <w:pStyle w:val="ListNumber"/>
      </w:pPr>
      <w:r>
        <w:t>Repeat leakage audit, grouped/temporal validation, baseline comparison, uncertainty, calibration, workload, subgroup review, and risk scoring.</w:t>
      </w:r>
    </w:p>
    <w:p>
      <w:pPr>
        <w:pStyle w:val="ListNumber"/>
      </w:pPr>
      <w:r>
        <w:t>Obtain written approval from quality, process, data/model, operations, and any required safety/regulatory owner.</w:t>
      </w:r>
    </w:p>
    <w:p>
      <w:pPr>
        <w:pStyle w:val="ListNumber"/>
      </w:pPr>
      <w:r>
        <w:t>Deploy in shadow or staged use; compare to approved version; monitor triggers and preserve immediate rollback.</w:t>
      </w:r>
    </w:p>
    <w:p>
      <w:pPr>
        <w:pStyle w:val="ListNumber"/>
      </w:pPr>
      <w:r>
        <w:t>Record code, data, features, spec, model, threshold, approvals, and user-facing changes.</w:t>
      </w:r>
    </w:p>
    <w:p>
      <w:pPr>
        <w:pStyle w:val="Heading1"/>
      </w:pPr>
      <w:r>
        <w:t>11. Decision gates and acceptance record</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7365D"/>
          </w:tcPr>
          <w:p>
            <w:r>
              <w:rPr>
                <w:b/>
                <w:color w:val="FFFFFF"/>
                <w:sz w:val="15"/>
              </w:rPr>
              <w:t>Gate</w:t>
            </w:r>
          </w:p>
        </w:tc>
        <w:tc>
          <w:tcPr>
            <w:tcW w:type="dxa" w:w="3408"/>
            <w:shd w:fill="17365D"/>
          </w:tcPr>
          <w:p>
            <w:r>
              <w:rPr>
                <w:b/>
                <w:color w:val="FFFFFF"/>
                <w:sz w:val="15"/>
              </w:rPr>
              <w:t>Proceed only when</w:t>
            </w:r>
          </w:p>
        </w:tc>
        <w:tc>
          <w:tcPr>
            <w:tcW w:type="dxa" w:w="3408"/>
            <w:shd w:fill="17365D"/>
          </w:tcPr>
          <w:p>
            <w:r>
              <w:rPr>
                <w:b/>
                <w:color w:val="FFFFFF"/>
                <w:sz w:val="15"/>
              </w:rPr>
              <w:t>Stop or revise when</w:t>
            </w:r>
          </w:p>
        </w:tc>
      </w:tr>
      <w:tr>
        <w:trPr>
          <w:cantSplit/>
        </w:trPr>
        <w:tc>
          <w:tcPr>
            <w:tcW w:type="dxa" w:w="3408"/>
            <w:vAlign w:val="center"/>
          </w:tcPr>
          <w:p>
            <w:pPr>
              <w:spacing w:after="20"/>
            </w:pPr>
            <w:r>
              <w:rPr>
                <w:sz w:val="15"/>
              </w:rPr>
              <w:t>Data readiness</w:t>
            </w:r>
          </w:p>
        </w:tc>
        <w:tc>
          <w:tcPr>
            <w:tcW w:type="dxa" w:w="3408"/>
            <w:vAlign w:val="center"/>
          </w:tcPr>
          <w:p>
            <w:pPr>
              <w:spacing w:after="20"/>
            </w:pPr>
            <w:r>
              <w:rPr>
                <w:sz w:val="15"/>
              </w:rPr>
              <w:t>Target, units, links, methods/spec versions, cutoff, provenance reconcile.</w:t>
            </w:r>
          </w:p>
        </w:tc>
        <w:tc>
          <w:tcPr>
            <w:tcW w:type="dxa" w:w="3408"/>
            <w:vAlign w:val="center"/>
          </w:tcPr>
          <w:p>
            <w:pPr>
              <w:spacing w:after="20"/>
            </w:pPr>
            <w:r>
              <w:rPr>
                <w:sz w:val="15"/>
              </w:rPr>
              <w:t>Unreliable labels/timing, leakage, unresolved specification mapping.</w:t>
            </w:r>
          </w:p>
        </w:tc>
      </w:tr>
      <w:tr>
        <w:trPr>
          <w:cantSplit/>
        </w:trPr>
        <w:tc>
          <w:tcPr>
            <w:tcW w:type="dxa" w:w="3408"/>
            <w:vAlign w:val="center"/>
          </w:tcPr>
          <w:p>
            <w:pPr>
              <w:spacing w:after="20"/>
            </w:pPr>
            <w:r>
              <w:rPr>
                <w:sz w:val="15"/>
              </w:rPr>
              <w:t>Validation credibility</w:t>
            </w:r>
          </w:p>
        </w:tc>
        <w:tc>
          <w:tcPr>
            <w:tcW w:type="dxa" w:w="3408"/>
            <w:vAlign w:val="center"/>
          </w:tcPr>
          <w:p>
            <w:pPr>
              <w:spacing w:after="20"/>
            </w:pPr>
            <w:r>
              <w:rPr>
                <w:sz w:val="15"/>
              </w:rPr>
              <w:t>Grouped and temporal results, baseline, uncertainty support stated scope.</w:t>
            </w:r>
          </w:p>
        </w:tc>
        <w:tc>
          <w:tcPr>
            <w:tcW w:type="dxa" w:w="3408"/>
            <w:vAlign w:val="center"/>
          </w:tcPr>
          <w:p>
            <w:pPr>
              <w:spacing w:after="20"/>
            </w:pPr>
            <w:r>
              <w:rPr>
                <w:sz w:val="15"/>
              </w:rPr>
              <w:t>Result depends on random split, one line/time, leakage, or too few events.</w:t>
            </w:r>
          </w:p>
        </w:tc>
      </w:tr>
      <w:tr>
        <w:trPr>
          <w:cantSplit/>
        </w:trPr>
        <w:tc>
          <w:tcPr>
            <w:tcW w:type="dxa" w:w="3408"/>
            <w:vAlign w:val="center"/>
          </w:tcPr>
          <w:p>
            <w:pPr>
              <w:spacing w:after="20"/>
            </w:pPr>
            <w:r>
              <w:rPr>
                <w:sz w:val="15"/>
              </w:rPr>
              <w:t>Decision utility</w:t>
            </w:r>
          </w:p>
        </w:tc>
        <w:tc>
          <w:tcPr>
            <w:tcW w:type="dxa" w:w="3408"/>
            <w:vAlign w:val="center"/>
          </w:tcPr>
          <w:p>
            <w:pPr>
              <w:spacing w:after="20"/>
            </w:pPr>
            <w:r>
              <w:rPr>
                <w:sz w:val="15"/>
              </w:rPr>
              <w:t>Recall, precision, calibration, error, workload meet prospectively agreed requirements.</w:t>
            </w:r>
          </w:p>
        </w:tc>
        <w:tc>
          <w:tcPr>
            <w:tcW w:type="dxa" w:w="3408"/>
            <w:vAlign w:val="center"/>
          </w:tcPr>
          <w:p>
            <w:pPr>
              <w:spacing w:after="20"/>
            </w:pPr>
            <w:r>
              <w:rPr>
                <w:sz w:val="15"/>
              </w:rPr>
              <w:t>Miss cost/capacity unknown or threshold fails practical workflow.</w:t>
            </w:r>
          </w:p>
        </w:tc>
      </w:tr>
      <w:tr>
        <w:trPr>
          <w:cantSplit/>
        </w:trPr>
        <w:tc>
          <w:tcPr>
            <w:tcW w:type="dxa" w:w="3408"/>
            <w:vAlign w:val="center"/>
          </w:tcPr>
          <w:p>
            <w:pPr>
              <w:spacing w:after="20"/>
            </w:pPr>
            <w:r>
              <w:rPr>
                <w:sz w:val="15"/>
              </w:rPr>
              <w:t>Operational pilot</w:t>
            </w:r>
          </w:p>
        </w:tc>
        <w:tc>
          <w:tcPr>
            <w:tcW w:type="dxa" w:w="3408"/>
            <w:vAlign w:val="center"/>
          </w:tcPr>
          <w:p>
            <w:pPr>
              <w:spacing w:after="20"/>
            </w:pPr>
            <w:r>
              <w:rPr>
                <w:sz w:val="15"/>
              </w:rPr>
              <w:t>Shadow monitoring, owners, fail-safe, access, logging, rollback approved.</w:t>
            </w:r>
          </w:p>
        </w:tc>
        <w:tc>
          <w:tcPr>
            <w:tcW w:type="dxa" w:w="3408"/>
            <w:vAlign w:val="center"/>
          </w:tcPr>
          <w:p>
            <w:pPr>
              <w:spacing w:after="20"/>
            </w:pPr>
            <w:r>
              <w:rPr>
                <w:sz w:val="15"/>
              </w:rPr>
              <w:t>Score overrides controls; no accountable owner or safe input-failure behavior.</w:t>
            </w:r>
          </w:p>
        </w:tc>
      </w:tr>
      <w:tr>
        <w:trPr>
          <w:cantSplit/>
        </w:trPr>
        <w:tc>
          <w:tcPr>
            <w:tcW w:type="dxa" w:w="3408"/>
            <w:vAlign w:val="center"/>
          </w:tcPr>
          <w:p>
            <w:pPr>
              <w:spacing w:after="20"/>
            </w:pPr>
            <w:r>
              <w:rPr>
                <w:sz w:val="15"/>
              </w:rPr>
              <w:t>Continued use</w:t>
            </w:r>
          </w:p>
        </w:tc>
        <w:tc>
          <w:tcPr>
            <w:tcW w:type="dxa" w:w="3408"/>
            <w:vAlign w:val="center"/>
          </w:tcPr>
          <w:p>
            <w:pPr>
              <w:spacing w:after="20"/>
            </w:pPr>
            <w:r>
              <w:rPr>
                <w:sz w:val="15"/>
              </w:rPr>
              <w:t>Matured recent labels and process remain in scope and within limits.</w:t>
            </w:r>
          </w:p>
        </w:tc>
        <w:tc>
          <w:tcPr>
            <w:tcW w:type="dxa" w:w="3408"/>
            <w:vAlign w:val="center"/>
          </w:tcPr>
          <w:p>
            <w:pPr>
              <w:spacing w:after="20"/>
            </w:pPr>
            <w:r>
              <w:rPr>
                <w:sz w:val="15"/>
              </w:rPr>
              <w:t>Breach, process/data failure, or unacceptable open risk.</w:t>
            </w:r>
          </w:p>
        </w:tc>
      </w:tr>
    </w:tbl>
    <w:p/>
    <w:p>
      <w:r>
        <w:t>The acceptance record includes target and positive-class definition; data period and batch/lot counts; feature cutoff; split strategy; baseline and candidate versions; locked-test metrics and intervals; threshold rationale; subgroup evidence; error review; risk owners; monitoring limits; pilot scope; approval; and rollback reference. Set numeric requirements with quality/process/operations owners before viewing candidate results. There is no universal recall, error, or food-safety threshold.</w:t>
      </w:r>
    </w:p>
    <w:p>
      <w:pPr>
        <w:pStyle w:val="Heading1"/>
      </w:pPr>
      <w:r>
        <w:t>12. Limitations and current readiness</w:t>
      </w:r>
    </w:p>
    <w:p>
      <w:pPr>
        <w:pStyle w:val="ListBullet"/>
      </w:pPr>
      <w:r>
        <w:t>No factory sensor, batch, laboratory, or process dataset was provided; this is a framework, not a validation result.</w:t>
      </w:r>
    </w:p>
    <w:p>
      <w:pPr>
        <w:pStyle w:val="ListBullet"/>
      </w:pPr>
      <w:r>
        <w:t>Week 1 data describe municipal inspection outcomes, not manufacturing batches or product tests; they cannot substantiate this model.</w:t>
      </w:r>
    </w:p>
    <w:p>
      <w:pPr>
        <w:pStyle w:val="ListBullet"/>
      </w:pPr>
      <w:r>
        <w:t>No fitted classifier, probability, calibration curve, confusion matrix, or acceptance decision is claimed.</w:t>
      </w:r>
    </w:p>
    <w:p>
      <w:pPr>
        <w:pStyle w:val="ListBullet"/>
      </w:pPr>
      <w:r>
        <w:t>Risk ratings are planning estimates; site hazard analysis, quality-system controls, legal obligations, and expert review take precedence.</w:t>
      </w:r>
    </w:p>
    <w:p>
      <w:pPr>
        <w:pStyle w:val="ListBullet"/>
      </w:pPr>
      <w:r>
        <w:t>Metrics depend on prevalence, label quality, coverage, process stability, and intended action. They do not prove causal benefit or food safety.</w:t>
      </w:r>
    </w:p>
    <w:p>
      <w:pPr>
        <w:pStyle w:val="ListBullet"/>
      </w:pPr>
      <w:r>
        <w:t>The companion script evaluates binary predictions and supplies validation/monitoring utilities. It does not fit a production pipeline, set site limits, or authorize deployment.</w:t>
      </w:r>
    </w:p>
    <w:p>
      <w:pPr>
        <w:pStyle w:val="Heading1"/>
      </w:pPr>
      <w:r>
        <w:t>13. Companion code and use</w:t>
      </w:r>
    </w:p>
    <w:p>
      <w:r>
        <w:t>week5_model_evaluation.py reads a saved batch-level prediction CSV. Required columns are actual and predicted; probability is optional unless a threshold is supplied. Use --group-column batch_id (or the independent cluster) for grouped bootstrap intervals. Positive label defaults to 1. JSON output includes confusion counts, classification and probability metrics, and percentile intervals.</w:t>
      </w:r>
    </w:p>
    <w:p>
      <w:pPr>
        <w:ind w:left="288"/>
      </w:pPr>
      <w:r>
        <w:rPr>
          <w:rFonts w:ascii="Consolas" w:hAnsi="Consolas"/>
          <w:sz w:val="15"/>
        </w:rPr>
        <w:t>python week5_model_evaluation.py predictions.csv --actual-column actual --predicted-column predicted --probability-column probability --positive-label 1 --group-column batch_id --bootstrap-samples 1000 --output week5_metrics.json</w:t>
      </w:r>
    </w:p>
    <w:p>
      <w:r>
        <w:t>For probability-threshold evaluation, add --threshold 0.20 only after choosing the threshold on validation data. The module also exposes evaluate_cross_validation(estimator, X, y, groups=...), chronological_split_indices(timestamps), and population_stability_index(reference, current). Cross-validation requires predict_proba and a binary target. The chronological helper keeps tied timestamps together; callers must still group records at batch level.</w:t>
      </w:r>
    </w:p>
    <w:p>
      <w:r>
        <w:t>The script evaluates supplied predictions. It does not establish safety, future calibration, or approval. Apply the risk controls and decision gates before operational use.</w:t>
      </w:r>
    </w:p>
    <w:p>
      <w:pPr>
        <w:pStyle w:val="Heading1"/>
      </w:pPr>
      <w:r>
        <w:t>Conclusion</w:t>
      </w:r>
    </w:p>
    <w:p>
      <w:r>
        <w:t>A defensible food-processing model evaluation is a governed decision process, not one accuracy score. It combines leakage-safe data contracts, group- and time-aware validation, threshold-specific workload, probability and unit-level error checks, uncertainty, qualitative review, risk ownership, monitoring, fail-safe behavior, and controlled updates. Current readiness is undetermined because manufacturing data are unavailable. First confirm the endpoint, checkpoint, lineage, decision owner, error costs, and acceptance criteria with plant quality and process stakeholders.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Model evaluation and risk assessment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WEEK 5  |  FOOD PROCESSING MODEL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b w:val="0"/>
      <w:color w:val="26262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