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pPr>
      <w:r>
        <w:rPr>
          <w:b/>
          <w:color w:val="5B7C99"/>
          <w:sz w:val="26"/>
        </w:rPr>
        <w:t>WEEK 6</w:t>
      </w:r>
    </w:p>
    <w:p>
      <w:pPr>
        <w:pStyle w:val="Title"/>
      </w:pPr>
      <w:r>
        <w:t>End-to-End Project Documentation</w:t>
        <w:br/>
        <w:t>and Future Roadmap</w:t>
      </w:r>
    </w:p>
    <w:p>
      <w:r>
        <w:rPr>
          <w:color w:val="404040"/>
          <w:sz w:val="30"/>
        </w:rPr>
        <w:t>Food processing predictive analytics</w:t>
      </w:r>
    </w:p>
    <w:p>
      <w:r>
        <w:t>A consolidated record of the project work, evidence, limitations, and recommended next phases.</w:t>
      </w:r>
    </w:p>
    <w:p>
      <w:r>
        <w:t>Prepared: 22 October 2026</w:t>
      </w:r>
    </w:p>
    <w:p>
      <w:r>
        <w:t>Document purpose: provide a reproducible reference and a practical basis for future project decisions.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7365D"/>
          </w:tcPr>
          <w:p>
            <w:r>
              <w:rPr>
                <w:b/>
                <w:color w:val="FFFFFF"/>
                <w:sz w:val="17"/>
              </w:rPr>
              <w:t>Project status</w:t>
            </w:r>
          </w:p>
        </w:tc>
        <w:tc>
          <w:tcPr>
            <w:tcW w:type="dxa" w:w="5112"/>
            <w:shd w:fill="17365D"/>
          </w:tcPr>
          <w:p>
            <w:r>
              <w:rPr>
                <w:b/>
                <w:color w:val="FFFFFF"/>
                <w:sz w:val="17"/>
              </w:rPr>
              <w:t>Evidence boundary</w:t>
            </w:r>
          </w:p>
        </w:tc>
      </w:tr>
      <w:tr>
        <w:trPr>
          <w:cantSplit/>
        </w:trPr>
        <w:tc>
          <w:tcPr>
            <w:tcW w:type="dxa" w:w="5112"/>
            <w:vAlign w:val="center"/>
          </w:tcPr>
          <w:p>
            <w:pPr>
              <w:spacing w:after="20"/>
            </w:pPr>
            <w:r>
              <w:rPr>
                <w:sz w:val="17"/>
              </w:rPr>
              <w:t>Planning, data-quality design, feature-engineering examples, model prototypes, and evaluation utilities are documented.</w:t>
            </w:r>
          </w:p>
        </w:tc>
        <w:tc>
          <w:tcPr>
            <w:tcW w:type="dxa" w:w="5112"/>
            <w:vAlign w:val="center"/>
          </w:tcPr>
          <w:p>
            <w:pPr>
              <w:spacing w:after="20"/>
            </w:pPr>
            <w:r>
              <w:rPr>
                <w:sz w:val="17"/>
              </w:rPr>
              <w:t>The supplied labeled data concerned food inspections, not factory production. No manufacturing dataset or factory model result is available.</w:t>
            </w:r>
          </w:p>
        </w:tc>
      </w:tr>
    </w:tbl>
    <w:p/>
    <w:p>
      <w:pPr>
        <w:pStyle w:val="Heading2"/>
      </w:pPr>
      <w:r>
        <w:t>Important scope note</w:t>
      </w:r>
    </w:p>
    <w:p>
      <w:r>
        <w:t>This is a predictive analytics framework for a proposed food-processing quality pilot, not a report of a completed industrial deployment. The Week 1 inspection analysis is reported as the only empirical dataset analysis; it cannot be represented as factory quality evidence.</w:t>
      </w:r>
    </w:p>
    <w:p>
      <w:r>
        <w:br w:type="page"/>
      </w:r>
    </w:p>
    <w:p>
      <w:pPr>
        <w:pStyle w:val="Heading1"/>
      </w:pPr>
      <w:r>
        <w:t>Executive summary</w:t>
      </w:r>
    </w:p>
    <w:p>
      <w:r>
        <w:t>Across Weeks 1–6, the work moved from examining an available food-inspection dataset toward a carefully scoped proposal for food-processing quality prediction. The most important project conclusion is a boundary on the evidence: the Week 1 archive describes inspection outcomes for food-serving or food-selling facilities. It does not contain production-line sensor histories, batch-linked laboratory results, recipes, or factory quality dispositions. Later reports and scripts define a plausible manufacturing pilot, but manufacturing performance has not been measured.</w:t>
      </w:r>
    </w:p>
    <w:p>
      <w:r>
        <w:t>The work produced a data-quality blueprint, a leakage-aware batch feature-engineering script, a prospective model strategy, a Week 5 evaluation/risk framework and utilities, and a Week 4 prototype that compares binary and continuous candidate models on a chronological holdout. Tests validate important code behavior on small fixtures; they are software checks, not evidence of production-model accuracy.</w:t>
      </w:r>
    </w:p>
    <w:p>
      <w:r>
        <w:t>The next decision should be data readiness, not algorithm selection. Obtain an approved factory dataset and data dictionary, agree one quality endpoint and prediction checkpoint, confirm measurement and specification provenance, and establish a baseline. Then proceed through group-aware and temporal validation, operational review, and shadow-mode testing. No score should override validated process controls or product-release authority.</w:t>
      </w:r>
    </w:p>
    <w:p>
      <w:pPr>
        <w:pStyle w:val="Heading1"/>
      </w:pPr>
      <w:r>
        <w:t>1. Project overview and scope</w:t>
      </w:r>
    </w:p>
    <w:p>
      <w:r>
        <w:t>The strategic objective is to determine whether information available during a production batch can support an earlier, useful review of the batch's final product quality. The proposed first use is a batch-level risk estimate at a defined process checkpoint. The primary target would be a binary nonconformance based on a named laboratory measurement or approved quality disposition; a secondary task could predict the corresponding continuous laboratory result in its native unit.</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7365D"/>
          </w:tcPr>
          <w:p>
            <w:r>
              <w:rPr>
                <w:b/>
                <w:color w:val="FFFFFF"/>
                <w:sz w:val="15"/>
              </w:rPr>
              <w:t>In scope for the proposed pilot</w:t>
            </w:r>
          </w:p>
        </w:tc>
        <w:tc>
          <w:tcPr>
            <w:tcW w:type="dxa" w:w="5112"/>
            <w:shd w:fill="17365D"/>
          </w:tcPr>
          <w:p>
            <w:r>
              <w:rPr>
                <w:b/>
                <w:color w:val="FFFFFF"/>
                <w:sz w:val="15"/>
              </w:rPr>
              <w:t>Out of scope unless separately approved</w:t>
            </w:r>
          </w:p>
        </w:tc>
      </w:tr>
      <w:tr>
        <w:trPr>
          <w:cantSplit/>
        </w:trPr>
        <w:tc>
          <w:tcPr>
            <w:tcW w:type="dxa" w:w="5112"/>
            <w:vAlign w:val="center"/>
          </w:tcPr>
          <w:p>
            <w:pPr>
              <w:spacing w:after="20"/>
            </w:pPr>
            <w:r>
              <w:rPr>
                <w:sz w:val="15"/>
              </w:rPr>
              <w:t>One selected product/process stratum; batch-linked sensor and context data; a fixed prediction cutoff; quality review, confirmatory sampling, or engineer triage; retrospective and shadow evaluation.</w:t>
            </w:r>
          </w:p>
        </w:tc>
        <w:tc>
          <w:tcPr>
            <w:tcW w:type="dxa" w:w="5112"/>
            <w:vAlign w:val="center"/>
          </w:tcPr>
          <w:p>
            <w:pPr>
              <w:spacing w:after="20"/>
            </w:pPr>
            <w:r>
              <w:rPr>
                <w:sz w:val="15"/>
              </w:rPr>
              <w:t>Automatic line control, automatic product release, a generic food-safety guarantee, causal claims from predictive associations, and extrapolation to untested products, lines, or sites.</w:t>
            </w:r>
          </w:p>
        </w:tc>
      </w:tr>
    </w:tbl>
    <w:p/>
    <w:p>
      <w:r>
        <w:t>Food quality and food safety are related but distinct. A product-quality specification failure is not automatically evidence of a microbiological hazard, spoilage, or consumer risk. Any safety-related model needs its own endpoint, suitable sampling and labels, qualified oversight, and validation within applicable food-safety systems.</w:t>
      </w:r>
    </w:p>
    <w:p>
      <w:pPr>
        <w:pStyle w:val="Heading1"/>
      </w:pPr>
      <w:r>
        <w:t>2. Journey and methodological recap</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7365D"/>
          </w:tcPr>
          <w:p>
            <w:r>
              <w:rPr>
                <w:b/>
                <w:color w:val="FFFFFF"/>
                <w:sz w:val="14"/>
              </w:rPr>
              <w:t>Phase</w:t>
            </w:r>
          </w:p>
        </w:tc>
        <w:tc>
          <w:tcPr>
            <w:tcW w:type="dxa" w:w="3408"/>
            <w:shd w:fill="17365D"/>
          </w:tcPr>
          <w:p>
            <w:r>
              <w:rPr>
                <w:b/>
                <w:color w:val="FFFFFF"/>
                <w:sz w:val="14"/>
              </w:rPr>
              <w:t>Work completed or specified</w:t>
            </w:r>
          </w:p>
        </w:tc>
        <w:tc>
          <w:tcPr>
            <w:tcW w:type="dxa" w:w="3408"/>
            <w:shd w:fill="17365D"/>
          </w:tcPr>
          <w:p>
            <w:r>
              <w:rPr>
                <w:b/>
                <w:color w:val="FFFFFF"/>
                <w:sz w:val="14"/>
              </w:rPr>
              <w:t>Evidence and status</w:t>
            </w:r>
          </w:p>
        </w:tc>
      </w:tr>
      <w:tr>
        <w:trPr>
          <w:cantSplit/>
        </w:trPr>
        <w:tc>
          <w:tcPr>
            <w:tcW w:type="dxa" w:w="3408"/>
            <w:vAlign w:val="center"/>
          </w:tcPr>
          <w:p>
            <w:pPr>
              <w:spacing w:after="20"/>
            </w:pPr>
            <w:r>
              <w:rPr>
                <w:sz w:val="14"/>
              </w:rPr>
              <w:t>Week 1: data exploration</w:t>
            </w:r>
          </w:p>
        </w:tc>
        <w:tc>
          <w:tcPr>
            <w:tcW w:type="dxa" w:w="3408"/>
            <w:vAlign w:val="center"/>
          </w:tcPr>
          <w:p>
            <w:pPr>
              <w:spacing w:after="20"/>
            </w:pPr>
            <w:r>
              <w:rPr>
                <w:sz w:val="14"/>
              </w:rPr>
              <w:t>Inspected train, test, and sample-submission workbooks; profiled target balance, missingness, dates, repeated facility IDs, and year trends; ran a logistic-regression baseline.</w:t>
            </w:r>
          </w:p>
        </w:tc>
        <w:tc>
          <w:tcPr>
            <w:tcW w:type="dxa" w:w="3408"/>
            <w:vAlign w:val="center"/>
          </w:tcPr>
          <w:p>
            <w:pPr>
              <w:spacing w:after="20"/>
            </w:pPr>
            <w:r>
              <w:rPr>
                <w:sz w:val="14"/>
              </w:rPr>
              <w:t>Empirical inspection-outcome analysis. Not factory-quality data.</w:t>
            </w:r>
          </w:p>
        </w:tc>
      </w:tr>
      <w:tr>
        <w:trPr>
          <w:cantSplit/>
        </w:trPr>
        <w:tc>
          <w:tcPr>
            <w:tcW w:type="dxa" w:w="3408"/>
            <w:vAlign w:val="center"/>
          </w:tcPr>
          <w:p>
            <w:pPr>
              <w:spacing w:after="20"/>
            </w:pPr>
            <w:r>
              <w:rPr>
                <w:sz w:val="14"/>
              </w:rPr>
              <w:t>Week 2: data quality</w:t>
            </w:r>
          </w:p>
        </w:tc>
        <w:tc>
          <w:tcPr>
            <w:tcW w:type="dxa" w:w="3408"/>
            <w:vAlign w:val="center"/>
          </w:tcPr>
          <w:p>
            <w:pPr>
              <w:spacing w:after="20"/>
            </w:pPr>
            <w:r>
              <w:rPr>
                <w:sz w:val="14"/>
              </w:rPr>
              <w:t>Defined data contract, intake/profiling checks, missingness and anomaly rules, timestamp/unit controls, exception handling, fold-local preprocessing, review gates, and a six-week cleaning sequence.</w:t>
            </w:r>
          </w:p>
        </w:tc>
        <w:tc>
          <w:tcPr>
            <w:tcW w:type="dxa" w:w="3408"/>
            <w:vAlign w:val="center"/>
          </w:tcPr>
          <w:p>
            <w:pPr>
              <w:spacing w:after="20"/>
            </w:pPr>
            <w:r>
              <w:rPr>
                <w:sz w:val="14"/>
              </w:rPr>
              <w:t>Blueprint; manufacturing sensor data were not provided. Week 1 checks illustrate some issues.</w:t>
            </w:r>
          </w:p>
        </w:tc>
      </w:tr>
      <w:tr>
        <w:trPr>
          <w:cantSplit/>
        </w:trPr>
        <w:tc>
          <w:tcPr>
            <w:tcW w:type="dxa" w:w="3408"/>
            <w:vAlign w:val="center"/>
          </w:tcPr>
          <w:p>
            <w:pPr>
              <w:spacing w:after="20"/>
            </w:pPr>
            <w:r>
              <w:rPr>
                <w:sz w:val="14"/>
              </w:rPr>
              <w:t>Week 3: feature engineering</w:t>
            </w:r>
          </w:p>
        </w:tc>
        <w:tc>
          <w:tcPr>
            <w:tcW w:type="dxa" w:w="3408"/>
            <w:vAlign w:val="center"/>
          </w:tcPr>
          <w:p>
            <w:pPr>
              <w:spacing w:after="20"/>
            </w:pPr>
            <w:r>
              <w:rPr>
                <w:sz w:val="14"/>
              </w:rPr>
              <w:t>Specified interpretable target-relative, exposure, dynamics, batch-summary, sensor-health, recipe/material, and interaction features; documented prediction-time leakage controls.</w:t>
            </w:r>
          </w:p>
        </w:tc>
        <w:tc>
          <w:tcPr>
            <w:tcW w:type="dxa" w:w="3408"/>
            <w:vAlign w:val="center"/>
          </w:tcPr>
          <w:p>
            <w:pPr>
              <w:spacing w:after="20"/>
            </w:pPr>
            <w:r>
              <w:rPr>
                <w:sz w:val="14"/>
              </w:rPr>
              <w:t>Reusable code and unit tests; no factory readings were evaluated.</w:t>
            </w:r>
          </w:p>
        </w:tc>
      </w:tr>
      <w:tr>
        <w:trPr>
          <w:cantSplit/>
        </w:trPr>
        <w:tc>
          <w:tcPr>
            <w:tcW w:type="dxa" w:w="3408"/>
            <w:vAlign w:val="center"/>
          </w:tcPr>
          <w:p>
            <w:pPr>
              <w:spacing w:after="20"/>
            </w:pPr>
            <w:r>
              <w:rPr>
                <w:sz w:val="14"/>
              </w:rPr>
              <w:t>Week 4: predictive strategy</w:t>
            </w:r>
          </w:p>
        </w:tc>
        <w:tc>
          <w:tcPr>
            <w:tcW w:type="dxa" w:w="3408"/>
            <w:vAlign w:val="center"/>
          </w:tcPr>
          <w:p>
            <w:pPr>
              <w:spacing w:after="20"/>
            </w:pPr>
            <w:r>
              <w:rPr>
                <w:sz w:val="14"/>
              </w:rPr>
              <w:t>Defined quality target and checkpoint; pre-specified six non-causal hypotheses; proposed binary and continuous outcomes, baselines, linear/logistic models, shallow trees, and group/time-aware evaluation.</w:t>
            </w:r>
          </w:p>
        </w:tc>
        <w:tc>
          <w:tcPr>
            <w:tcW w:type="dxa" w:w="3408"/>
            <w:vAlign w:val="center"/>
          </w:tcPr>
          <w:p>
            <w:pPr>
              <w:spacing w:after="20"/>
            </w:pPr>
            <w:r>
              <w:rPr>
                <w:sz w:val="14"/>
              </w:rPr>
              <w:t>Strategy plus prototype code for chronological holdout comparisons; no factory results.</w:t>
            </w:r>
          </w:p>
        </w:tc>
      </w:tr>
      <w:tr>
        <w:trPr>
          <w:cantSplit/>
        </w:trPr>
        <w:tc>
          <w:tcPr>
            <w:tcW w:type="dxa" w:w="3408"/>
            <w:vAlign w:val="center"/>
          </w:tcPr>
          <w:p>
            <w:pPr>
              <w:spacing w:after="20"/>
            </w:pPr>
            <w:r>
              <w:rPr>
                <w:sz w:val="14"/>
              </w:rPr>
              <w:t>Week 5: evaluation and risk</w:t>
            </w:r>
          </w:p>
        </w:tc>
        <w:tc>
          <w:tcPr>
            <w:tcW w:type="dxa" w:w="3408"/>
            <w:vAlign w:val="center"/>
          </w:tcPr>
          <w:p>
            <w:pPr>
              <w:spacing w:after="20"/>
            </w:pPr>
            <w:r>
              <w:rPr>
                <w:sz w:val="14"/>
              </w:rPr>
              <w:t>Detailed metric definitions, temporal/grouped validation plan, bootstrap uncertainty, risk scoring/register, fail-safe operation, monitoring, change control, and decision gates.</w:t>
            </w:r>
          </w:p>
        </w:tc>
        <w:tc>
          <w:tcPr>
            <w:tcW w:type="dxa" w:w="3408"/>
            <w:vAlign w:val="center"/>
          </w:tcPr>
          <w:p>
            <w:pPr>
              <w:spacing w:after="20"/>
            </w:pPr>
            <w:r>
              <w:rPr>
                <w:sz w:val="14"/>
              </w:rPr>
              <w:t>Framework plus reusable binary prediction-evaluation utilities; no deployment.</w:t>
            </w:r>
          </w:p>
        </w:tc>
      </w:tr>
      <w:tr>
        <w:trPr>
          <w:cantSplit/>
        </w:trPr>
        <w:tc>
          <w:tcPr>
            <w:tcW w:type="dxa" w:w="3408"/>
            <w:vAlign w:val="center"/>
          </w:tcPr>
          <w:p>
            <w:pPr>
              <w:spacing w:after="20"/>
            </w:pPr>
            <w:r>
              <w:rPr>
                <w:sz w:val="14"/>
              </w:rPr>
              <w:t>Week 6: consolidation</w:t>
            </w:r>
          </w:p>
        </w:tc>
        <w:tc>
          <w:tcPr>
            <w:tcW w:type="dxa" w:w="3408"/>
            <w:vAlign w:val="center"/>
          </w:tcPr>
          <w:p>
            <w:pPr>
              <w:spacing w:after="20"/>
            </w:pPr>
            <w:r>
              <w:rPr>
                <w:sz w:val="14"/>
              </w:rPr>
              <w:t>Recorded the evidence boundary, combined methods and lessons, and set a phased roadmap with decision gates.</w:t>
            </w:r>
          </w:p>
        </w:tc>
        <w:tc>
          <w:tcPr>
            <w:tcW w:type="dxa" w:w="3408"/>
            <w:vAlign w:val="center"/>
          </w:tcPr>
          <w:p>
            <w:pPr>
              <w:spacing w:after="20"/>
            </w:pPr>
            <w:r>
              <w:rPr>
                <w:sz w:val="14"/>
              </w:rPr>
              <w:t>This report; depends on future access to governed manufacturing data.</w:t>
            </w:r>
          </w:p>
        </w:tc>
      </w:tr>
    </w:tbl>
    <w:p/>
    <w:p>
      <w:pPr>
        <w:pStyle w:val="Heading2"/>
      </w:pPr>
      <w:r>
        <w:t>2.1 Week 1: empirical exploration and baseline</w:t>
      </w:r>
    </w:p>
    <w:p>
      <w:r>
        <w:t>The supplied archive contained 147,443 labeled training rows with 15 columns, 49,148 unlabeled test rows with 14 columns, and a seven-class probability-submission template. Target names were inferred from the submission-column order because no authoritative data dictionary was present. The seven classes were strongly imbalanced: PASS represented 53.89%, FAIL 19.30%, and FACILITY CHANGED just 45 records (0.03%).</w:t>
      </w:r>
    </w:p>
    <w:p>
      <w:r>
        <w:t>The analysis found 3,485 missing Type values in training (2.36%), 39,068 missing SectionViolations (26.50%), 53 invalid dates in training and 15 in test, and 16,362 FacilityID values shared between train and test. The target distribution shifted substantially: PASS declined from 56.9% in 2016 to 24.0% in 2018, while PASS(CONDITIONAL) rose from 10.1% to 41.9%. The reason for this shift was not established.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7365D"/>
          </w:tcPr>
          <w:p>
            <w:r>
              <w:rPr>
                <w:b/>
                <w:color w:val="FFFFFF"/>
                <w:sz w:val="13"/>
              </w:rPr>
              <w:t>Validation design</w:t>
            </w:r>
          </w:p>
        </w:tc>
        <w:tc>
          <w:tcPr>
            <w:tcW w:type="dxa" w:w="1704"/>
            <w:shd w:fill="17365D"/>
          </w:tcPr>
          <w:p>
            <w:r>
              <w:rPr>
                <w:b/>
                <w:color w:val="FFFFFF"/>
                <w:sz w:val="13"/>
              </w:rPr>
              <w:t>Accuracy</w:t>
            </w:r>
          </w:p>
        </w:tc>
        <w:tc>
          <w:tcPr>
            <w:tcW w:type="dxa" w:w="1704"/>
            <w:shd w:fill="17365D"/>
          </w:tcPr>
          <w:p>
            <w:r>
              <w:rPr>
                <w:b/>
                <w:color w:val="FFFFFF"/>
                <w:sz w:val="13"/>
              </w:rPr>
              <w:t>Balanced accuracy</w:t>
            </w:r>
          </w:p>
        </w:tc>
        <w:tc>
          <w:tcPr>
            <w:tcW w:type="dxa" w:w="1704"/>
            <w:shd w:fill="17365D"/>
          </w:tcPr>
          <w:p>
            <w:r>
              <w:rPr>
                <w:b/>
                <w:color w:val="FFFFFF"/>
                <w:sz w:val="13"/>
              </w:rPr>
              <w:t>Macro-F1</w:t>
            </w:r>
          </w:p>
        </w:tc>
        <w:tc>
          <w:tcPr>
            <w:tcW w:type="dxa" w:w="1704"/>
            <w:shd w:fill="17365D"/>
          </w:tcPr>
          <w:p>
            <w:r>
              <w:rPr>
                <w:b/>
                <w:color w:val="FFFFFF"/>
                <w:sz w:val="13"/>
              </w:rPr>
              <w:t>Log loss</w:t>
            </w:r>
          </w:p>
        </w:tc>
        <w:tc>
          <w:tcPr>
            <w:tcW w:type="dxa" w:w="1704"/>
            <w:shd w:fill="17365D"/>
          </w:tcPr>
          <w:p>
            <w:r>
              <w:rPr>
                <w:b/>
                <w:color w:val="FFFFFF"/>
                <w:sz w:val="13"/>
              </w:rPr>
              <w:t>Interpretation</w:t>
            </w:r>
          </w:p>
        </w:tc>
      </w:tr>
      <w:tr>
        <w:trPr>
          <w:cantSplit/>
        </w:trPr>
        <w:tc>
          <w:tcPr>
            <w:tcW w:type="dxa" w:w="1704"/>
            <w:vAlign w:val="center"/>
          </w:tcPr>
          <w:p>
            <w:pPr>
              <w:spacing w:after="20"/>
            </w:pPr>
            <w:r>
              <w:rPr>
                <w:sz w:val="13"/>
              </w:rPr>
              <w:t>Random, majority baseline</w:t>
            </w:r>
          </w:p>
        </w:tc>
        <w:tc>
          <w:tcPr>
            <w:tcW w:type="dxa" w:w="1704"/>
            <w:vAlign w:val="center"/>
          </w:tcPr>
          <w:p>
            <w:pPr>
              <w:spacing w:after="20"/>
            </w:pPr>
            <w:r>
              <w:rPr>
                <w:sz w:val="13"/>
              </w:rPr>
              <w:t>53.89%</w:t>
            </w:r>
          </w:p>
        </w:tc>
        <w:tc>
          <w:tcPr>
            <w:tcW w:type="dxa" w:w="1704"/>
            <w:vAlign w:val="center"/>
          </w:tcPr>
          <w:p>
            <w:pPr>
              <w:spacing w:after="20"/>
            </w:pPr>
            <w:r>
              <w:rPr>
                <w:sz w:val="13"/>
              </w:rPr>
              <w:t>14.29%</w:t>
            </w:r>
          </w:p>
        </w:tc>
        <w:tc>
          <w:tcPr>
            <w:tcW w:type="dxa" w:w="1704"/>
            <w:vAlign w:val="center"/>
          </w:tcPr>
          <w:p>
            <w:pPr>
              <w:spacing w:after="20"/>
            </w:pPr>
            <w:r>
              <w:rPr>
                <w:sz w:val="13"/>
              </w:rPr>
              <w:t>10.01%</w:t>
            </w:r>
          </w:p>
        </w:tc>
        <w:tc>
          <w:tcPr>
            <w:tcW w:type="dxa" w:w="1704"/>
            <w:vAlign w:val="center"/>
          </w:tcPr>
          <w:p>
            <w:pPr>
              <w:spacing w:after="20"/>
            </w:pPr>
            <w:r>
              <w:rPr>
                <w:sz w:val="13"/>
              </w:rPr>
              <w:t>n/a</w:t>
            </w:r>
          </w:p>
        </w:tc>
        <w:tc>
          <w:tcPr>
            <w:tcW w:type="dxa" w:w="1704"/>
            <w:vAlign w:val="center"/>
          </w:tcPr>
          <w:p>
            <w:pPr>
              <w:spacing w:after="20"/>
            </w:pPr>
            <w:r>
              <w:rPr>
                <w:sz w:val="13"/>
              </w:rPr>
              <w:t>Accuracy alone misses all minority-class recall.</w:t>
            </w:r>
          </w:p>
        </w:tc>
      </w:tr>
      <w:tr>
        <w:trPr>
          <w:cantSplit/>
        </w:trPr>
        <w:tc>
          <w:tcPr>
            <w:tcW w:type="dxa" w:w="1704"/>
            <w:vAlign w:val="center"/>
          </w:tcPr>
          <w:p>
            <w:pPr>
              <w:spacing w:after="20"/>
            </w:pPr>
            <w:r>
              <w:rPr>
                <w:sz w:val="13"/>
              </w:rPr>
              <w:t>Random, pre-inspection fields</w:t>
            </w:r>
          </w:p>
        </w:tc>
        <w:tc>
          <w:tcPr>
            <w:tcW w:type="dxa" w:w="1704"/>
            <w:vAlign w:val="center"/>
          </w:tcPr>
          <w:p>
            <w:pPr>
              <w:spacing w:after="20"/>
            </w:pPr>
            <w:r>
              <w:rPr>
                <w:sz w:val="13"/>
              </w:rPr>
              <w:t>57.23%</w:t>
            </w:r>
          </w:p>
        </w:tc>
        <w:tc>
          <w:tcPr>
            <w:tcW w:type="dxa" w:w="1704"/>
            <w:vAlign w:val="center"/>
          </w:tcPr>
          <w:p>
            <w:pPr>
              <w:spacing w:after="20"/>
            </w:pPr>
            <w:r>
              <w:rPr>
                <w:sz w:val="13"/>
              </w:rPr>
              <w:t>21.64%</w:t>
            </w:r>
          </w:p>
        </w:tc>
        <w:tc>
          <w:tcPr>
            <w:tcW w:type="dxa" w:w="1704"/>
            <w:vAlign w:val="center"/>
          </w:tcPr>
          <w:p>
            <w:pPr>
              <w:spacing w:after="20"/>
            </w:pPr>
            <w:r>
              <w:rPr>
                <w:sz w:val="13"/>
              </w:rPr>
              <w:t>22.72%</w:t>
            </w:r>
          </w:p>
        </w:tc>
        <w:tc>
          <w:tcPr>
            <w:tcW w:type="dxa" w:w="1704"/>
            <w:vAlign w:val="center"/>
          </w:tcPr>
          <w:p>
            <w:pPr>
              <w:spacing w:after="20"/>
            </w:pPr>
            <w:r>
              <w:rPr>
                <w:sz w:val="13"/>
              </w:rPr>
              <w:t>1.086</w:t>
            </w:r>
          </w:p>
        </w:tc>
        <w:tc>
          <w:tcPr>
            <w:tcW w:type="dxa" w:w="1704"/>
            <w:vAlign w:val="center"/>
          </w:tcPr>
          <w:p>
            <w:pPr>
              <w:spacing w:after="20"/>
            </w:pPr>
            <w:r>
              <w:rPr>
                <w:sz w:val="13"/>
              </w:rPr>
              <w:t>Modest random-holdout result; facilities can repeat across folds.</w:t>
            </w:r>
          </w:p>
        </w:tc>
      </w:tr>
      <w:tr>
        <w:trPr>
          <w:cantSplit/>
        </w:trPr>
        <w:tc>
          <w:tcPr>
            <w:tcW w:type="dxa" w:w="1704"/>
            <w:vAlign w:val="center"/>
          </w:tcPr>
          <w:p>
            <w:pPr>
              <w:spacing w:after="20"/>
            </w:pPr>
            <w:r>
              <w:rPr>
                <w:sz w:val="13"/>
              </w:rPr>
              <w:t>Random, all supplied fields</w:t>
            </w:r>
          </w:p>
        </w:tc>
        <w:tc>
          <w:tcPr>
            <w:tcW w:type="dxa" w:w="1704"/>
            <w:vAlign w:val="center"/>
          </w:tcPr>
          <w:p>
            <w:pPr>
              <w:spacing w:after="20"/>
            </w:pPr>
            <w:r>
              <w:rPr>
                <w:sz w:val="13"/>
              </w:rPr>
              <w:t>84.29%</w:t>
            </w:r>
          </w:p>
        </w:tc>
        <w:tc>
          <w:tcPr>
            <w:tcW w:type="dxa" w:w="1704"/>
            <w:vAlign w:val="center"/>
          </w:tcPr>
          <w:p>
            <w:pPr>
              <w:spacing w:after="20"/>
            </w:pPr>
            <w:r>
              <w:rPr>
                <w:sz w:val="13"/>
              </w:rPr>
              <w:t>55.66%</w:t>
            </w:r>
          </w:p>
        </w:tc>
        <w:tc>
          <w:tcPr>
            <w:tcW w:type="dxa" w:w="1704"/>
            <w:vAlign w:val="center"/>
          </w:tcPr>
          <w:p>
            <w:pPr>
              <w:spacing w:after="20"/>
            </w:pPr>
            <w:r>
              <w:rPr>
                <w:sz w:val="13"/>
              </w:rPr>
              <w:t>56.01%</w:t>
            </w:r>
          </w:p>
        </w:tc>
        <w:tc>
          <w:tcPr>
            <w:tcW w:type="dxa" w:w="1704"/>
            <w:vAlign w:val="center"/>
          </w:tcPr>
          <w:p>
            <w:pPr>
              <w:spacing w:after="20"/>
            </w:pPr>
            <w:r>
              <w:rPr>
                <w:sz w:val="13"/>
              </w:rPr>
              <w:t>0.402</w:t>
            </w:r>
          </w:p>
        </w:tc>
        <w:tc>
          <w:tcPr>
            <w:tcW w:type="dxa" w:w="1704"/>
            <w:vAlign w:val="center"/>
          </w:tcPr>
          <w:p>
            <w:pPr>
              <w:spacing w:after="20"/>
            </w:pPr>
            <w:r>
              <w:rPr>
                <w:sz w:val="13"/>
              </w:rPr>
              <w:t>Uses fields such as RiskLevel and SectionViolations whose timing may leak outcome information.</w:t>
            </w:r>
          </w:p>
        </w:tc>
      </w:tr>
      <w:tr>
        <w:trPr>
          <w:cantSplit/>
        </w:trPr>
        <w:tc>
          <w:tcPr>
            <w:tcW w:type="dxa" w:w="1704"/>
            <w:vAlign w:val="center"/>
          </w:tcPr>
          <w:p>
            <w:pPr>
              <w:spacing w:after="20"/>
            </w:pPr>
            <w:r>
              <w:rPr>
                <w:sz w:val="13"/>
              </w:rPr>
              <w:t>2017–2018, past majority baseline</w:t>
            </w:r>
          </w:p>
        </w:tc>
        <w:tc>
          <w:tcPr>
            <w:tcW w:type="dxa" w:w="1704"/>
            <w:vAlign w:val="center"/>
          </w:tcPr>
          <w:p>
            <w:pPr>
              <w:spacing w:after="20"/>
            </w:pPr>
            <w:r>
              <w:rPr>
                <w:sz w:val="13"/>
              </w:rPr>
              <w:t>30.71%</w:t>
            </w:r>
          </w:p>
        </w:tc>
        <w:tc>
          <w:tcPr>
            <w:tcW w:type="dxa" w:w="1704"/>
            <w:vAlign w:val="center"/>
          </w:tcPr>
          <w:p>
            <w:pPr>
              <w:spacing w:after="20"/>
            </w:pPr>
            <w:r>
              <w:rPr>
                <w:sz w:val="13"/>
              </w:rPr>
              <w:t>14.29%</w:t>
            </w:r>
          </w:p>
        </w:tc>
        <w:tc>
          <w:tcPr>
            <w:tcW w:type="dxa" w:w="1704"/>
            <w:vAlign w:val="center"/>
          </w:tcPr>
          <w:p>
            <w:pPr>
              <w:spacing w:after="20"/>
            </w:pPr>
            <w:r>
              <w:rPr>
                <w:sz w:val="13"/>
              </w:rPr>
              <w:t>6.71%</w:t>
            </w:r>
          </w:p>
        </w:tc>
        <w:tc>
          <w:tcPr>
            <w:tcW w:type="dxa" w:w="1704"/>
            <w:vAlign w:val="center"/>
          </w:tcPr>
          <w:p>
            <w:pPr>
              <w:spacing w:after="20"/>
            </w:pPr>
            <w:r>
              <w:rPr>
                <w:sz w:val="13"/>
              </w:rPr>
              <w:t>n/a</w:t>
            </w:r>
          </w:p>
        </w:tc>
        <w:tc>
          <w:tcPr>
            <w:tcW w:type="dxa" w:w="1704"/>
            <w:vAlign w:val="center"/>
          </w:tcPr>
          <w:p>
            <w:pPr>
              <w:spacing w:after="20"/>
            </w:pPr>
            <w:r>
              <w:rPr>
                <w:sz w:val="13"/>
              </w:rPr>
              <w:t>Reflects future-period class mix.</w:t>
            </w:r>
          </w:p>
        </w:tc>
      </w:tr>
      <w:tr>
        <w:trPr>
          <w:cantSplit/>
        </w:trPr>
        <w:tc>
          <w:tcPr>
            <w:tcW w:type="dxa" w:w="1704"/>
            <w:vAlign w:val="center"/>
          </w:tcPr>
          <w:p>
            <w:pPr>
              <w:spacing w:after="20"/>
            </w:pPr>
            <w:r>
              <w:rPr>
                <w:sz w:val="13"/>
              </w:rPr>
              <w:t>2017–2018, pre-inspection fields</w:t>
            </w:r>
          </w:p>
        </w:tc>
        <w:tc>
          <w:tcPr>
            <w:tcW w:type="dxa" w:w="1704"/>
            <w:vAlign w:val="center"/>
          </w:tcPr>
          <w:p>
            <w:pPr>
              <w:spacing w:after="20"/>
            </w:pPr>
            <w:r>
              <w:rPr>
                <w:sz w:val="13"/>
              </w:rPr>
              <w:t>30.86%</w:t>
            </w:r>
          </w:p>
        </w:tc>
        <w:tc>
          <w:tcPr>
            <w:tcW w:type="dxa" w:w="1704"/>
            <w:vAlign w:val="center"/>
          </w:tcPr>
          <w:p>
            <w:pPr>
              <w:spacing w:after="20"/>
            </w:pPr>
            <w:r>
              <w:rPr>
                <w:sz w:val="13"/>
              </w:rPr>
              <w:t>22.38%</w:t>
            </w:r>
          </w:p>
        </w:tc>
        <w:tc>
          <w:tcPr>
            <w:tcW w:type="dxa" w:w="1704"/>
            <w:vAlign w:val="center"/>
          </w:tcPr>
          <w:p>
            <w:pPr>
              <w:spacing w:after="20"/>
            </w:pPr>
            <w:r>
              <w:rPr>
                <w:sz w:val="13"/>
              </w:rPr>
              <w:t>12.53%</w:t>
            </w:r>
          </w:p>
        </w:tc>
        <w:tc>
          <w:tcPr>
            <w:tcW w:type="dxa" w:w="1704"/>
            <w:vAlign w:val="center"/>
          </w:tcPr>
          <w:p>
            <w:pPr>
              <w:spacing w:after="20"/>
            </w:pPr>
            <w:r>
              <w:rPr>
                <w:sz w:val="13"/>
              </w:rPr>
              <w:t>1.668</w:t>
            </w:r>
          </w:p>
        </w:tc>
        <w:tc>
          <w:tcPr>
            <w:tcW w:type="dxa" w:w="1704"/>
            <w:vAlign w:val="center"/>
          </w:tcPr>
          <w:p>
            <w:pPr>
              <w:spacing w:after="20"/>
            </w:pPr>
            <w:r>
              <w:rPr>
                <w:sz w:val="13"/>
              </w:rPr>
              <w:t>Only 0.15 percentage points above temporal accuracy baseline.</w:t>
            </w:r>
          </w:p>
        </w:tc>
      </w:tr>
      <w:tr>
        <w:trPr>
          <w:cantSplit/>
        </w:trPr>
        <w:tc>
          <w:tcPr>
            <w:tcW w:type="dxa" w:w="1704"/>
            <w:vAlign w:val="center"/>
          </w:tcPr>
          <w:p>
            <w:pPr>
              <w:spacing w:after="20"/>
            </w:pPr>
            <w:r>
              <w:rPr>
                <w:sz w:val="13"/>
              </w:rPr>
              <w:t>2017–2018, all supplied fields</w:t>
            </w:r>
          </w:p>
        </w:tc>
        <w:tc>
          <w:tcPr>
            <w:tcW w:type="dxa" w:w="1704"/>
            <w:vAlign w:val="center"/>
          </w:tcPr>
          <w:p>
            <w:pPr>
              <w:spacing w:after="20"/>
            </w:pPr>
            <w:r>
              <w:rPr>
                <w:sz w:val="13"/>
              </w:rPr>
              <w:t>64.65%</w:t>
            </w:r>
          </w:p>
        </w:tc>
        <w:tc>
          <w:tcPr>
            <w:tcW w:type="dxa" w:w="1704"/>
            <w:vAlign w:val="center"/>
          </w:tcPr>
          <w:p>
            <w:pPr>
              <w:spacing w:after="20"/>
            </w:pPr>
            <w:r>
              <w:rPr>
                <w:sz w:val="13"/>
              </w:rPr>
              <w:t>56.49%</w:t>
            </w:r>
          </w:p>
        </w:tc>
        <w:tc>
          <w:tcPr>
            <w:tcW w:type="dxa" w:w="1704"/>
            <w:vAlign w:val="center"/>
          </w:tcPr>
          <w:p>
            <w:pPr>
              <w:spacing w:after="20"/>
            </w:pPr>
            <w:r>
              <w:rPr>
                <w:sz w:val="13"/>
              </w:rPr>
              <w:t>50.51%</w:t>
            </w:r>
          </w:p>
        </w:tc>
        <w:tc>
          <w:tcPr>
            <w:tcW w:type="dxa" w:w="1704"/>
            <w:vAlign w:val="center"/>
          </w:tcPr>
          <w:p>
            <w:pPr>
              <w:spacing w:after="20"/>
            </w:pPr>
            <w:r>
              <w:rPr>
                <w:sz w:val="13"/>
              </w:rPr>
              <w:t>0.941</w:t>
            </w:r>
          </w:p>
        </w:tc>
        <w:tc>
          <w:tcPr>
            <w:tcW w:type="dxa" w:w="1704"/>
            <w:vAlign w:val="center"/>
          </w:tcPr>
          <w:p>
            <w:pPr>
              <w:spacing w:after="20"/>
            </w:pPr>
            <w:r>
              <w:rPr>
                <w:sz w:val="13"/>
              </w:rPr>
              <w:t>Diagnostic only; field availability and target drift limit forecast interpretation.</w:t>
            </w:r>
          </w:p>
        </w:tc>
      </w:tr>
    </w:tbl>
    <w:p/>
    <w:p>
      <w:r>
        <w:t>These results show why random-holdout accuracy is not a sufficient deployment argument. The apparently strong full-field score does not establish a pre-event forecast: field availability is undocumented, facilities repeat, classes are imbalanced, and the outcome distribution changes over time. The rarest outcome had no correct predictions in the reported random validation. The report therefore recommended provenance verification, a time-ordered leakage-safe evaluation, and no deployment claim.</w:t>
      </w:r>
    </w:p>
    <w:p>
      <w:pPr>
        <w:pStyle w:val="Heading2"/>
      </w:pPr>
      <w:r>
        <w:t>2.2 Week 2: data quality and cleaning methodology</w:t>
      </w:r>
    </w:p>
    <w:p>
      <w:r>
        <w:t>The cleaning blueprint starts by agreeing analytical grain and the decision before joining tables. Its proposed data contract records definitions, types, units, allowed values, null meaning, grain, source, timestamp semantics, and validation rules. Intake checks include source manifests, schema and key checks, join coverage, expected sensor cadence, timezone consistency, numeric/category profiles, and time-series plots with process state and approved limits.</w:t>
      </w:r>
    </w:p>
    <w:p>
      <w:pPr>
        <w:pStyle w:val="ListBullet"/>
      </w:pPr>
      <w:r>
        <w:t>Preserve immutable raw inputs, source values, and a transformation/exclusion log; do not silently delete extremes or normalize critical missing readings.</w:t>
      </w:r>
    </w:p>
    <w:p>
      <w:pPr>
        <w:pStyle w:val="ListBullet"/>
      </w:pPr>
      <w:r>
        <w:t>Distinguish a valid measurement from an acceptable process state; a real excursion is not automatically bad data.</w:t>
      </w:r>
    </w:p>
    <w:p>
      <w:pPr>
        <w:pStyle w:val="ListBullet"/>
      </w:pPr>
      <w:r>
        <w:t>Classify missingness by reason. Interpolate or forward-fill only short, justified gaps within stable process states and approved maximum gaps; flag imputation and do not bridge shutdowns or alarms.</w:t>
      </w:r>
    </w:p>
    <w:p>
      <w:pPr>
        <w:pStyle w:val="ListBullet"/>
      </w:pPr>
      <w:r>
        <w:t>Investigate outliers and sensor faults against calibration, range, event logs, and process state before any exclusion or clipping.</w:t>
      </w:r>
    </w:p>
    <w:p>
      <w:pPr>
        <w:pStyle w:val="ListBullet"/>
      </w:pPr>
      <w:r>
        <w:t>Resolve duplicate events and joins at compatible grain, preserve time zones and both event/source times, and fit learned preprocessing only within training folds.</w:t>
      </w:r>
    </w:p>
    <w:p>
      <w:pPr>
        <w:pStyle w:val="ListBullet"/>
      </w:pPr>
      <w:r>
        <w:t>Use independent review for specification choices, exception dispositions, leakage checks, and dataset release.</w:t>
      </w:r>
    </w:p>
    <w:p>
      <w:r>
        <w:t>The Week 1 dataset provided examples of missing categories/fields, impossible dates, high-cardinality facility IDs, rare classes, and repeated facilities. Those examples illustrate data-quality reasoning but do not substitute for profiling factory sensor records.</w:t>
      </w:r>
    </w:p>
    <w:p>
      <w:pPr>
        <w:pStyle w:val="Heading2"/>
      </w:pPr>
      <w:r>
        <w:t>2.3 Week 3: feature engineering</w:t>
      </w:r>
    </w:p>
    <w:p>
      <w:r>
        <w:t>The feature strategy organizes candidate inputs into process-context, dynamics/exposure, raw-material, sensor-health, and limited pre-specified interaction groups. Examples include signed/absolute deviation from recipe- and stage-specific targets; time in or outside approved bands; cumulative degree-time; rolling means, variability and slopes; batch start, end, range and coverage; material-lot attributes; and fault/missingness indicators. Polynomial terms and interactions are selected deliberately rather than exhaustively.</w:t>
      </w:r>
    </w:p>
    <w:p>
      <w:r>
        <w:t>The implemented week3_feature_engineering.py accepts long-form sensor readings with batch_id, timestamp, prediction_cutoff, sensor, and value. It excludes readings after the cutoff; rejects duplicate batch/sensor/timestamp events and invalid inputs; and computes batch summaries, trends, target deviations, specification fractions, and time exposure under a documented forward-hold gap assumption. It also exposes selected polynomial and interaction features, chronological regression comparisons (median, Ridge, shallow tree), and optional exploratory K-means profiles. Unit tests check cutoff behavior, validation, regression, clustering, and command-line output.</w:t>
      </w:r>
    </w:p>
    <w:p>
      <w:r>
        <w:t>The script is a reusable template, not an observed factory-feature dataset. Its optional target/limit fields are in-process references, distinct from the final quality target. Feature meanings, limits, gap rules, and availability still require plant-owner approval.</w:t>
      </w:r>
    </w:p>
    <w:p>
      <w:pPr>
        <w:pStyle w:val="Heading2"/>
      </w:pPr>
      <w:r>
        <w:t>2.4 Weeks 4–5: models, evaluation, and risk</w:t>
      </w:r>
    </w:p>
    <w:p>
      <w:r>
        <w:t>Week 4 defines the primary quality question, a batch/checkpoint observation unit, a binary final nonconformance outcome, and an optional continuous laboratory target. It proposes prevalence/median baselines, regularized logistic/linear models, constrained trees and a secondary tree ensemble. Six hypotheses concern approved temperature-time exposure, process variability, pH/moisture deviations, incoming-lot variation, product/recipe/line interactions, and sensor coverage. They are explicitly associations to test, not causal claims.</w:t>
      </w:r>
    </w:p>
    <w:p>
      <w:r>
        <w:t>The week4_predictive_modeling.py prototype builds on the Week 3 feature function and compares a prevalence baseline with logistic regression, a shallow decision tree, and a random forest for binary outcomes; for continuous outcomes it compares a median baseline, Ridge, a shallow tree, and a random forest. It creates a chronological holdout and reports classification metrics and probability quality, plus MAE, RMSE, bias, and R-squared for regression. It checks target linkage and optional group-boundary overlap and writes holdout predictions and a JSON report.</w:t>
      </w:r>
    </w:p>
    <w:p>
      <w:r>
        <w:t>This script is an initial prototype, not a complete production validation framework: it does not itself conduct nested rolling-origin validation, tune thresholds, calibrate probabilities, estimate uncertainty, or establish operational acceptance criteria. The default threshold is a demonstration setting and must not be selected from the final test.</w:t>
      </w:r>
    </w:p>
    <w:p>
      <w:r>
        <w:t>Week 5 formalizes the metric plan: recall and precision for nonconformance, PR-AUC, confusion counts and alert workload; Brier/calibration checks; and continuous errors in original units. It specifies stratified/group-aware development folds, rolling-origin validation, a locked latest-period test, cluster/time-block bootstrap, subgroup review, risk owners, fail-safe use, monitoring triggers, controlled updates, shadow deployment, and rollback. week5_model_evaluation.py implements binary metrics, stratified and grouped cross-validation, row/group bootstrap intervals, chronological partitioning, and a numeric population-stability measure. It evaluates existing predictions; it is not a training or deployment service.</w:t>
      </w:r>
    </w:p>
    <w:p>
      <w:pPr>
        <w:pStyle w:val="Heading1"/>
      </w:pPr>
      <w:r>
        <w:t>3. Results summary and current evidence</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7365D"/>
          </w:tcPr>
          <w:p>
            <w:r>
              <w:rPr>
                <w:b/>
                <w:color w:val="FFFFFF"/>
                <w:sz w:val="14"/>
              </w:rPr>
              <w:t>Evidence item</w:t>
            </w:r>
          </w:p>
        </w:tc>
        <w:tc>
          <w:tcPr>
            <w:tcW w:type="dxa" w:w="3408"/>
            <w:shd w:fill="17365D"/>
          </w:tcPr>
          <w:p>
            <w:r>
              <w:rPr>
                <w:b/>
                <w:color w:val="FFFFFF"/>
                <w:sz w:val="14"/>
              </w:rPr>
              <w:t>Result</w:t>
            </w:r>
          </w:p>
        </w:tc>
        <w:tc>
          <w:tcPr>
            <w:tcW w:type="dxa" w:w="3408"/>
            <w:shd w:fill="17365D"/>
          </w:tcPr>
          <w:p>
            <w:r>
              <w:rPr>
                <w:b/>
                <w:color w:val="FFFFFF"/>
                <w:sz w:val="14"/>
              </w:rPr>
              <w:t>What it does not establish</w:t>
            </w:r>
          </w:p>
        </w:tc>
      </w:tr>
      <w:tr>
        <w:trPr>
          <w:cantSplit/>
        </w:trPr>
        <w:tc>
          <w:tcPr>
            <w:tcW w:type="dxa" w:w="3408"/>
            <w:vAlign w:val="center"/>
          </w:tcPr>
          <w:p>
            <w:pPr>
              <w:spacing w:after="20"/>
            </w:pPr>
            <w:r>
              <w:rPr>
                <w:sz w:val="14"/>
              </w:rPr>
              <w:t>Week 1 inspection classification</w:t>
            </w:r>
          </w:p>
        </w:tc>
        <w:tc>
          <w:tcPr>
            <w:tcW w:type="dxa" w:w="3408"/>
            <w:vAlign w:val="center"/>
          </w:tcPr>
          <w:p>
            <w:pPr>
              <w:spacing w:after="20"/>
            </w:pPr>
            <w:r>
              <w:rPr>
                <w:sz w:val="14"/>
              </w:rPr>
              <w:t>Reported random and 2017–2018 holdout metrics for a multiclass logistic-regression baseline.</w:t>
            </w:r>
          </w:p>
        </w:tc>
        <w:tc>
          <w:tcPr>
            <w:tcW w:type="dxa" w:w="3408"/>
            <w:vAlign w:val="center"/>
          </w:tcPr>
          <w:p>
            <w:pPr>
              <w:spacing w:after="20"/>
            </w:pPr>
            <w:r>
              <w:rPr>
                <w:sz w:val="14"/>
              </w:rPr>
              <w:t>Factory batch quality, food chemistry, prospective manufacturing utility, or a validated safety endpoint.</w:t>
            </w:r>
          </w:p>
        </w:tc>
      </w:tr>
      <w:tr>
        <w:trPr>
          <w:cantSplit/>
        </w:trPr>
        <w:tc>
          <w:tcPr>
            <w:tcW w:type="dxa" w:w="3408"/>
            <w:vAlign w:val="center"/>
          </w:tcPr>
          <w:p>
            <w:pPr>
              <w:spacing w:after="20"/>
            </w:pPr>
            <w:r>
              <w:rPr>
                <w:sz w:val="14"/>
              </w:rPr>
              <w:t>Week 2 cleaning plan</w:t>
            </w:r>
          </w:p>
        </w:tc>
        <w:tc>
          <w:tcPr>
            <w:tcW w:type="dxa" w:w="3408"/>
            <w:vAlign w:val="center"/>
          </w:tcPr>
          <w:p>
            <w:pPr>
              <w:spacing w:after="20"/>
            </w:pPr>
            <w:r>
              <w:rPr>
                <w:sz w:val="14"/>
              </w:rPr>
              <w:t>Detailed profiling, cleaning, exception, review, and release methodology.</w:t>
            </w:r>
          </w:p>
        </w:tc>
        <w:tc>
          <w:tcPr>
            <w:tcW w:type="dxa" w:w="3408"/>
            <w:vAlign w:val="center"/>
          </w:tcPr>
          <w:p>
            <w:pPr>
              <w:spacing w:after="20"/>
            </w:pPr>
            <w:r>
              <w:rPr>
                <w:sz w:val="14"/>
              </w:rPr>
              <w:t>That factory data have been received, cleaned, or approved.</w:t>
            </w:r>
          </w:p>
        </w:tc>
      </w:tr>
      <w:tr>
        <w:trPr>
          <w:cantSplit/>
        </w:trPr>
        <w:tc>
          <w:tcPr>
            <w:tcW w:type="dxa" w:w="3408"/>
            <w:vAlign w:val="center"/>
          </w:tcPr>
          <w:p>
            <w:pPr>
              <w:spacing w:after="20"/>
            </w:pPr>
            <w:r>
              <w:rPr>
                <w:sz w:val="14"/>
              </w:rPr>
              <w:t>Week 3 code and tests</w:t>
            </w:r>
          </w:p>
        </w:tc>
        <w:tc>
          <w:tcPr>
            <w:tcW w:type="dxa" w:w="3408"/>
            <w:vAlign w:val="center"/>
          </w:tcPr>
          <w:p>
            <w:pPr>
              <w:spacing w:after="20"/>
            </w:pPr>
            <w:r>
              <w:rPr>
                <w:sz w:val="14"/>
              </w:rPr>
              <w:t>Feature-engineering and exploratory regression/clustering behavior checked on test fixtures.</w:t>
            </w:r>
          </w:p>
        </w:tc>
        <w:tc>
          <w:tcPr>
            <w:tcW w:type="dxa" w:w="3408"/>
            <w:vAlign w:val="center"/>
          </w:tcPr>
          <w:p>
            <w:pPr>
              <w:spacing w:after="20"/>
            </w:pPr>
            <w:r>
              <w:rPr>
                <w:sz w:val="14"/>
              </w:rPr>
              <w:t>Performance on actual process sensor and lab data.</w:t>
            </w:r>
          </w:p>
        </w:tc>
      </w:tr>
      <w:tr>
        <w:trPr>
          <w:cantSplit/>
        </w:trPr>
        <w:tc>
          <w:tcPr>
            <w:tcW w:type="dxa" w:w="3408"/>
            <w:vAlign w:val="center"/>
          </w:tcPr>
          <w:p>
            <w:pPr>
              <w:spacing w:after="20"/>
            </w:pPr>
            <w:r>
              <w:rPr>
                <w:sz w:val="14"/>
              </w:rPr>
              <w:t>Week 4 code and tests</w:t>
            </w:r>
          </w:p>
        </w:tc>
        <w:tc>
          <w:tcPr>
            <w:tcW w:type="dxa" w:w="3408"/>
            <w:vAlign w:val="center"/>
          </w:tcPr>
          <w:p>
            <w:pPr>
              <w:spacing w:after="20"/>
            </w:pPr>
            <w:r>
              <w:rPr>
                <w:sz w:val="14"/>
              </w:rPr>
              <w:t>Chronological model comparison pipeline verified on generated fixtures.</w:t>
            </w:r>
          </w:p>
        </w:tc>
        <w:tc>
          <w:tcPr>
            <w:tcW w:type="dxa" w:w="3408"/>
            <w:vAlign w:val="center"/>
          </w:tcPr>
          <w:p>
            <w:pPr>
              <w:spacing w:after="20"/>
            </w:pPr>
            <w:r>
              <w:rPr>
                <w:sz w:val="14"/>
              </w:rPr>
              <w:t>Real-world accuracy, sufficient test volume, calibrated probabilities, or tuned operational threshold.</w:t>
            </w:r>
          </w:p>
        </w:tc>
      </w:tr>
      <w:tr>
        <w:trPr>
          <w:cantSplit/>
        </w:trPr>
        <w:tc>
          <w:tcPr>
            <w:tcW w:type="dxa" w:w="3408"/>
            <w:vAlign w:val="center"/>
          </w:tcPr>
          <w:p>
            <w:pPr>
              <w:spacing w:after="20"/>
            </w:pPr>
            <w:r>
              <w:rPr>
                <w:sz w:val="14"/>
              </w:rPr>
              <w:t>Week 5 framework and tests</w:t>
            </w:r>
          </w:p>
        </w:tc>
        <w:tc>
          <w:tcPr>
            <w:tcW w:type="dxa" w:w="3408"/>
            <w:vAlign w:val="center"/>
          </w:tcPr>
          <w:p>
            <w:pPr>
              <w:spacing w:after="20"/>
            </w:pPr>
            <w:r>
              <w:rPr>
                <w:sz w:val="14"/>
              </w:rPr>
              <w:t>Metrics, bootstrap, split, and drift utilities checked on synthetic examples.</w:t>
            </w:r>
          </w:p>
        </w:tc>
        <w:tc>
          <w:tcPr>
            <w:tcW w:type="dxa" w:w="3408"/>
            <w:vAlign w:val="center"/>
          </w:tcPr>
          <w:p>
            <w:pPr>
              <w:spacing w:after="20"/>
            </w:pPr>
            <w:r>
              <w:rPr>
                <w:sz w:val="14"/>
              </w:rPr>
              <w:t>Validated future drift limits or acceptance thresholds for a particular plant.</w:t>
            </w:r>
          </w:p>
        </w:tc>
      </w:tr>
      <w:tr>
        <w:trPr>
          <w:cantSplit/>
        </w:trPr>
        <w:tc>
          <w:tcPr>
            <w:tcW w:type="dxa" w:w="3408"/>
            <w:vAlign w:val="center"/>
          </w:tcPr>
          <w:p>
            <w:pPr>
              <w:spacing w:after="20"/>
            </w:pPr>
            <w:r>
              <w:rPr>
                <w:sz w:val="14"/>
              </w:rPr>
              <w:t>Deployment</w:t>
            </w:r>
          </w:p>
        </w:tc>
        <w:tc>
          <w:tcPr>
            <w:tcW w:type="dxa" w:w="3408"/>
            <w:vAlign w:val="center"/>
          </w:tcPr>
          <w:p>
            <w:pPr>
              <w:spacing w:after="20"/>
            </w:pPr>
            <w:r>
              <w:rPr>
                <w:sz w:val="14"/>
              </w:rPr>
              <w:t>No production deployment or shadow pilot reported.</w:t>
            </w:r>
          </w:p>
        </w:tc>
        <w:tc>
          <w:tcPr>
            <w:tcW w:type="dxa" w:w="3408"/>
            <w:vAlign w:val="center"/>
          </w:tcPr>
          <w:p>
            <w:pPr>
              <w:spacing w:after="20"/>
            </w:pPr>
            <w:r>
              <w:rPr>
                <w:sz w:val="14"/>
              </w:rPr>
              <w:t>Safe automation or authority to release product.</w:t>
            </w:r>
          </w:p>
        </w:tc>
      </w:tr>
    </w:tbl>
    <w:p/>
    <w:p>
      <w:r>
        <w:t>Across code work, focused Week 3–5 tests passed, including a combined run of 17 tests after the Week 4 prototype was added. These tests exercise logic and expected file output on small constructed examples. They are not independent validation data and must not be presented as model-performance results.</w:t>
      </w:r>
    </w:p>
    <w:p>
      <w:pPr>
        <w:pStyle w:val="Heading1"/>
      </w:pPr>
      <w:r>
        <w:t>4. Challenges and lessons learned</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7365D"/>
          </w:tcPr>
          <w:p>
            <w:r>
              <w:rPr>
                <w:b/>
                <w:color w:val="FFFFFF"/>
                <w:sz w:val="14"/>
              </w:rPr>
              <w:t>Challenge</w:t>
            </w:r>
          </w:p>
        </w:tc>
        <w:tc>
          <w:tcPr>
            <w:tcW w:type="dxa" w:w="5112"/>
            <w:shd w:fill="17365D"/>
          </w:tcPr>
          <w:p>
            <w:r>
              <w:rPr>
                <w:b/>
                <w:color w:val="FFFFFF"/>
                <w:sz w:val="14"/>
              </w:rPr>
              <w:t>Lesson for the next phase</w:t>
            </w:r>
          </w:p>
        </w:tc>
      </w:tr>
      <w:tr>
        <w:trPr>
          <w:cantSplit/>
        </w:trPr>
        <w:tc>
          <w:tcPr>
            <w:tcW w:type="dxa" w:w="5112"/>
            <w:vAlign w:val="center"/>
          </w:tcPr>
          <w:p>
            <w:pPr>
              <w:spacing w:after="20"/>
            </w:pPr>
            <w:r>
              <w:rPr>
                <w:sz w:val="14"/>
              </w:rPr>
              <w:t>Task/data mismatch</w:t>
            </w:r>
          </w:p>
        </w:tc>
        <w:tc>
          <w:tcPr>
            <w:tcW w:type="dxa" w:w="5112"/>
            <w:vAlign w:val="center"/>
          </w:tcPr>
          <w:p>
            <w:pPr>
              <w:spacing w:after="20"/>
            </w:pPr>
            <w:r>
              <w:rPr>
                <w:sz w:val="14"/>
              </w:rPr>
              <w:t>A food-related dataset is not necessarily food-processing data. Verify endpoint, population, grain, provenance, and intended decision before transferring methods or claims.</w:t>
            </w:r>
          </w:p>
        </w:tc>
      </w:tr>
      <w:tr>
        <w:trPr>
          <w:cantSplit/>
        </w:trPr>
        <w:tc>
          <w:tcPr>
            <w:tcW w:type="dxa" w:w="5112"/>
            <w:vAlign w:val="center"/>
          </w:tcPr>
          <w:p>
            <w:pPr>
              <w:spacing w:after="20"/>
            </w:pPr>
            <w:r>
              <w:rPr>
                <w:sz w:val="14"/>
              </w:rPr>
              <w:t>Unknown provenance and semantics</w:t>
            </w:r>
          </w:p>
        </w:tc>
        <w:tc>
          <w:tcPr>
            <w:tcW w:type="dxa" w:w="5112"/>
            <w:vAlign w:val="center"/>
          </w:tcPr>
          <w:p>
            <w:pPr>
              <w:spacing w:after="20"/>
            </w:pPr>
            <w:r>
              <w:rPr>
                <w:sz w:val="14"/>
              </w:rPr>
              <w:t>Numeric codes, inferred class mappings, missing values, and undocumented fields require a data dictionary and owner confirmation before interpretation.</w:t>
            </w:r>
          </w:p>
        </w:tc>
      </w:tr>
      <w:tr>
        <w:trPr>
          <w:cantSplit/>
        </w:trPr>
        <w:tc>
          <w:tcPr>
            <w:tcW w:type="dxa" w:w="5112"/>
            <w:vAlign w:val="center"/>
          </w:tcPr>
          <w:p>
            <w:pPr>
              <w:spacing w:after="20"/>
            </w:pPr>
            <w:r>
              <w:rPr>
                <w:sz w:val="14"/>
              </w:rPr>
              <w:t>Target imbalance</w:t>
            </w:r>
          </w:p>
        </w:tc>
        <w:tc>
          <w:tcPr>
            <w:tcW w:type="dxa" w:w="5112"/>
            <w:vAlign w:val="center"/>
          </w:tcPr>
          <w:p>
            <w:pPr>
              <w:spacing w:after="20"/>
            </w:pPr>
            <w:r>
              <w:rPr>
                <w:sz w:val="14"/>
              </w:rPr>
              <w:t>Accuracy can reward majority-class prediction while missing minority outcomes. Report event counts, per-class metrics, precision/recall, PR-AUC, and uncertainty.</w:t>
            </w:r>
          </w:p>
        </w:tc>
      </w:tr>
      <w:tr>
        <w:trPr>
          <w:cantSplit/>
        </w:trPr>
        <w:tc>
          <w:tcPr>
            <w:tcW w:type="dxa" w:w="5112"/>
            <w:vAlign w:val="center"/>
          </w:tcPr>
          <w:p>
            <w:pPr>
              <w:spacing w:after="20"/>
            </w:pPr>
            <w:r>
              <w:rPr>
                <w:sz w:val="14"/>
              </w:rPr>
              <w:t>Temporal outcome shifts</w:t>
            </w:r>
          </w:p>
        </w:tc>
        <w:tc>
          <w:tcPr>
            <w:tcW w:type="dxa" w:w="5112"/>
            <w:vAlign w:val="center"/>
          </w:tcPr>
          <w:p>
            <w:pPr>
              <w:spacing w:after="20"/>
            </w:pPr>
            <w:r>
              <w:rPr>
                <w:sz w:val="14"/>
              </w:rPr>
              <w:t>Random holdouts can hide policy, population, or process changes. Future-period evaluation and change annotations are essential.</w:t>
            </w:r>
          </w:p>
        </w:tc>
      </w:tr>
      <w:tr>
        <w:trPr>
          <w:cantSplit/>
        </w:trPr>
        <w:tc>
          <w:tcPr>
            <w:tcW w:type="dxa" w:w="5112"/>
            <w:vAlign w:val="center"/>
          </w:tcPr>
          <w:p>
            <w:pPr>
              <w:spacing w:after="20"/>
            </w:pPr>
            <w:r>
              <w:rPr>
                <w:sz w:val="14"/>
              </w:rPr>
              <w:t>Repeated entities and correlated data</w:t>
            </w:r>
          </w:p>
        </w:tc>
        <w:tc>
          <w:tcPr>
            <w:tcW w:type="dxa" w:w="5112"/>
            <w:vAlign w:val="center"/>
          </w:tcPr>
          <w:p>
            <w:pPr>
              <w:spacing w:after="20"/>
            </w:pPr>
            <w:r>
              <w:rPr>
                <w:sz w:val="14"/>
              </w:rPr>
              <w:t>Facility, batch, lot, campaign, and line dependencies affect leakage and uncertainty. Partition and resample at the correct independent unit.</w:t>
            </w:r>
          </w:p>
        </w:tc>
      </w:tr>
      <w:tr>
        <w:trPr>
          <w:cantSplit/>
        </w:trPr>
        <w:tc>
          <w:tcPr>
            <w:tcW w:type="dxa" w:w="5112"/>
            <w:vAlign w:val="center"/>
          </w:tcPr>
          <w:p>
            <w:pPr>
              <w:spacing w:after="20"/>
            </w:pPr>
            <w:r>
              <w:rPr>
                <w:sz w:val="14"/>
              </w:rPr>
              <w:t>Feature timing and leakage</w:t>
            </w:r>
          </w:p>
        </w:tc>
        <w:tc>
          <w:tcPr>
            <w:tcW w:type="dxa" w:w="5112"/>
            <w:vAlign w:val="center"/>
          </w:tcPr>
          <w:p>
            <w:pPr>
              <w:spacing w:after="20"/>
            </w:pPr>
            <w:r>
              <w:rPr>
                <w:sz w:val="14"/>
              </w:rPr>
              <w:t>A strong predictive proxy may only be available after the decision. Maintain source/event timestamps and a feature-availability contract.</w:t>
            </w:r>
          </w:p>
        </w:tc>
      </w:tr>
      <w:tr>
        <w:trPr>
          <w:cantSplit/>
        </w:trPr>
        <w:tc>
          <w:tcPr>
            <w:tcW w:type="dxa" w:w="5112"/>
            <w:vAlign w:val="center"/>
          </w:tcPr>
          <w:p>
            <w:pPr>
              <w:spacing w:after="20"/>
            </w:pPr>
            <w:r>
              <w:rPr>
                <w:sz w:val="14"/>
              </w:rPr>
              <w:t>Operational interpretation</w:t>
            </w:r>
          </w:p>
        </w:tc>
        <w:tc>
          <w:tcPr>
            <w:tcW w:type="dxa" w:w="5112"/>
            <w:vAlign w:val="center"/>
          </w:tcPr>
          <w:p>
            <w:pPr>
              <w:spacing w:after="20"/>
            </w:pPr>
            <w:r>
              <w:rPr>
                <w:sz w:val="14"/>
              </w:rPr>
              <w:t>A threshold changes miss rate and review load. Quality and operations owners must define costs, capacity, action, and escalation before a model can support work.</w:t>
            </w:r>
          </w:p>
        </w:tc>
      </w:tr>
      <w:tr>
        <w:trPr>
          <w:cantSplit/>
        </w:trPr>
        <w:tc>
          <w:tcPr>
            <w:tcW w:type="dxa" w:w="5112"/>
            <w:vAlign w:val="center"/>
          </w:tcPr>
          <w:p>
            <w:pPr>
              <w:spacing w:after="20"/>
            </w:pPr>
            <w:r>
              <w:rPr>
                <w:sz w:val="14"/>
              </w:rPr>
              <w:t>Model code versus validated process</w:t>
            </w:r>
          </w:p>
        </w:tc>
        <w:tc>
          <w:tcPr>
            <w:tcW w:type="dxa" w:w="5112"/>
            <w:vAlign w:val="center"/>
          </w:tcPr>
          <w:p>
            <w:pPr>
              <w:spacing w:after="20"/>
            </w:pPr>
            <w:r>
              <w:rPr>
                <w:sz w:val="14"/>
              </w:rPr>
              <w:t>A functional script and passing tests establish software behavior, not suitability, calibration, safety, or deployment readiness.</w:t>
            </w:r>
          </w:p>
        </w:tc>
      </w:tr>
      <w:tr>
        <w:trPr>
          <w:cantSplit/>
        </w:trPr>
        <w:tc>
          <w:tcPr>
            <w:tcW w:type="dxa" w:w="5112"/>
            <w:vAlign w:val="center"/>
          </w:tcPr>
          <w:p>
            <w:pPr>
              <w:spacing w:after="20"/>
            </w:pPr>
            <w:r>
              <w:rPr>
                <w:sz w:val="14"/>
              </w:rPr>
              <w:t>No manufacturing dataset</w:t>
            </w:r>
          </w:p>
        </w:tc>
        <w:tc>
          <w:tcPr>
            <w:tcW w:type="dxa" w:w="5112"/>
            <w:vAlign w:val="center"/>
          </w:tcPr>
          <w:p>
            <w:pPr>
              <w:spacing w:after="20"/>
            </w:pPr>
            <w:r>
              <w:rPr>
                <w:sz w:val="14"/>
              </w:rPr>
              <w:t>All factory hypotheses, metrics, thresholds, risk scores, and candidate models remain prospective. The next milestone is governed data access and readiness.</w:t>
            </w:r>
          </w:p>
        </w:tc>
      </w:tr>
    </w:tbl>
    <w:p/>
    <w:p>
      <w:pPr>
        <w:pStyle w:val="Heading1"/>
      </w:pPr>
      <w:r>
        <w:t>5. Future roadmap</w:t>
      </w:r>
    </w:p>
    <w:p>
      <w:r>
        <w:t>The roadmap is gated by data availability and stakeholder decisions. It should pause when data lineage, target quality, independent sample volume, or operational ownership is insufficient. Time estimates below are planning ranges and depend on site access, laboratory linkage, and review capacity.</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7365D"/>
          </w:tcPr>
          <w:p>
            <w:r>
              <w:rPr>
                <w:b/>
                <w:color w:val="FFFFFF"/>
                <w:sz w:val="13"/>
              </w:rPr>
              <w:t>Phase</w:t>
            </w:r>
          </w:p>
        </w:tc>
        <w:tc>
          <w:tcPr>
            <w:tcW w:type="dxa" w:w="3408"/>
            <w:shd w:fill="17365D"/>
          </w:tcPr>
          <w:p>
            <w:r>
              <w:rPr>
                <w:b/>
                <w:color w:val="FFFFFF"/>
                <w:sz w:val="13"/>
              </w:rPr>
              <w:t>Work</w:t>
            </w:r>
          </w:p>
        </w:tc>
        <w:tc>
          <w:tcPr>
            <w:tcW w:type="dxa" w:w="3408"/>
            <w:shd w:fill="17365D"/>
          </w:tcPr>
          <w:p>
            <w:r>
              <w:rPr>
                <w:b/>
                <w:color w:val="FFFFFF"/>
                <w:sz w:val="13"/>
              </w:rPr>
              <w:t>Deliverable / decision gate</w:t>
            </w:r>
          </w:p>
        </w:tc>
      </w:tr>
      <w:tr>
        <w:trPr>
          <w:cantSplit/>
        </w:trPr>
        <w:tc>
          <w:tcPr>
            <w:tcW w:type="dxa" w:w="3408"/>
            <w:vAlign w:val="center"/>
          </w:tcPr>
          <w:p>
            <w:pPr>
              <w:spacing w:after="20"/>
            </w:pPr>
            <w:r>
              <w:rPr>
                <w:sz w:val="13"/>
              </w:rPr>
              <w:t>0. Sponsor and scope (1–2 weeks)</w:t>
            </w:r>
          </w:p>
        </w:tc>
        <w:tc>
          <w:tcPr>
            <w:tcW w:type="dxa" w:w="3408"/>
            <w:vAlign w:val="center"/>
          </w:tcPr>
          <w:p>
            <w:pPr>
              <w:spacing w:after="20"/>
            </w:pPr>
            <w:r>
              <w:rPr>
                <w:sz w:val="13"/>
              </w:rPr>
              <w:t>Name product/process, quality endpoint, prediction checkpoint, action, owners, error costs, access permissions, and safety boundary.</w:t>
            </w:r>
          </w:p>
        </w:tc>
        <w:tc>
          <w:tcPr>
            <w:tcW w:type="dxa" w:w="3408"/>
            <w:vAlign w:val="center"/>
          </w:tcPr>
          <w:p>
            <w:pPr>
              <w:spacing w:after="20"/>
            </w:pPr>
            <w:r>
              <w:rPr>
                <w:sz w:val="13"/>
              </w:rPr>
              <w:t>Approved charter and endpoint/prediction-time contract.</w:t>
            </w:r>
          </w:p>
        </w:tc>
      </w:tr>
      <w:tr>
        <w:trPr>
          <w:cantSplit/>
        </w:trPr>
        <w:tc>
          <w:tcPr>
            <w:tcW w:type="dxa" w:w="3408"/>
            <w:vAlign w:val="center"/>
          </w:tcPr>
          <w:p>
            <w:pPr>
              <w:spacing w:after="20"/>
            </w:pPr>
            <w:r>
              <w:rPr>
                <w:sz w:val="13"/>
              </w:rPr>
              <w:t>1. Data access and readiness (2–4 weeks)</w:t>
            </w:r>
          </w:p>
        </w:tc>
        <w:tc>
          <w:tcPr>
            <w:tcW w:type="dxa" w:w="3408"/>
            <w:vAlign w:val="center"/>
          </w:tcPr>
          <w:p>
            <w:pPr>
              <w:spacing w:after="20"/>
            </w:pPr>
            <w:r>
              <w:rPr>
                <w:sz w:val="13"/>
              </w:rPr>
              <w:t>Collect batch-linked sensor, recipe, lot, lab, calibration, specification, retest, and event records. Reconcile keys, units, clock, coverage, and provenance.</w:t>
            </w:r>
          </w:p>
        </w:tc>
        <w:tc>
          <w:tcPr>
            <w:tcW w:type="dxa" w:w="3408"/>
            <w:vAlign w:val="center"/>
          </w:tcPr>
          <w:p>
            <w:pPr>
              <w:spacing w:after="20"/>
            </w:pPr>
            <w:r>
              <w:rPr>
                <w:sz w:val="13"/>
              </w:rPr>
              <w:t>Data manifest, dictionary, linkage report, risk-ranked data exceptions; stop if labels or timing fail.</w:t>
            </w:r>
          </w:p>
        </w:tc>
      </w:tr>
      <w:tr>
        <w:trPr>
          <w:cantSplit/>
        </w:trPr>
        <w:tc>
          <w:tcPr>
            <w:tcW w:type="dxa" w:w="3408"/>
            <w:vAlign w:val="center"/>
          </w:tcPr>
          <w:p>
            <w:pPr>
              <w:spacing w:after="20"/>
            </w:pPr>
            <w:r>
              <w:rPr>
                <w:sz w:val="13"/>
              </w:rPr>
              <w:t>2. Profile and baseline (2–3 weeks)</w:t>
            </w:r>
          </w:p>
        </w:tc>
        <w:tc>
          <w:tcPr>
            <w:tcW w:type="dxa" w:w="3408"/>
            <w:vAlign w:val="center"/>
          </w:tcPr>
          <w:p>
            <w:pPr>
              <w:spacing w:after="20"/>
            </w:pPr>
            <w:r>
              <w:rPr>
                <w:sz w:val="13"/>
              </w:rPr>
              <w:t>Assess target prevalence, missingness, repeatability, drift, independent group counts, and current workflow; create simple prevalence/median baseline.</w:t>
            </w:r>
          </w:p>
        </w:tc>
        <w:tc>
          <w:tcPr>
            <w:tcW w:type="dxa" w:w="3408"/>
            <w:vAlign w:val="center"/>
          </w:tcPr>
          <w:p>
            <w:pPr>
              <w:spacing w:after="20"/>
            </w:pPr>
            <w:r>
              <w:rPr>
                <w:sz w:val="13"/>
              </w:rPr>
              <w:t>Signed data-readiness review, baseline metrics and preregistered analysis protocol.</w:t>
            </w:r>
          </w:p>
        </w:tc>
      </w:tr>
      <w:tr>
        <w:trPr>
          <w:cantSplit/>
        </w:trPr>
        <w:tc>
          <w:tcPr>
            <w:tcW w:type="dxa" w:w="3408"/>
            <w:vAlign w:val="center"/>
          </w:tcPr>
          <w:p>
            <w:pPr>
              <w:spacing w:after="20"/>
            </w:pPr>
            <w:r>
              <w:rPr>
                <w:sz w:val="13"/>
              </w:rPr>
              <w:t>3. Modeling and validation (3–6 weeks)</w:t>
            </w:r>
          </w:p>
        </w:tc>
        <w:tc>
          <w:tcPr>
            <w:tcW w:type="dxa" w:w="3408"/>
            <w:vAlign w:val="center"/>
          </w:tcPr>
          <w:p>
            <w:pPr>
              <w:spacing w:after="20"/>
            </w:pPr>
            <w:r>
              <w:rPr>
                <w:sz w:val="13"/>
              </w:rPr>
              <w:t>Build as-of features; compare simple models and selected tree ensemble using group-aware and rolling temporal validation; quantify intervals and subgroups.</w:t>
            </w:r>
          </w:p>
        </w:tc>
        <w:tc>
          <w:tcPr>
            <w:tcW w:type="dxa" w:w="3408"/>
            <w:vAlign w:val="center"/>
          </w:tcPr>
          <w:p>
            <w:pPr>
              <w:spacing w:after="20"/>
            </w:pPr>
            <w:r>
              <w:rPr>
                <w:sz w:val="13"/>
              </w:rPr>
              <w:t>Leakage audit, fold results, calibration/threshold analysis, errors, model shortlist.</w:t>
            </w:r>
          </w:p>
        </w:tc>
      </w:tr>
      <w:tr>
        <w:trPr>
          <w:cantSplit/>
        </w:trPr>
        <w:tc>
          <w:tcPr>
            <w:tcW w:type="dxa" w:w="3408"/>
            <w:vAlign w:val="center"/>
          </w:tcPr>
          <w:p>
            <w:pPr>
              <w:spacing w:after="20"/>
            </w:pPr>
            <w:r>
              <w:rPr>
                <w:sz w:val="13"/>
              </w:rPr>
              <w:t>4. Independent review (1–2 weeks)</w:t>
            </w:r>
          </w:p>
        </w:tc>
        <w:tc>
          <w:tcPr>
            <w:tcW w:type="dxa" w:w="3408"/>
            <w:vAlign w:val="center"/>
          </w:tcPr>
          <w:p>
            <w:pPr>
              <w:spacing w:after="20"/>
            </w:pPr>
            <w:r>
              <w:rPr>
                <w:sz w:val="13"/>
              </w:rPr>
              <w:t>Review errors, model limits, work instructions, risk register, security/access, monitoring, and rollback with quality/process owners.</w:t>
            </w:r>
          </w:p>
        </w:tc>
        <w:tc>
          <w:tcPr>
            <w:tcW w:type="dxa" w:w="3408"/>
            <w:vAlign w:val="center"/>
          </w:tcPr>
          <w:p>
            <w:pPr>
              <w:spacing w:after="20"/>
            </w:pPr>
            <w:r>
              <w:rPr>
                <w:sz w:val="13"/>
              </w:rPr>
              <w:t>Written gate decision: stop, collect more data, or proceed to shadow.</w:t>
            </w:r>
          </w:p>
        </w:tc>
      </w:tr>
      <w:tr>
        <w:trPr>
          <w:cantSplit/>
        </w:trPr>
        <w:tc>
          <w:tcPr>
            <w:tcW w:type="dxa" w:w="3408"/>
            <w:vAlign w:val="center"/>
          </w:tcPr>
          <w:p>
            <w:pPr>
              <w:spacing w:after="20"/>
            </w:pPr>
            <w:r>
              <w:rPr>
                <w:sz w:val="13"/>
              </w:rPr>
              <w:t>5. Shadow pilot (4–8 weeks or sufficient batches)</w:t>
            </w:r>
          </w:p>
        </w:tc>
        <w:tc>
          <w:tcPr>
            <w:tcW w:type="dxa" w:w="3408"/>
            <w:vAlign w:val="center"/>
          </w:tcPr>
          <w:p>
            <w:pPr>
              <w:spacing w:after="20"/>
            </w:pPr>
            <w:r>
              <w:rPr>
                <w:sz w:val="13"/>
              </w:rPr>
              <w:t>Run time-stamped predictions without changing controls; measure latency, coverage, alert burden, eventual outcomes, and user response.</w:t>
            </w:r>
          </w:p>
        </w:tc>
        <w:tc>
          <w:tcPr>
            <w:tcW w:type="dxa" w:w="3408"/>
            <w:vAlign w:val="center"/>
          </w:tcPr>
          <w:p>
            <w:pPr>
              <w:spacing w:after="20"/>
            </w:pPr>
            <w:r>
              <w:rPr>
                <w:sz w:val="13"/>
              </w:rPr>
              <w:t>Pilot report and approved continue/revise/rollback decision.</w:t>
            </w:r>
          </w:p>
        </w:tc>
      </w:tr>
      <w:tr>
        <w:trPr>
          <w:cantSplit/>
        </w:trPr>
        <w:tc>
          <w:tcPr>
            <w:tcW w:type="dxa" w:w="3408"/>
            <w:vAlign w:val="center"/>
          </w:tcPr>
          <w:p>
            <w:pPr>
              <w:spacing w:after="20"/>
            </w:pPr>
            <w:r>
              <w:rPr>
                <w:sz w:val="13"/>
              </w:rPr>
              <w:t>6. Controlled use and sustainment</w:t>
            </w:r>
          </w:p>
        </w:tc>
        <w:tc>
          <w:tcPr>
            <w:tcW w:type="dxa" w:w="3408"/>
            <w:vAlign w:val="center"/>
          </w:tcPr>
          <w:p>
            <w:pPr>
              <w:spacing w:after="20"/>
            </w:pPr>
            <w:r>
              <w:rPr>
                <w:sz w:val="13"/>
              </w:rPr>
              <w:t>Only if approved: limited intended-use rollout, continuous logs/monitoring, matured-label review, change control, and periodic independent audit.</w:t>
            </w:r>
          </w:p>
        </w:tc>
        <w:tc>
          <w:tcPr>
            <w:tcW w:type="dxa" w:w="3408"/>
            <w:vAlign w:val="center"/>
          </w:tcPr>
          <w:p>
            <w:pPr>
              <w:spacing w:after="20"/>
            </w:pPr>
            <w:r>
              <w:rPr>
                <w:sz w:val="13"/>
              </w:rPr>
              <w:t>Versioned system record, monitoring owner, retraining and rollback protocol.</w:t>
            </w:r>
          </w:p>
        </w:tc>
      </w:tr>
    </w:tbl>
    <w:p/>
    <w:p>
      <w:pPr>
        <w:pStyle w:val="Heading2"/>
      </w:pPr>
      <w:r>
        <w:t>5.1 Scalability and architecture</w:t>
      </w:r>
    </w:p>
    <w:p>
      <w:pPr>
        <w:pStyle w:val="ListBullet"/>
      </w:pPr>
      <w:r>
        <w:t>Start with one product/line and a batch-level dataset. Scale only after stable results and a documented inclusion rule; do not pool processes with incompatible specifications.</w:t>
      </w:r>
    </w:p>
    <w:p>
      <w:pPr>
        <w:pStyle w:val="ListBullet"/>
      </w:pPr>
      <w:r>
        <w:t>Use governed source tables with stable batch/lot/sample IDs, event-time semantics, unit/specification version history, and access controls. Preserve immutable raw data and transformation lineage.</w:t>
      </w:r>
    </w:p>
    <w:p>
      <w:pPr>
        <w:pStyle w:val="ListBullet"/>
      </w:pPr>
      <w:r>
        <w:t>Make feature creation deterministic and versioned, with explicit cutoff assertions, schema/range checks, missingness/coverage rules, and reproducible model artifacts.</w:t>
      </w:r>
    </w:p>
    <w:p>
      <w:pPr>
        <w:pStyle w:val="ListBullet"/>
      </w:pPr>
      <w:r>
        <w:t>Use batch-level offline scoring first. Add streaming inference only if the decision latency requires it and the event-time, late-data, failure, and replay behavior are tested.</w:t>
      </w:r>
    </w:p>
    <w:p>
      <w:pPr>
        <w:pStyle w:val="ListBullet"/>
      </w:pPr>
      <w:r>
        <w:t>Monitor data quality and service health separately from model quality. Store model version, feature snapshot, threshold, prediction, and human disposition for audit.</w:t>
      </w:r>
    </w:p>
    <w:p>
      <w:pPr>
        <w:pStyle w:val="ListBullet"/>
      </w:pPr>
      <w:r>
        <w:t>Control compute cost by measuring throughput needs and model latency before scaling infrastructure. Begin with interpretable CPU-based models; use distributed or specialized systems only when data volume justifies them.</w:t>
      </w:r>
    </w:p>
    <w:p>
      <w:pPr>
        <w:pStyle w:val="Heading2"/>
      </w:pPr>
      <w:r>
        <w:t>5.2 Advanced analytics opportunities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7365D"/>
          </w:tcPr>
          <w:p>
            <w:r>
              <w:rPr>
                <w:b/>
                <w:color w:val="FFFFFF"/>
                <w:sz w:val="14"/>
              </w:rPr>
              <w:t>Capability</w:t>
            </w:r>
          </w:p>
        </w:tc>
        <w:tc>
          <w:tcPr>
            <w:tcW w:type="dxa" w:w="3408"/>
            <w:shd w:fill="17365D"/>
          </w:tcPr>
          <w:p>
            <w:r>
              <w:rPr>
                <w:b/>
                <w:color w:val="FFFFFF"/>
                <w:sz w:val="14"/>
              </w:rPr>
              <w:t>Potential value</w:t>
            </w:r>
          </w:p>
        </w:tc>
        <w:tc>
          <w:tcPr>
            <w:tcW w:type="dxa" w:w="3408"/>
            <w:shd w:fill="17365D"/>
          </w:tcPr>
          <w:p>
            <w:r>
              <w:rPr>
                <w:b/>
                <w:color w:val="FFFFFF"/>
                <w:sz w:val="14"/>
              </w:rPr>
              <w:t>Prerequisite and caution</w:t>
            </w:r>
          </w:p>
        </w:tc>
      </w:tr>
      <w:tr>
        <w:trPr>
          <w:cantSplit/>
        </w:trPr>
        <w:tc>
          <w:tcPr>
            <w:tcW w:type="dxa" w:w="3408"/>
            <w:vAlign w:val="center"/>
          </w:tcPr>
          <w:p>
            <w:pPr>
              <w:spacing w:after="20"/>
            </w:pPr>
            <w:r>
              <w:rPr>
                <w:sz w:val="14"/>
              </w:rPr>
              <w:t>Rolling-origin and nested group validation</w:t>
            </w:r>
          </w:p>
        </w:tc>
        <w:tc>
          <w:tcPr>
            <w:tcW w:type="dxa" w:w="3408"/>
            <w:vAlign w:val="center"/>
          </w:tcPr>
          <w:p>
            <w:pPr>
              <w:spacing w:after="20"/>
            </w:pPr>
            <w:r>
              <w:rPr>
                <w:sz w:val="14"/>
              </w:rPr>
              <w:t>More realistic comparison and less tuning optimism.</w:t>
            </w:r>
          </w:p>
        </w:tc>
        <w:tc>
          <w:tcPr>
            <w:tcW w:type="dxa" w:w="3408"/>
            <w:vAlign w:val="center"/>
          </w:tcPr>
          <w:p>
            <w:pPr>
              <w:spacing w:after="20"/>
            </w:pPr>
            <w:r>
              <w:rPr>
                <w:sz w:val="14"/>
              </w:rPr>
              <w:t>Enough independent batches and time periods; protect final untouched test.</w:t>
            </w:r>
          </w:p>
        </w:tc>
      </w:tr>
      <w:tr>
        <w:trPr>
          <w:cantSplit/>
        </w:trPr>
        <w:tc>
          <w:tcPr>
            <w:tcW w:type="dxa" w:w="3408"/>
            <w:vAlign w:val="center"/>
          </w:tcPr>
          <w:p>
            <w:pPr>
              <w:spacing w:after="20"/>
            </w:pPr>
            <w:r>
              <w:rPr>
                <w:sz w:val="14"/>
              </w:rPr>
              <w:t>Calibration and conformal uncertainty</w:t>
            </w:r>
          </w:p>
        </w:tc>
        <w:tc>
          <w:tcPr>
            <w:tcW w:type="dxa" w:w="3408"/>
            <w:vAlign w:val="center"/>
          </w:tcPr>
          <w:p>
            <w:pPr>
              <w:spacing w:after="20"/>
            </w:pPr>
            <w:r>
              <w:rPr>
                <w:sz w:val="14"/>
              </w:rPr>
              <w:t>More credible probabilities or uncertainty intervals; identify low-confidence cases.</w:t>
            </w:r>
          </w:p>
        </w:tc>
        <w:tc>
          <w:tcPr>
            <w:tcW w:type="dxa" w:w="3408"/>
            <w:vAlign w:val="center"/>
          </w:tcPr>
          <w:p>
            <w:pPr>
              <w:spacing w:after="20"/>
            </w:pPr>
            <w:r>
              <w:rPr>
                <w:sz w:val="14"/>
              </w:rPr>
              <w:t>Adequate representative calibration data and coverage checks; no guarantee under distribution shift.</w:t>
            </w:r>
          </w:p>
        </w:tc>
      </w:tr>
      <w:tr>
        <w:trPr>
          <w:cantSplit/>
        </w:trPr>
        <w:tc>
          <w:tcPr>
            <w:tcW w:type="dxa" w:w="3408"/>
            <w:vAlign w:val="center"/>
          </w:tcPr>
          <w:p>
            <w:pPr>
              <w:spacing w:after="20"/>
            </w:pPr>
            <w:r>
              <w:rPr>
                <w:sz w:val="14"/>
              </w:rPr>
              <w:t>Hierarchical / mixed-effects models</w:t>
            </w:r>
          </w:p>
        </w:tc>
        <w:tc>
          <w:tcPr>
            <w:tcW w:type="dxa" w:w="3408"/>
            <w:vAlign w:val="center"/>
          </w:tcPr>
          <w:p>
            <w:pPr>
              <w:spacing w:after="20"/>
            </w:pPr>
            <w:r>
              <w:rPr>
                <w:sz w:val="14"/>
              </w:rPr>
              <w:t>Represent product, line, lot, or site variation without assuming all groups are identical.</w:t>
            </w:r>
          </w:p>
        </w:tc>
        <w:tc>
          <w:tcPr>
            <w:tcW w:type="dxa" w:w="3408"/>
            <w:vAlign w:val="center"/>
          </w:tcPr>
          <w:p>
            <w:pPr>
              <w:spacing w:after="20"/>
            </w:pPr>
            <w:r>
              <w:rPr>
                <w:sz w:val="14"/>
              </w:rPr>
              <w:t>Sufficient groups and expert specification; report shrinkage and small-group uncertainty.</w:t>
            </w:r>
          </w:p>
        </w:tc>
      </w:tr>
      <w:tr>
        <w:trPr>
          <w:cantSplit/>
        </w:trPr>
        <w:tc>
          <w:tcPr>
            <w:tcW w:type="dxa" w:w="3408"/>
            <w:vAlign w:val="center"/>
          </w:tcPr>
          <w:p>
            <w:pPr>
              <w:spacing w:after="20"/>
            </w:pPr>
            <w:r>
              <w:rPr>
                <w:sz w:val="14"/>
              </w:rPr>
              <w:t>Gradient boosting / nonlinear ensembles</w:t>
            </w:r>
          </w:p>
        </w:tc>
        <w:tc>
          <w:tcPr>
            <w:tcW w:type="dxa" w:w="3408"/>
            <w:vAlign w:val="center"/>
          </w:tcPr>
          <w:p>
            <w:pPr>
              <w:spacing w:after="20"/>
            </w:pPr>
            <w:r>
              <w:rPr>
                <w:sz w:val="14"/>
              </w:rPr>
              <w:t>Capture nonlinear responses and interactions if incremental benefit is stable.</w:t>
            </w:r>
          </w:p>
        </w:tc>
        <w:tc>
          <w:tcPr>
            <w:tcW w:type="dxa" w:w="3408"/>
            <w:vAlign w:val="center"/>
          </w:tcPr>
          <w:p>
            <w:pPr>
              <w:spacing w:after="20"/>
            </w:pPr>
            <w:r>
              <w:rPr>
                <w:sz w:val="14"/>
              </w:rPr>
              <w:t>Compare on identical future-period folds; calibration, interpretability, maintenance burden, and complexity costs.</w:t>
            </w:r>
          </w:p>
        </w:tc>
      </w:tr>
      <w:tr>
        <w:trPr>
          <w:cantSplit/>
        </w:trPr>
        <w:tc>
          <w:tcPr>
            <w:tcW w:type="dxa" w:w="3408"/>
            <w:vAlign w:val="center"/>
          </w:tcPr>
          <w:p>
            <w:pPr>
              <w:spacing w:after="20"/>
            </w:pPr>
            <w:r>
              <w:rPr>
                <w:sz w:val="14"/>
              </w:rPr>
              <w:t>Causal or process-optimization studies</w:t>
            </w:r>
          </w:p>
        </w:tc>
        <w:tc>
          <w:tcPr>
            <w:tcW w:type="dxa" w:w="3408"/>
            <w:vAlign w:val="center"/>
          </w:tcPr>
          <w:p>
            <w:pPr>
              <w:spacing w:after="20"/>
            </w:pPr>
            <w:r>
              <w:rPr>
                <w:sz w:val="14"/>
              </w:rPr>
              <w:t>Estimate effects of interventions or optimize process settings.</w:t>
            </w:r>
          </w:p>
        </w:tc>
        <w:tc>
          <w:tcPr>
            <w:tcW w:type="dxa" w:w="3408"/>
            <w:vAlign w:val="center"/>
          </w:tcPr>
          <w:p>
            <w:pPr>
              <w:spacing w:after="20"/>
            </w:pPr>
            <w:r>
              <w:rPr>
                <w:sz w:val="14"/>
              </w:rPr>
              <w:t>Separate design with causal assumptions, safe experiments, process constraints, and quality approval; prediction alone is not causal.</w:t>
            </w:r>
          </w:p>
        </w:tc>
      </w:tr>
      <w:tr>
        <w:trPr>
          <w:cantSplit/>
        </w:trPr>
        <w:tc>
          <w:tcPr>
            <w:tcW w:type="dxa" w:w="3408"/>
            <w:vAlign w:val="center"/>
          </w:tcPr>
          <w:p>
            <w:pPr>
              <w:spacing w:after="20"/>
            </w:pPr>
            <w:r>
              <w:rPr>
                <w:sz w:val="14"/>
              </w:rPr>
              <w:t>Drift and change-point monitoring</w:t>
            </w:r>
          </w:p>
        </w:tc>
        <w:tc>
          <w:tcPr>
            <w:tcW w:type="dxa" w:w="3408"/>
            <w:vAlign w:val="center"/>
          </w:tcPr>
          <w:p>
            <w:pPr>
              <w:spacing w:after="20"/>
            </w:pPr>
            <w:r>
              <w:rPr>
                <w:sz w:val="14"/>
              </w:rPr>
              <w:t>Detect changes in input, label, or calibration behavior earlier.</w:t>
            </w:r>
          </w:p>
        </w:tc>
        <w:tc>
          <w:tcPr>
            <w:tcW w:type="dxa" w:w="3408"/>
            <w:vAlign w:val="center"/>
          </w:tcPr>
          <w:p>
            <w:pPr>
              <w:spacing w:after="20"/>
            </w:pPr>
            <w:r>
              <w:rPr>
                <w:sz w:val="14"/>
              </w:rPr>
              <w:t>Matured labels, stable reference windows, approved triggers, and a response owner.</w:t>
            </w:r>
          </w:p>
        </w:tc>
      </w:tr>
      <w:tr>
        <w:trPr>
          <w:cantSplit/>
        </w:trPr>
        <w:tc>
          <w:tcPr>
            <w:tcW w:type="dxa" w:w="3408"/>
            <w:vAlign w:val="center"/>
          </w:tcPr>
          <w:p>
            <w:pPr>
              <w:spacing w:after="20"/>
            </w:pPr>
            <w:r>
              <w:rPr>
                <w:sz w:val="14"/>
              </w:rPr>
              <w:t>Federated or privacy-preserving analysis</w:t>
            </w:r>
          </w:p>
        </w:tc>
        <w:tc>
          <w:tcPr>
            <w:tcW w:type="dxa" w:w="3408"/>
            <w:vAlign w:val="center"/>
          </w:tcPr>
          <w:p>
            <w:pPr>
              <w:spacing w:after="20"/>
            </w:pPr>
            <w:r>
              <w:rPr>
                <w:sz w:val="14"/>
              </w:rPr>
              <w:t>Potentially compare sites without centralizing sensitive records.</w:t>
            </w:r>
          </w:p>
        </w:tc>
        <w:tc>
          <w:tcPr>
            <w:tcW w:type="dxa" w:w="3408"/>
            <w:vAlign w:val="center"/>
          </w:tcPr>
          <w:p>
            <w:pPr>
              <w:spacing w:after="20"/>
            </w:pPr>
            <w:r>
              <w:rPr>
                <w:sz w:val="14"/>
              </w:rPr>
              <w:t>Legal/security review, compatible measurement definitions, and explicit utility/privacy trade-offs.</w:t>
            </w:r>
          </w:p>
        </w:tc>
      </w:tr>
    </w:tbl>
    <w:p/>
    <w:p>
      <w:pPr>
        <w:pStyle w:val="Heading1"/>
      </w:pPr>
      <w:r>
        <w:t>6. Governance and documentation standards</w:t>
      </w:r>
    </w:p>
    <w:p>
      <w:pPr>
        <w:pStyle w:val="ListBullet"/>
      </w:pPr>
      <w:r>
        <w:t>Maintain a project register covering purpose, owner, intended users, excluded uses, endpoint, prediction cutoff, data sources, and approvals.</w:t>
      </w:r>
    </w:p>
    <w:p>
      <w:pPr>
        <w:pStyle w:val="ListBullet"/>
      </w:pPr>
      <w:r>
        <w:t>Version the data contract, target construction, specification table, feature register, code, environment, model, threshold, validation split, and report.</w:t>
      </w:r>
    </w:p>
    <w:p>
      <w:pPr>
        <w:pStyle w:val="ListBullet"/>
      </w:pPr>
      <w:r>
        <w:t>Record every correction, exclusion, imputation rule, unit conversion, label adjudication, and exception disposition with reason and approver.</w:t>
      </w:r>
    </w:p>
    <w:p>
      <w:pPr>
        <w:pStyle w:val="ListBullet"/>
      </w:pPr>
      <w:r>
        <w:t>Preserve an evaluation card for each candidate: baseline, population/time scope, metrics and intervals, subgroup results, known limitations, risk controls, and intended-use constraints.</w:t>
      </w:r>
    </w:p>
    <w:p>
      <w:pPr>
        <w:pStyle w:val="ListBullet"/>
      </w:pPr>
      <w:r>
        <w:t>Set retention and access rules for production, laboratory, and operator-linked information. Collect only fields needed for the approved purpose.</w:t>
      </w:r>
    </w:p>
    <w:p>
      <w:pPr>
        <w:pStyle w:val="ListBullet"/>
      </w:pPr>
      <w:r>
        <w:t>Keep operational procedures and food-safety controls authoritative. Assign human accountability for alert review, product disposition, incidents, and model suspension.</w:t>
      </w:r>
    </w:p>
    <w:p>
      <w:pPr>
        <w:pStyle w:val="Heading1"/>
      </w:pPr>
      <w:r>
        <w:t>7. Immediate recommendations</w:t>
      </w:r>
    </w:p>
    <w:p>
      <w:pPr>
        <w:pStyle w:val="ListNumber"/>
      </w:pPr>
      <w:r>
        <w:t>Do not reuse the Week 1 inspection labels as factory quality targets. Obtain a representative manufacturing data extract and authoritative data dictionary.</w:t>
      </w:r>
    </w:p>
    <w:p>
      <w:pPr>
        <w:pStyle w:val="ListNumber"/>
      </w:pPr>
      <w:r>
        <w:t>Agree one product/line, final quality test, target rule, specification version, batch key, checkpoint time, and review action with quality and process owners.</w:t>
      </w:r>
    </w:p>
    <w:p>
      <w:pPr>
        <w:pStyle w:val="ListNumber"/>
      </w:pPr>
      <w:r>
        <w:t>Confirm label provenance, lab method and retest policy, measurement units, sensor calibration, and all feature timestamps before running the scripts.</w:t>
      </w:r>
    </w:p>
    <w:p>
      <w:pPr>
        <w:pStyle w:val="ListNumber"/>
      </w:pPr>
      <w:r>
        <w:t>Profile the manufacturing data and reconcile target/feature coverage. If too few independent failure batches exist, collect more data or restrict conclusions rather than overstate model quality.</w:t>
      </w:r>
    </w:p>
    <w:p>
      <w:pPr>
        <w:pStyle w:val="ListNumber"/>
      </w:pPr>
      <w:r>
        <w:t>Treat the Week 4 prototype as a starting point. Before final assessment, add/tune group-aware and rolling temporal evaluation, validation-only threshold selection, calibration analysis, confidence intervals, and a locked final test.</w:t>
      </w:r>
    </w:p>
    <w:p>
      <w:pPr>
        <w:pStyle w:val="ListNumber"/>
      </w:pPr>
      <w:r>
        <w:t>Agree threshold costs, capacity, recall/calibration requirements, monitoring triggers, fail-safe behavior, approval authority, and rollback before any shadow pilot.</w:t>
      </w:r>
    </w:p>
    <w:p>
      <w:pPr>
        <w:pStyle w:val="ListNumber"/>
      </w:pPr>
      <w:r>
        <w:t>Run shadow mode with existing controls unchanged. Proceed only when the evidence and operational review meet pre-agreed gates.</w:t>
      </w:r>
    </w:p>
    <w:p>
      <w:pPr>
        <w:pStyle w:val="Heading1"/>
      </w:pPr>
      <w:r>
        <w:t>Conclusion</w:t>
      </w:r>
    </w:p>
    <w:p>
      <w:r>
        <w:t>The six-week work has established a structured path from exploratory analysis to a prospective food-processing quality pilot, while exposing the key limit: there is no manufacturing dataset on which to claim factory-model performance. The inspection analysis supplied concrete lessons about imbalance, time drift, repeated entities, provenance, and leakage. The later work translated those lessons into a cleaning blueprint, interpretable features, model prototypes, evaluation tools, and operational risk controls. Long-term success depends on preserving that distinction between implemented methods and proven outcomes. With verified data, accountable owners, future-like validation, and controlled piloting, this documentation can guide the next phase without displacing established quality and food-safety systems.</w:t>
      </w:r>
    </w:p>
    <w:p>
      <w:pPr>
        <w:pStyle w:val="Heading1"/>
      </w:pPr>
      <w:r>
        <w:t>Appendix A. Project files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7365D"/>
          </w:tcPr>
          <w:p>
            <w:r>
              <w:rPr>
                <w:b/>
                <w:color w:val="FFFFFF"/>
                <w:sz w:val="15"/>
              </w:rPr>
              <w:t>File</w:t>
            </w:r>
          </w:p>
        </w:tc>
        <w:tc>
          <w:tcPr>
            <w:tcW w:type="dxa" w:w="5112"/>
            <w:shd w:fill="17365D"/>
          </w:tcPr>
          <w:p>
            <w:r>
              <w:rPr>
                <w:b/>
                <w:color w:val="FFFFFF"/>
                <w:sz w:val="15"/>
              </w:rPr>
              <w:t>Role</w:t>
            </w:r>
          </w:p>
        </w:tc>
      </w:tr>
      <w:tr>
        <w:trPr>
          <w:cantSplit/>
        </w:trPr>
        <w:tc>
          <w:tcPr>
            <w:tcW w:type="dxa" w:w="5112"/>
            <w:vAlign w:val="center"/>
          </w:tcPr>
          <w:p>
            <w:pPr>
              <w:spacing w:after="20"/>
            </w:pPr>
            <w:r>
              <w:rPr>
                <w:sz w:val="15"/>
              </w:rPr>
              <w:t>Week 1.docx / week1_analysis.py</w:t>
            </w:r>
          </w:p>
        </w:tc>
        <w:tc>
          <w:tcPr>
            <w:tcW w:type="dxa" w:w="5112"/>
            <w:vAlign w:val="center"/>
          </w:tcPr>
          <w:p>
            <w:pPr>
              <w:spacing w:after="20"/>
            </w:pPr>
            <w:r>
              <w:rPr>
                <w:sz w:val="15"/>
              </w:rPr>
              <w:t>Inspection dataset exploration and multiclass baseline; the archive used for analysis was described in the report.</w:t>
            </w:r>
          </w:p>
        </w:tc>
      </w:tr>
      <w:tr>
        <w:trPr>
          <w:cantSplit/>
        </w:trPr>
        <w:tc>
          <w:tcPr>
            <w:tcW w:type="dxa" w:w="5112"/>
            <w:vAlign w:val="center"/>
          </w:tcPr>
          <w:p>
            <w:pPr>
              <w:spacing w:after="20"/>
            </w:pPr>
            <w:r>
              <w:rPr>
                <w:sz w:val="15"/>
              </w:rPr>
              <w:t>Week 2.docx</w:t>
            </w:r>
          </w:p>
        </w:tc>
        <w:tc>
          <w:tcPr>
            <w:tcW w:type="dxa" w:w="5112"/>
            <w:vAlign w:val="center"/>
          </w:tcPr>
          <w:p>
            <w:pPr>
              <w:spacing w:after="20"/>
            </w:pPr>
            <w:r>
              <w:rPr>
                <w:sz w:val="15"/>
              </w:rPr>
              <w:t>Data-quality, cleaning, exception, and governance blueprint.</w:t>
            </w:r>
          </w:p>
        </w:tc>
      </w:tr>
      <w:tr>
        <w:trPr>
          <w:cantSplit/>
        </w:trPr>
        <w:tc>
          <w:tcPr>
            <w:tcW w:type="dxa" w:w="5112"/>
            <w:vAlign w:val="center"/>
          </w:tcPr>
          <w:p>
            <w:pPr>
              <w:spacing w:after="20"/>
            </w:pPr>
            <w:r>
              <w:rPr>
                <w:sz w:val="15"/>
              </w:rPr>
              <w:t>Week 3.docx / week3_feature_engineering.py / test_week3_feature_engineering.py</w:t>
            </w:r>
          </w:p>
        </w:tc>
        <w:tc>
          <w:tcPr>
            <w:tcW w:type="dxa" w:w="5112"/>
            <w:vAlign w:val="center"/>
          </w:tcPr>
          <w:p>
            <w:pPr>
              <w:spacing w:after="20"/>
            </w:pPr>
            <w:r>
              <w:rPr>
                <w:sz w:val="15"/>
              </w:rPr>
              <w:t>Feature design, batch feature utility, exploratory models, and focused tests.</w:t>
            </w:r>
          </w:p>
        </w:tc>
      </w:tr>
      <w:tr>
        <w:trPr>
          <w:cantSplit/>
        </w:trPr>
        <w:tc>
          <w:tcPr>
            <w:tcW w:type="dxa" w:w="5112"/>
            <w:vAlign w:val="center"/>
          </w:tcPr>
          <w:p>
            <w:pPr>
              <w:spacing w:after="20"/>
            </w:pPr>
            <w:r>
              <w:rPr>
                <w:sz w:val="15"/>
              </w:rPr>
              <w:t>Week 4.docx / week4_predictive_modeling.py / test_week4_predictive_modeling.py</w:t>
            </w:r>
          </w:p>
        </w:tc>
        <w:tc>
          <w:tcPr>
            <w:tcW w:type="dxa" w:w="5112"/>
            <w:vAlign w:val="center"/>
          </w:tcPr>
          <w:p>
            <w:pPr>
              <w:spacing w:after="20"/>
            </w:pPr>
            <w:r>
              <w:rPr>
                <w:sz w:val="15"/>
              </w:rPr>
              <w:t>Predictive strategy, chronological binary/regression model prototype, and tests.</w:t>
            </w:r>
          </w:p>
        </w:tc>
      </w:tr>
      <w:tr>
        <w:trPr>
          <w:cantSplit/>
        </w:trPr>
        <w:tc>
          <w:tcPr>
            <w:tcW w:type="dxa" w:w="5112"/>
            <w:vAlign w:val="center"/>
          </w:tcPr>
          <w:p>
            <w:pPr>
              <w:spacing w:after="20"/>
            </w:pPr>
            <w:r>
              <w:rPr>
                <w:sz w:val="15"/>
              </w:rPr>
              <w:t>Week 5.docx / week5_model_evaluation.py / test_week5_model_evaluation.py</w:t>
            </w:r>
          </w:p>
        </w:tc>
        <w:tc>
          <w:tcPr>
            <w:tcW w:type="dxa" w:w="5112"/>
            <w:vAlign w:val="center"/>
          </w:tcPr>
          <w:p>
            <w:pPr>
              <w:spacing w:after="20"/>
            </w:pPr>
            <w:r>
              <w:rPr>
                <w:sz w:val="15"/>
              </w:rPr>
              <w:t>Evaluation and risk framework, binary metrics/validation utilities, and tests.</w:t>
            </w:r>
          </w:p>
        </w:tc>
      </w:tr>
      <w:tr>
        <w:trPr>
          <w:cantSplit/>
        </w:trPr>
        <w:tc>
          <w:tcPr>
            <w:tcW w:type="dxa" w:w="5112"/>
            <w:vAlign w:val="center"/>
          </w:tcPr>
          <w:p>
            <w:pPr>
              <w:spacing w:after="20"/>
            </w:pPr>
            <w:r>
              <w:rPr>
                <w:sz w:val="15"/>
              </w:rPr>
              <w:t>Week 6.docx</w:t>
            </w:r>
          </w:p>
        </w:tc>
        <w:tc>
          <w:tcPr>
            <w:tcW w:type="dxa" w:w="5112"/>
            <w:vAlign w:val="center"/>
          </w:tcPr>
          <w:p>
            <w:pPr>
              <w:spacing w:after="20"/>
            </w:pPr>
            <w:r>
              <w:rPr>
                <w:sz w:val="15"/>
              </w:rPr>
              <w:t>Consolidated project documentation, evidence summary, lessons, and roadmap.</w:t>
            </w:r>
          </w:p>
        </w:tc>
      </w:tr>
    </w:tbl>
    <w:p/>
    <w:p>
      <w:r>
        <w:t>Dataset provenance note: the Week 1 report records that the supplied workbook archive contained no read-me or authoritative data dictionary. A possible public-source match was identified as unverified. Confirm publisher, licence, target mapping, and data release before relying on or redistributing those records.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Food processing predictive analytics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WEEK 6  |  END-TO-END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00"/>
    </w:pPr>
    <w:rPr>
      <w:rFonts w:ascii="Calibri" w:hAnsi="Calibri"/>
      <w:b w:val="0"/>
      <w:color w:val="26262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00" w:line="240" w:lineRule="auto"/>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