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WEEK 2  |  DATA QUALITY BLUEPRINT</w:t>
      </w:r>
    </w:p>
    <w:p>
      <w:pPr>
        <w:pStyle w:val="Title"/>
      </w:pPr>
      <w:r>
        <w:t>Cleaning and Preprocessing Plan</w:t>
      </w:r>
    </w:p>
    <w:p>
      <w:pPr>
        <w:pStyle w:val="Subtitle"/>
      </w:pPr>
      <w:r>
        <w:t>Food processing quality data and production-line sensor readings</w:t>
      </w:r>
    </w:p>
    <w:p>
      <w:pPr>
        <w:spacing w:before="80"/>
      </w:pPr>
      <w:r>
        <w:rPr>
          <w:b/>
        </w:rPr>
        <w:t>Prepared: 19 October 2026</w:t>
        <w:br/>
      </w:r>
      <w:r>
        <w:t>Purpose: define a traceable workflow before analysis or modeling</w:t>
      </w:r>
    </w:p>
    <w:p>
      <w:pPr>
        <w:pStyle w:val="Heading1"/>
      </w:pPr>
      <w:r>
        <w:t>Executive summary</w:t>
      </w:r>
    </w:p>
    <w:p>
      <w:r>
        <w:t>This plan sets out how raw food-processing records and production-line sensor readings can be transformed into a documented analytical dataset without mistaking an unusual measurement for an error. It covers profiling, source preservation, missing data, duplicate handling, unit and timestamp harmonization, outlier review, scaling, categorical encoding, feature selection, validation, and audit records. Preserve an immutable raw layer, make transformations explicit and versioned, and retain a link from every prepared record to its source.</w:t>
      </w:r>
    </w:p>
    <w:p>
      <w:r>
        <w:t>Cleaning rules depend on measurement context. Temperature, pH, flow, pressure, moisture, viscosity, and Brix have different units, sensor ranges, sampling intervals, product phases, and validated operating specifications. Limits must come from instrument documentation, product specifications, validated processes, or an authorized quality owner; this plan does not invent universal safety cutoffs. Statistical outlier flags are review cues, not automatic deletion rules. Fit imputers, scalers, encoders, and data-driven feature thresholds on training folds only.</w:t>
      </w:r>
    </w:p>
    <w:p>
      <w:r>
        <w:t>The supplied Week 1 archive contains coded food-establishment inspection records and outcomes, not production-line sensor traces or direct product-quality measurements. The profiling and provenance steps apply to those records, but sensor calibration, time-series imputation, process limits, and sensor normalization cannot be demonstrated without actual sensor data and accompanying metadata.</w:t>
      </w:r>
    </w:p>
    <w:p>
      <w:pPr>
        <w:pStyle w:val="Heading1"/>
      </w:pPr>
      <w:r>
        <w:t>1. Objectives and operating principles</w:t>
      </w:r>
    </w:p>
    <w:p>
      <w:pPr>
        <w:pStyle w:val="ListBullet"/>
        <w:spacing w:after="50"/>
      </w:pPr>
      <w:r>
        <w:t>Prepare a documented dataset with defined units, timestamps, keys, quality flags, and explainable exclusions.</w:t>
      </w:r>
    </w:p>
    <w:p>
      <w:pPr>
        <w:pStyle w:val="ListBullet"/>
        <w:spacing w:after="50"/>
      </w:pPr>
      <w:r>
        <w:t>Never overwrite raw readings, silently delete extremes, or replace a critical missing measurement with a normal-looking value.</w:t>
      </w:r>
    </w:p>
    <w:p>
      <w:pPr>
        <w:pStyle w:val="ListBullet"/>
        <w:spacing w:after="50"/>
      </w:pPr>
      <w:r>
        <w:t>Separate measurement validity from process acceptability: a plausible reading can still be outside an approved process limit.</w:t>
      </w:r>
    </w:p>
    <w:p>
      <w:pPr>
        <w:pStyle w:val="ListBullet"/>
        <w:spacing w:after="50"/>
      </w:pPr>
      <w:r>
        <w:t>Prevent leakage by learning imputation, scaling, encoding, selection, and statistical thresholds from training partitions only.</w:t>
      </w:r>
    </w:p>
    <w:p>
      <w:pPr>
        <w:pStyle w:val="ListBullet"/>
        <w:spacing w:after="50"/>
      </w:pPr>
      <w:r>
        <w:t>Make repeated runs reproducible from the same inputs, code, and rules.</w:t>
      </w:r>
    </w:p>
    <w:p>
      <w:pPr>
        <w:pStyle w:val="Heading1"/>
      </w:pPr>
      <w:r>
        <w:t>2. Scope and data contract</w:t>
      </w:r>
    </w:p>
    <w:p>
      <w:r>
        <w:t>Agree on the analytical question and unit of analysis before joining or aggregating records. Possible grains include one sensor sample, one batch, one product test, or one sensor-window summary. Define facility, line, product, recipe, lot, equipment, sensor, sample, shift, and process-stage identifiers. Never join tables at incompatible grains without an explicit aggregation rule.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E8EEF0"/>
          </w:tcPr>
          <w:p>
            <w:pPr>
              <w:spacing w:after="20"/>
            </w:pPr>
            <w:r>
              <w:rPr>
                <w:rFonts w:ascii="Calibri" w:hAnsi="Calibri"/>
                <w:b/>
                <w:color w:val="2A4D60"/>
                <w:sz w:val="16"/>
              </w:rPr>
              <w:t>Data group</w:t>
            </w:r>
          </w:p>
        </w:tc>
        <w:tc>
          <w:tcPr>
            <w:tcW w:type="dxa" w:w="3389"/>
            <w:vAlign w:val="center"/>
            <w:shd w:fill="E8EEF0"/>
          </w:tcPr>
          <w:p>
            <w:pPr>
              <w:spacing w:after="20"/>
            </w:pPr>
            <w:r>
              <w:rPr>
                <w:rFonts w:ascii="Calibri" w:hAnsi="Calibri"/>
                <w:b/>
                <w:color w:val="2A4D60"/>
                <w:sz w:val="16"/>
              </w:rPr>
              <w:t>Example fields</w:t>
            </w:r>
          </w:p>
        </w:tc>
        <w:tc>
          <w:tcPr>
            <w:tcW w:type="dxa" w:w="3389"/>
            <w:vAlign w:val="center"/>
            <w:shd w:fill="E8EEF0"/>
          </w:tcPr>
          <w:p>
            <w:pPr>
              <w:spacing w:after="20"/>
            </w:pPr>
            <w:r>
              <w:rPr>
                <w:rFonts w:ascii="Calibri" w:hAnsi="Calibri"/>
                <w:b/>
                <w:color w:val="2A4D60"/>
                <w:sz w:val="16"/>
              </w:rPr>
              <w:t>Required metadata</w:t>
            </w:r>
          </w:p>
        </w:tc>
      </w:tr>
      <w:tr>
        <w:tc>
          <w:tcPr>
            <w:tcW w:type="dxa" w:w="3389"/>
            <w:vAlign w:val="center"/>
          </w:tcPr>
          <w:p>
            <w:pPr>
              <w:spacing w:after="20" w:line="240" w:lineRule="auto"/>
            </w:pPr>
            <w:r>
              <w:rPr>
                <w:rFonts w:ascii="Calibri" w:hAnsi="Calibri"/>
                <w:color w:val="30383C"/>
                <w:sz w:val="16"/>
              </w:rPr>
              <w:t>Sensor readings</w:t>
            </w:r>
          </w:p>
        </w:tc>
        <w:tc>
          <w:tcPr>
            <w:tcW w:type="dxa" w:w="3389"/>
            <w:vAlign w:val="center"/>
          </w:tcPr>
          <w:p>
            <w:pPr>
              <w:spacing w:after="20" w:line="240" w:lineRule="auto"/>
            </w:pPr>
            <w:r>
              <w:rPr>
                <w:rFonts w:ascii="Calibri" w:hAnsi="Calibri"/>
                <w:color w:val="30383C"/>
                <w:sz w:val="16"/>
              </w:rPr>
              <w:t>Temperature, pH, pressure, flow, moisture, viscosity, Brix</w:t>
            </w:r>
          </w:p>
        </w:tc>
        <w:tc>
          <w:tcPr>
            <w:tcW w:type="dxa" w:w="3389"/>
            <w:vAlign w:val="center"/>
          </w:tcPr>
          <w:p>
            <w:pPr>
              <w:spacing w:after="20" w:line="240" w:lineRule="auto"/>
            </w:pPr>
            <w:r>
              <w:rPr>
                <w:rFonts w:ascii="Calibri" w:hAnsi="Calibri"/>
                <w:color w:val="30383C"/>
                <w:sz w:val="16"/>
              </w:rPr>
              <w:t>Value, canonical unit, sensor ID, timestamp/time zone, calibration status, range, cadence, quality flag</w:t>
            </w:r>
          </w:p>
        </w:tc>
      </w:tr>
      <w:tr>
        <w:tc>
          <w:tcPr>
            <w:tcW w:type="dxa" w:w="3389"/>
            <w:vAlign w:val="center"/>
            <w:shd w:fill="F7F8F7"/>
          </w:tcPr>
          <w:p>
            <w:pPr>
              <w:spacing w:after="20" w:line="240" w:lineRule="auto"/>
            </w:pPr>
            <w:r>
              <w:rPr>
                <w:rFonts w:ascii="Calibri" w:hAnsi="Calibri"/>
                <w:color w:val="30383C"/>
                <w:sz w:val="16"/>
              </w:rPr>
              <w:t>Production context</w:t>
            </w:r>
          </w:p>
        </w:tc>
        <w:tc>
          <w:tcPr>
            <w:tcW w:type="dxa" w:w="3389"/>
            <w:vAlign w:val="center"/>
            <w:shd w:fill="F7F8F7"/>
          </w:tcPr>
          <w:p>
            <w:pPr>
              <w:spacing w:after="20" w:line="240" w:lineRule="auto"/>
            </w:pPr>
            <w:r>
              <w:rPr>
                <w:rFonts w:ascii="Calibri" w:hAnsi="Calibri"/>
                <w:color w:val="30383C"/>
                <w:sz w:val="16"/>
              </w:rPr>
              <w:t>Line, equipment, recipe, product, batch, shift, stage</w:t>
            </w:r>
          </w:p>
        </w:tc>
        <w:tc>
          <w:tcPr>
            <w:tcW w:type="dxa" w:w="3389"/>
            <w:vAlign w:val="center"/>
            <w:shd w:fill="F7F8F7"/>
          </w:tcPr>
          <w:p>
            <w:pPr>
              <w:spacing w:after="20" w:line="240" w:lineRule="auto"/>
            </w:pPr>
            <w:r>
              <w:rPr>
                <w:rFonts w:ascii="Calibri" w:hAnsi="Calibri"/>
                <w:color w:val="30383C"/>
                <w:sz w:val="16"/>
              </w:rPr>
              <w:t>Stable identifiers, event-time definitions, rework/changeover links, process-state labels</w:t>
            </w:r>
          </w:p>
        </w:tc>
      </w:tr>
      <w:tr>
        <w:tc>
          <w:tcPr>
            <w:tcW w:type="dxa" w:w="3389"/>
            <w:vAlign w:val="center"/>
          </w:tcPr>
          <w:p>
            <w:pPr>
              <w:spacing w:after="20" w:line="240" w:lineRule="auto"/>
            </w:pPr>
            <w:r>
              <w:rPr>
                <w:rFonts w:ascii="Calibri" w:hAnsi="Calibri"/>
                <w:color w:val="30383C"/>
                <w:sz w:val="16"/>
              </w:rPr>
              <w:t>Laboratory/quality</w:t>
            </w:r>
          </w:p>
        </w:tc>
        <w:tc>
          <w:tcPr>
            <w:tcW w:type="dxa" w:w="3389"/>
            <w:vAlign w:val="center"/>
          </w:tcPr>
          <w:p>
            <w:pPr>
              <w:spacing w:after="20" w:line="240" w:lineRule="auto"/>
            </w:pPr>
            <w:r>
              <w:rPr>
                <w:rFonts w:ascii="Calibri" w:hAnsi="Calibri"/>
                <w:color w:val="30383C"/>
                <w:sz w:val="16"/>
              </w:rPr>
              <w:t>Microbial counts, composition, weight, texture, shelf life</w:t>
            </w:r>
          </w:p>
        </w:tc>
        <w:tc>
          <w:tcPr>
            <w:tcW w:type="dxa" w:w="3389"/>
            <w:vAlign w:val="center"/>
          </w:tcPr>
          <w:p>
            <w:pPr>
              <w:spacing w:after="20" w:line="240" w:lineRule="auto"/>
            </w:pPr>
            <w:r>
              <w:rPr>
                <w:rFonts w:ascii="Calibri" w:hAnsi="Calibri"/>
                <w:color w:val="30383C"/>
                <w:sz w:val="16"/>
              </w:rPr>
              <w:t>Method, analyte, unit, detection limit, sample ID, sampling time, lab/status</w:t>
            </w:r>
          </w:p>
        </w:tc>
      </w:tr>
      <w:tr>
        <w:tc>
          <w:tcPr>
            <w:tcW w:type="dxa" w:w="3389"/>
            <w:vAlign w:val="center"/>
            <w:shd w:fill="F7F8F7"/>
          </w:tcPr>
          <w:p>
            <w:pPr>
              <w:spacing w:after="20" w:line="240" w:lineRule="auto"/>
            </w:pPr>
            <w:r>
              <w:rPr>
                <w:rFonts w:ascii="Calibri" w:hAnsi="Calibri"/>
                <w:color w:val="30383C"/>
                <w:sz w:val="16"/>
              </w:rPr>
              <w:t>Specifications</w:t>
            </w:r>
          </w:p>
        </w:tc>
        <w:tc>
          <w:tcPr>
            <w:tcW w:type="dxa" w:w="3389"/>
            <w:vAlign w:val="center"/>
            <w:shd w:fill="F7F8F7"/>
          </w:tcPr>
          <w:p>
            <w:pPr>
              <w:spacing w:after="20" w:line="240" w:lineRule="auto"/>
            </w:pPr>
            <w:r>
              <w:rPr>
                <w:rFonts w:ascii="Calibri" w:hAnsi="Calibri"/>
                <w:color w:val="30383C"/>
                <w:sz w:val="16"/>
              </w:rPr>
              <w:t>Target bands, validated limits, recipe tolerances, sensor ranges</w:t>
            </w:r>
          </w:p>
        </w:tc>
        <w:tc>
          <w:tcPr>
            <w:tcW w:type="dxa" w:w="3389"/>
            <w:vAlign w:val="center"/>
            <w:shd w:fill="F7F8F7"/>
          </w:tcPr>
          <w:p>
            <w:pPr>
              <w:spacing w:after="20" w:line="240" w:lineRule="auto"/>
            </w:pPr>
            <w:r>
              <w:rPr>
                <w:rFonts w:ascii="Calibri" w:hAnsi="Calibri"/>
                <w:color w:val="30383C"/>
                <w:sz w:val="16"/>
              </w:rPr>
              <w:t>Version, effective dates, approver, process applicability, source document</w:t>
            </w:r>
          </w:p>
        </w:tc>
      </w:tr>
    </w:tbl>
    <w:p>
      <w:pPr>
        <w:spacing w:after="20"/>
      </w:pPr>
    </w:p>
    <w:p>
      <w:r>
        <w:t>The field-level data contract records definition, type, unit, allowed values, null meaning, measurement grain, source, and validation rule. Represent startup, shutdown, cleaning-in-place, downtime, maintenance, changeover, and recipe changes explicitly where records permit.</w:t>
      </w:r>
    </w:p>
    <w:p>
      <w:pPr>
        <w:pStyle w:val="Heading1"/>
      </w:pPr>
      <w:r>
        <w:t>3. Data profiling</w:t>
      </w:r>
    </w:p>
    <w:p>
      <w:pPr>
        <w:pStyle w:val="Heading2"/>
      </w:pPr>
      <w:r>
        <w:t>3.1 Intake and structural review</w:t>
      </w:r>
    </w:p>
    <w:p>
      <w:pPr>
        <w:pStyle w:val="ListNumber"/>
        <w:spacing w:after="50"/>
      </w:pPr>
      <w:r>
        <w:t>Record the source owner, extraction query and date, file checksum, schema version, permissions, observation period, and row count. Keep the source file read-only.</w:t>
      </w:r>
    </w:p>
    <w:p>
      <w:pPr>
        <w:pStyle w:val="ListNumber"/>
        <w:spacing w:after="50"/>
      </w:pPr>
      <w:r>
        <w:t>Inventory tables, columns, types, key candidates, expected grain, cadence, and join relationships. Compare the received schema with its data dictionary and previous approved release.</w:t>
      </w:r>
    </w:p>
    <w:p>
      <w:pPr>
        <w:pStyle w:val="ListNumber"/>
        <w:spacing w:after="50"/>
      </w:pPr>
      <w:r>
        <w:t>Check required fields, key uniqueness at the declared grain, foreign-key coverage, duplicate identifiers, mixed date formats, decimal separators, encodings, and inconsistent timestamps.</w:t>
      </w:r>
    </w:p>
    <w:p>
      <w:pPr>
        <w:pStyle w:val="ListNumber"/>
        <w:spacing w:after="50"/>
      </w:pPr>
      <w:r>
        <w:t>For numeric fields, profile count, missing rate, distinct values, range, mean, standard deviation, median, quartiles, and relevant percentiles. For categories, report counts, rare levels, blank codes, and spelling variants.</w:t>
      </w:r>
    </w:p>
    <w:p>
      <w:pPr>
        <w:pStyle w:val="ListNumber"/>
        <w:spacing w:after="50"/>
      </w:pPr>
      <w:r>
        <w:t>Plot sensor values over time with process state, batch/product changes, approved limits, and maintenance/calibration events to reveal gaps, spikes, plateaus, and drift.</w:t>
      </w:r>
    </w:p>
    <w:p>
      <w:pPr>
        <w:pStyle w:val="ListNumber"/>
        <w:spacing w:after="50"/>
      </w:pPr>
      <w:r>
        <w:t>Compare observed timestamps with expected cadence. Quantify gaps, duplicate times, clock offsets, jitter, samples per batch, sensor uptime, time zones, and daylight-saving anomalies. Preserve both source and analysis times.</w:t>
      </w:r>
    </w:p>
    <w:p>
      <w:pPr>
        <w:pStyle w:val="Heading2"/>
      </w:pPr>
      <w:r>
        <w:t>3.2 Profiling questions</w:t>
      </w:r>
    </w:p>
    <w:p>
      <w:pPr>
        <w:pStyle w:val="ListBullet"/>
        <w:spacing w:after="50"/>
      </w:pPr>
      <w:r>
        <w:t>Is the sample representative across line, product, recipe, shift, stage, and process state?</w:t>
      </w:r>
    </w:p>
    <w:p>
      <w:pPr>
        <w:pStyle w:val="ListBullet"/>
        <w:spacing w:after="50"/>
      </w:pPr>
      <w:r>
        <w:t>Do units and values match the sensor range, calibration records, and measurement precision?</w:t>
      </w:r>
    </w:p>
    <w:p>
      <w:pPr>
        <w:pStyle w:val="ListBullet"/>
        <w:spacing w:after="50"/>
      </w:pPr>
      <w:r>
        <w:t>Does missingness, sampling cadence, or repeated readings depend on alarms, maintenance, state changes, or outcome?</w:t>
      </w:r>
    </w:p>
    <w:p>
      <w:pPr>
        <w:pStyle w:val="ListBullet"/>
        <w:spacing w:after="50"/>
      </w:pPr>
      <w:r>
        <w:t>Are laboratory results linked to the correct batch and sampling event, with method and detection limits retained?</w:t>
      </w:r>
    </w:p>
    <w:p>
      <w:pPr>
        <w:pStyle w:val="ListBullet"/>
        <w:spacing w:after="50"/>
      </w:pPr>
      <w:r>
        <w:t>Did equipment, methods, formulations, specifications, or collection procedures change during the study period?</w:t>
      </w:r>
    </w:p>
    <w:p>
      <w:pPr>
        <w:pStyle w:val="Heading1"/>
      </w:pPr>
      <w:r>
        <w:t>4. Cleaning methods</w:t>
      </w:r>
    </w:p>
    <w:p>
      <w:pPr>
        <w:pStyle w:val="Heading2"/>
      </w:pPr>
      <w:r>
        <w:t>4.1 Missing values and sensor gaps</w:t>
      </w:r>
    </w:p>
    <w:p>
      <w:r>
        <w:t>Classify why a value is absent: not measured by design, sensor outage, communications loss, parse failure, below/above detection limit, not applicable, rejected result, or unknown. Preserve the original status and a separate missing-reason field. Profile missingness by sensor, product, batch, time, and process state before selecting a treatment.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E8EEF0"/>
          </w:tcPr>
          <w:p>
            <w:pPr>
              <w:spacing w:after="20"/>
            </w:pPr>
            <w:r>
              <w:rPr>
                <w:rFonts w:ascii="Calibri" w:hAnsi="Calibri"/>
                <w:b/>
                <w:color w:val="2A4D60"/>
                <w:sz w:val="16"/>
              </w:rPr>
              <w:t>Situation</w:t>
            </w:r>
          </w:p>
        </w:tc>
        <w:tc>
          <w:tcPr>
            <w:tcW w:type="dxa" w:w="3389"/>
            <w:vAlign w:val="center"/>
            <w:shd w:fill="E8EEF0"/>
          </w:tcPr>
          <w:p>
            <w:pPr>
              <w:spacing w:after="20"/>
            </w:pPr>
            <w:r>
              <w:rPr>
                <w:rFonts w:ascii="Calibri" w:hAnsi="Calibri"/>
                <w:b/>
                <w:color w:val="2A4D60"/>
                <w:sz w:val="16"/>
              </w:rPr>
              <w:t>Treatment</w:t>
            </w:r>
          </w:p>
        </w:tc>
        <w:tc>
          <w:tcPr>
            <w:tcW w:type="dxa" w:w="3389"/>
            <w:vAlign w:val="center"/>
            <w:shd w:fill="E8EEF0"/>
          </w:tcPr>
          <w:p>
            <w:pPr>
              <w:spacing w:after="20"/>
            </w:pPr>
            <w:r>
              <w:rPr>
                <w:rFonts w:ascii="Calibri" w:hAnsi="Calibri"/>
                <w:b/>
                <w:color w:val="2A4D60"/>
                <w:sz w:val="16"/>
              </w:rPr>
              <w:t>Guardrails</w:t>
            </w:r>
          </w:p>
        </w:tc>
      </w:tr>
      <w:tr>
        <w:tc>
          <w:tcPr>
            <w:tcW w:type="dxa" w:w="3389"/>
            <w:vAlign w:val="center"/>
          </w:tcPr>
          <w:p>
            <w:pPr>
              <w:spacing w:after="20" w:line="240" w:lineRule="auto"/>
            </w:pPr>
            <w:r>
              <w:rPr>
                <w:rFonts w:ascii="Calibri" w:hAnsi="Calibri"/>
                <w:color w:val="30383C"/>
                <w:sz w:val="16"/>
              </w:rPr>
              <w:t>Short isolated sensor gap</w:t>
            </w:r>
          </w:p>
        </w:tc>
        <w:tc>
          <w:tcPr>
            <w:tcW w:type="dxa" w:w="3389"/>
            <w:vAlign w:val="center"/>
          </w:tcPr>
          <w:p>
            <w:pPr>
              <w:spacing w:after="20" w:line="240" w:lineRule="auto"/>
            </w:pPr>
            <w:r>
              <w:rPr>
                <w:rFonts w:ascii="Calibri" w:hAnsi="Calibri"/>
                <w:color w:val="30383C"/>
                <w:sz w:val="16"/>
              </w:rPr>
              <w:t>Consider interpolation or forward fill only when physically justified within a stable state.</w:t>
            </w:r>
          </w:p>
        </w:tc>
        <w:tc>
          <w:tcPr>
            <w:tcW w:type="dxa" w:w="3389"/>
            <w:vAlign w:val="center"/>
          </w:tcPr>
          <w:p>
            <w:pPr>
              <w:spacing w:after="20" w:line="240" w:lineRule="auto"/>
            </w:pPr>
            <w:r>
              <w:rPr>
                <w:rFonts w:ascii="Calibri" w:hAnsi="Calibri"/>
                <w:color w:val="30383C"/>
                <w:sz w:val="16"/>
              </w:rPr>
              <w:t>Set a domain-reviewed maximum gap; do not cross batch, alarm, shutdown, or state boundaries; add an imputation flag.</w:t>
            </w:r>
          </w:p>
        </w:tc>
      </w:tr>
      <w:tr>
        <w:tc>
          <w:tcPr>
            <w:tcW w:type="dxa" w:w="3389"/>
            <w:vAlign w:val="center"/>
            <w:shd w:fill="F7F8F7"/>
          </w:tcPr>
          <w:p>
            <w:pPr>
              <w:spacing w:after="20" w:line="240" w:lineRule="auto"/>
            </w:pPr>
            <w:r>
              <w:rPr>
                <w:rFonts w:ascii="Calibri" w:hAnsi="Calibri"/>
                <w:color w:val="30383C"/>
                <w:sz w:val="16"/>
              </w:rPr>
              <w:t>Long outage/offline sensor</w:t>
            </w:r>
          </w:p>
        </w:tc>
        <w:tc>
          <w:tcPr>
            <w:tcW w:type="dxa" w:w="3389"/>
            <w:vAlign w:val="center"/>
            <w:shd w:fill="F7F8F7"/>
          </w:tcPr>
          <w:p>
            <w:pPr>
              <w:spacing w:after="20" w:line="240" w:lineRule="auto"/>
            </w:pPr>
            <w:r>
              <w:rPr>
                <w:rFonts w:ascii="Calibri" w:hAnsi="Calibri"/>
                <w:color w:val="30383C"/>
                <w:sz w:val="16"/>
              </w:rPr>
              <w:t>Leave missing or exclude affected windows for analyses requiring that signal.</w:t>
            </w:r>
          </w:p>
        </w:tc>
        <w:tc>
          <w:tcPr>
            <w:tcW w:type="dxa" w:w="3389"/>
            <w:vAlign w:val="center"/>
            <w:shd w:fill="F7F8F7"/>
          </w:tcPr>
          <w:p>
            <w:pPr>
              <w:spacing w:after="20" w:line="240" w:lineRule="auto"/>
            </w:pPr>
            <w:r>
              <w:rPr>
                <w:rFonts w:ascii="Calibri" w:hAnsi="Calibri"/>
                <w:color w:val="30383C"/>
                <w:sz w:val="16"/>
              </w:rPr>
              <w:t>Report coverage and outage duration; never fabricate a continuous trace.</w:t>
            </w:r>
          </w:p>
        </w:tc>
      </w:tr>
      <w:tr>
        <w:tc>
          <w:tcPr>
            <w:tcW w:type="dxa" w:w="3389"/>
            <w:vAlign w:val="center"/>
          </w:tcPr>
          <w:p>
            <w:pPr>
              <w:spacing w:after="20" w:line="240" w:lineRule="auto"/>
            </w:pPr>
            <w:r>
              <w:rPr>
                <w:rFonts w:ascii="Calibri" w:hAnsi="Calibri"/>
                <w:color w:val="30383C"/>
                <w:sz w:val="16"/>
              </w:rPr>
              <w:t>Missing category/context</w:t>
            </w:r>
          </w:p>
        </w:tc>
        <w:tc>
          <w:tcPr>
            <w:tcW w:type="dxa" w:w="3389"/>
            <w:vAlign w:val="center"/>
          </w:tcPr>
          <w:p>
            <w:pPr>
              <w:spacing w:after="20" w:line="240" w:lineRule="auto"/>
            </w:pPr>
            <w:r>
              <w:rPr>
                <w:rFonts w:ascii="Calibri" w:hAnsi="Calibri"/>
                <w:color w:val="30383C"/>
                <w:sz w:val="16"/>
              </w:rPr>
              <w:t>Retain null or an explicit Unknown/Not recorded level.</w:t>
            </w:r>
          </w:p>
        </w:tc>
        <w:tc>
          <w:tcPr>
            <w:tcW w:type="dxa" w:w="3389"/>
            <w:vAlign w:val="center"/>
          </w:tcPr>
          <w:p>
            <w:pPr>
              <w:spacing w:after="20" w:line="240" w:lineRule="auto"/>
            </w:pPr>
            <w:r>
              <w:rPr>
                <w:rFonts w:ascii="Calibri" w:hAnsi="Calibri"/>
                <w:color w:val="30383C"/>
                <w:sz w:val="16"/>
              </w:rPr>
              <w:t>Do not infer a batch or state from later records without an approved rule.</w:t>
            </w:r>
          </w:p>
        </w:tc>
      </w:tr>
      <w:tr>
        <w:tc>
          <w:tcPr>
            <w:tcW w:type="dxa" w:w="3389"/>
            <w:vAlign w:val="center"/>
            <w:shd w:fill="F7F8F7"/>
          </w:tcPr>
          <w:p>
            <w:pPr>
              <w:spacing w:after="20" w:line="240" w:lineRule="auto"/>
            </w:pPr>
            <w:r>
              <w:rPr>
                <w:rFonts w:ascii="Calibri" w:hAnsi="Calibri"/>
                <w:color w:val="30383C"/>
                <w:sz w:val="16"/>
              </w:rPr>
              <w:t>Lab result below detection limit</w:t>
            </w:r>
          </w:p>
        </w:tc>
        <w:tc>
          <w:tcPr>
            <w:tcW w:type="dxa" w:w="3389"/>
            <w:vAlign w:val="center"/>
            <w:shd w:fill="F7F8F7"/>
          </w:tcPr>
          <w:p>
            <w:pPr>
              <w:spacing w:after="20" w:line="240" w:lineRule="auto"/>
            </w:pPr>
            <w:r>
              <w:rPr>
                <w:rFonts w:ascii="Calibri" w:hAnsi="Calibri"/>
                <w:color w:val="30383C"/>
                <w:sz w:val="16"/>
              </w:rPr>
              <w:t>Store the result status and method-specific detection limit separately.</w:t>
            </w:r>
          </w:p>
        </w:tc>
        <w:tc>
          <w:tcPr>
            <w:tcW w:type="dxa" w:w="3389"/>
            <w:vAlign w:val="center"/>
            <w:shd w:fill="F7F8F7"/>
          </w:tcPr>
          <w:p>
            <w:pPr>
              <w:spacing w:after="20" w:line="240" w:lineRule="auto"/>
            </w:pPr>
            <w:r>
              <w:rPr>
                <w:rFonts w:ascii="Calibri" w:hAnsi="Calibri"/>
                <w:color w:val="30383C"/>
                <w:sz w:val="16"/>
              </w:rPr>
              <w:t>Do not equate with zero or ordinary missingness; seek qualified censored-data methods.</w:t>
            </w:r>
          </w:p>
        </w:tc>
      </w:tr>
      <w:tr>
        <w:tc>
          <w:tcPr>
            <w:tcW w:type="dxa" w:w="3389"/>
            <w:vAlign w:val="center"/>
          </w:tcPr>
          <w:p>
            <w:pPr>
              <w:spacing w:after="20" w:line="240" w:lineRule="auto"/>
            </w:pPr>
            <w:r>
              <w:rPr>
                <w:rFonts w:ascii="Calibri" w:hAnsi="Calibri"/>
                <w:color w:val="30383C"/>
                <w:sz w:val="16"/>
              </w:rPr>
              <w:t>Model input missing after review</w:t>
            </w:r>
          </w:p>
        </w:tc>
        <w:tc>
          <w:tcPr>
            <w:tcW w:type="dxa" w:w="3389"/>
            <w:vAlign w:val="center"/>
          </w:tcPr>
          <w:p>
            <w:pPr>
              <w:spacing w:after="20" w:line="240" w:lineRule="auto"/>
            </w:pPr>
            <w:r>
              <w:rPr>
                <w:rFonts w:ascii="Calibri" w:hAnsi="Calibri"/>
                <w:color w:val="30383C"/>
                <w:sz w:val="16"/>
              </w:rPr>
              <w:t>Fit median/robust numeric or constant/frequent category imputation in each fold.</w:t>
            </w:r>
          </w:p>
        </w:tc>
        <w:tc>
          <w:tcPr>
            <w:tcW w:type="dxa" w:w="3389"/>
            <w:vAlign w:val="center"/>
          </w:tcPr>
          <w:p>
            <w:pPr>
              <w:spacing w:after="20" w:line="240" w:lineRule="auto"/>
            </w:pPr>
            <w:r>
              <w:rPr>
                <w:rFonts w:ascii="Calibri" w:hAnsi="Calibri"/>
                <w:color w:val="30383C"/>
                <w:sz w:val="16"/>
              </w:rPr>
              <w:t>Consider a missingness indicator; compare results with and without imputation.</w:t>
            </w:r>
          </w:p>
        </w:tc>
      </w:tr>
    </w:tbl>
    <w:p>
      <w:pPr>
        <w:spacing w:after="20"/>
      </w:pPr>
    </w:p>
    <w:p>
      <w:r>
        <w:t>For a critical control measurement, missingness may itself require a process response rather than statistical filling. Report sensitivity to imputation whenever conclusions materially change.</w:t>
      </w:r>
    </w:p>
    <w:p>
      <w:pPr>
        <w:pStyle w:val="Heading2"/>
      </w:pPr>
      <w:r>
        <w:t>4.2 Duplicate records and identity</w:t>
      </w:r>
    </w:p>
    <w:p>
      <w:pPr>
        <w:pStyle w:val="ListBullet"/>
        <w:spacing w:after="50"/>
      </w:pPr>
      <w:r>
        <w:t>A candidate reading key is facility + line + sensor + timestamp + sequence/sample ID. A lab-result key is sample ID + analyte + method + result version.</w:t>
      </w:r>
    </w:p>
    <w:p>
      <w:pPr>
        <w:pStyle w:val="ListBullet"/>
        <w:spacing w:after="50"/>
      </w:pPr>
      <w:r>
        <w:t>Remove only exact duplicate exports under a documented rule; log source row IDs. If a key has conflicting values, inspect revision/version, event time, quality flags, and source precedence instead of averaging.</w:t>
      </w:r>
    </w:p>
    <w:p>
      <w:pPr>
        <w:pStyle w:val="ListBullet"/>
        <w:spacing w:after="50"/>
      </w:pPr>
      <w:r>
        <w:t>Keep legitimate repeated readings and replicates. If aggregation is needed, define its analytical grain and retain replicate count and spread.</w:t>
      </w:r>
    </w:p>
    <w:p>
      <w:pPr>
        <w:pStyle w:val="ListBullet"/>
        <w:spacing w:after="50"/>
      </w:pPr>
      <w:r>
        <w:t>Resolve equipment, product, and recipe aliases with effective-dated reference tables; preserve original identifiers and mapping version.</w:t>
      </w:r>
    </w:p>
    <w:p>
      <w:pPr>
        <w:pStyle w:val="Heading2"/>
      </w:pPr>
      <w:r>
        <w:t>4.3 Outliers, sensor faults, and excursions</w:t>
      </w:r>
    </w:p>
    <w:p>
      <w:r>
        <w:t>Use two stages. First apply hard checks from engineering ranges, instrument fault codes, physical units, and approved product/process limits. Then use statistical screens to identify unusual but potentially valid observations. A statistical flag is a review cue, not permission to delete or cap a food-safety measurement.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E8EEF0"/>
          </w:tcPr>
          <w:p>
            <w:pPr>
              <w:spacing w:after="20"/>
            </w:pPr>
            <w:r>
              <w:rPr>
                <w:rFonts w:ascii="Calibri" w:hAnsi="Calibri"/>
                <w:b/>
                <w:color w:val="2A4D60"/>
                <w:sz w:val="16"/>
              </w:rPr>
              <w:t>Method</w:t>
            </w:r>
          </w:p>
        </w:tc>
        <w:tc>
          <w:tcPr>
            <w:tcW w:type="dxa" w:w="3389"/>
            <w:vAlign w:val="center"/>
            <w:shd w:fill="E8EEF0"/>
          </w:tcPr>
          <w:p>
            <w:pPr>
              <w:spacing w:after="20"/>
            </w:pPr>
            <w:r>
              <w:rPr>
                <w:rFonts w:ascii="Calibri" w:hAnsi="Calibri"/>
                <w:b/>
                <w:color w:val="2A4D60"/>
                <w:sz w:val="16"/>
              </w:rPr>
              <w:t>Use</w:t>
            </w:r>
          </w:p>
        </w:tc>
        <w:tc>
          <w:tcPr>
            <w:tcW w:type="dxa" w:w="3389"/>
            <w:vAlign w:val="center"/>
            <w:shd w:fill="E8EEF0"/>
          </w:tcPr>
          <w:p>
            <w:pPr>
              <w:spacing w:after="20"/>
            </w:pPr>
            <w:r>
              <w:rPr>
                <w:rFonts w:ascii="Calibri" w:hAnsi="Calibri"/>
                <w:b/>
                <w:color w:val="2A4D60"/>
                <w:sz w:val="16"/>
              </w:rPr>
              <w:t>Limitations and response</w:t>
            </w:r>
          </w:p>
        </w:tc>
      </w:tr>
      <w:tr>
        <w:tc>
          <w:tcPr>
            <w:tcW w:type="dxa" w:w="3389"/>
            <w:vAlign w:val="center"/>
          </w:tcPr>
          <w:p>
            <w:pPr>
              <w:spacing w:after="20" w:line="240" w:lineRule="auto"/>
            </w:pPr>
            <w:r>
              <w:rPr>
                <w:rFonts w:ascii="Calibri" w:hAnsi="Calibri"/>
                <w:color w:val="30383C"/>
                <w:sz w:val="16"/>
              </w:rPr>
              <w:t>Engineering/validated limits</w:t>
            </w:r>
          </w:p>
        </w:tc>
        <w:tc>
          <w:tcPr>
            <w:tcW w:type="dxa" w:w="3389"/>
            <w:vAlign w:val="center"/>
          </w:tcPr>
          <w:p>
            <w:pPr>
              <w:spacing w:after="20" w:line="240" w:lineRule="auto"/>
            </w:pPr>
            <w:r>
              <w:rPr>
                <w:rFonts w:ascii="Calibri" w:hAnsi="Calibri"/>
                <w:color w:val="30383C"/>
                <w:sz w:val="16"/>
              </w:rPr>
              <w:t>Flag readings outside instrument range or approved process/product bounds.</w:t>
            </w:r>
          </w:p>
        </w:tc>
        <w:tc>
          <w:tcPr>
            <w:tcW w:type="dxa" w:w="3389"/>
            <w:vAlign w:val="center"/>
          </w:tcPr>
          <w:p>
            <w:pPr>
              <w:spacing w:after="20" w:line="240" w:lineRule="auto"/>
            </w:pPr>
            <w:r>
              <w:rPr>
                <w:rFonts w:ascii="Calibri" w:hAnsi="Calibri"/>
                <w:color w:val="30383C"/>
                <w:sz w:val="16"/>
              </w:rPr>
              <w:t>Check the applicable sensor, stage, product, and specification version; retain genuine process excursions.</w:t>
            </w:r>
          </w:p>
        </w:tc>
      </w:tr>
      <w:tr>
        <w:tc>
          <w:tcPr>
            <w:tcW w:type="dxa" w:w="3389"/>
            <w:vAlign w:val="center"/>
            <w:shd w:fill="F7F8F7"/>
          </w:tcPr>
          <w:p>
            <w:pPr>
              <w:spacing w:after="20" w:line="240" w:lineRule="auto"/>
            </w:pPr>
            <w:r>
              <w:rPr>
                <w:rFonts w:ascii="Calibri" w:hAnsi="Calibri"/>
                <w:color w:val="30383C"/>
                <w:sz w:val="16"/>
              </w:rPr>
              <w:t>Robust univariate</w:t>
            </w:r>
          </w:p>
        </w:tc>
        <w:tc>
          <w:tcPr>
            <w:tcW w:type="dxa" w:w="3389"/>
            <w:vAlign w:val="center"/>
            <w:shd w:fill="F7F8F7"/>
          </w:tcPr>
          <w:p>
            <w:pPr>
              <w:spacing w:after="20" w:line="240" w:lineRule="auto"/>
            </w:pPr>
            <w:r>
              <w:rPr>
                <w:rFonts w:ascii="Calibri" w:hAnsi="Calibri"/>
                <w:color w:val="30383C"/>
                <w:sz w:val="16"/>
              </w:rPr>
              <w:t>Median/MAD, IQR fences, and percentiles within comparable state/product groups.</w:t>
            </w:r>
          </w:p>
        </w:tc>
        <w:tc>
          <w:tcPr>
            <w:tcW w:type="dxa" w:w="3389"/>
            <w:vAlign w:val="center"/>
            <w:shd w:fill="F7F8F7"/>
          </w:tcPr>
          <w:p>
            <w:pPr>
              <w:spacing w:after="20" w:line="240" w:lineRule="auto"/>
            </w:pPr>
            <w:r>
              <w:rPr>
                <w:rFonts w:ascii="Calibri" w:hAnsi="Calibri"/>
                <w:color w:val="30383C"/>
                <w:sz w:val="16"/>
              </w:rPr>
              <w:t>Skew and small groups affect thresholds; flag for investigation, not deletion.</w:t>
            </w:r>
          </w:p>
        </w:tc>
      </w:tr>
      <w:tr>
        <w:tc>
          <w:tcPr>
            <w:tcW w:type="dxa" w:w="3389"/>
            <w:vAlign w:val="center"/>
          </w:tcPr>
          <w:p>
            <w:pPr>
              <w:spacing w:after="20" w:line="240" w:lineRule="auto"/>
            </w:pPr>
            <w:r>
              <w:rPr>
                <w:rFonts w:ascii="Calibri" w:hAnsi="Calibri"/>
                <w:color w:val="30383C"/>
                <w:sz w:val="16"/>
              </w:rPr>
              <w:t>Time-series screens</w:t>
            </w:r>
          </w:p>
        </w:tc>
        <w:tc>
          <w:tcPr>
            <w:tcW w:type="dxa" w:w="3389"/>
            <w:vAlign w:val="center"/>
          </w:tcPr>
          <w:p>
            <w:pPr>
              <w:spacing w:after="20" w:line="240" w:lineRule="auto"/>
            </w:pPr>
            <w:r>
              <w:rPr>
                <w:rFonts w:ascii="Calibri" w:hAnsi="Calibri"/>
                <w:color w:val="30383C"/>
                <w:sz w:val="16"/>
              </w:rPr>
              <w:t>Rate-of-change, rolling residuals, local-median/Hampel screens, plateau and gap checks.</w:t>
            </w:r>
          </w:p>
        </w:tc>
        <w:tc>
          <w:tcPr>
            <w:tcW w:type="dxa" w:w="3389"/>
            <w:vAlign w:val="center"/>
          </w:tcPr>
          <w:p>
            <w:pPr>
              <w:spacing w:after="20" w:line="240" w:lineRule="auto"/>
            </w:pPr>
            <w:r>
              <w:rPr>
                <w:rFonts w:ascii="Calibri" w:hAnsi="Calibri"/>
                <w:color w:val="30383C"/>
                <w:sz w:val="16"/>
              </w:rPr>
              <w:t>Startup, cleaning, transitions, and changeover can be legitimate; use event context.</w:t>
            </w:r>
          </w:p>
        </w:tc>
      </w:tr>
      <w:tr>
        <w:tc>
          <w:tcPr>
            <w:tcW w:type="dxa" w:w="3389"/>
            <w:vAlign w:val="center"/>
            <w:shd w:fill="F7F8F7"/>
          </w:tcPr>
          <w:p>
            <w:pPr>
              <w:spacing w:after="20" w:line="240" w:lineRule="auto"/>
            </w:pPr>
            <w:r>
              <w:rPr>
                <w:rFonts w:ascii="Calibri" w:hAnsi="Calibri"/>
                <w:color w:val="30383C"/>
                <w:sz w:val="16"/>
              </w:rPr>
              <w:t>Multivariate review</w:t>
            </w:r>
          </w:p>
        </w:tc>
        <w:tc>
          <w:tcPr>
            <w:tcW w:type="dxa" w:w="3389"/>
            <w:vAlign w:val="center"/>
            <w:shd w:fill="F7F8F7"/>
          </w:tcPr>
          <w:p>
            <w:pPr>
              <w:spacing w:after="20" w:line="240" w:lineRule="auto"/>
            </w:pPr>
            <w:r>
              <w:rPr>
                <w:rFonts w:ascii="Calibri" w:hAnsi="Calibri"/>
                <w:color w:val="30383C"/>
                <w:sz w:val="16"/>
              </w:rPr>
              <w:t>Compare related signals such as flow and pressure against engineering relationships.</w:t>
            </w:r>
          </w:p>
        </w:tc>
        <w:tc>
          <w:tcPr>
            <w:tcW w:type="dxa" w:w="3389"/>
            <w:vAlign w:val="center"/>
            <w:shd w:fill="F7F8F7"/>
          </w:tcPr>
          <w:p>
            <w:pPr>
              <w:spacing w:after="20" w:line="240" w:lineRule="auto"/>
            </w:pPr>
            <w:r>
              <w:rPr>
                <w:rFonts w:ascii="Calibri" w:hAnsi="Calibri"/>
                <w:color w:val="30383C"/>
                <w:sz w:val="16"/>
              </w:rPr>
              <w:t>Relationships change with recipe/state; disagreement may indicate a fault or real event.</w:t>
            </w:r>
          </w:p>
        </w:tc>
      </w:tr>
      <w:tr>
        <w:tc>
          <w:tcPr>
            <w:tcW w:type="dxa" w:w="3389"/>
            <w:vAlign w:val="center"/>
          </w:tcPr>
          <w:p>
            <w:pPr>
              <w:spacing w:after="20" w:line="240" w:lineRule="auto"/>
            </w:pPr>
            <w:r>
              <w:rPr>
                <w:rFonts w:ascii="Calibri" w:hAnsi="Calibri"/>
                <w:color w:val="30383C"/>
                <w:sz w:val="16"/>
              </w:rPr>
              <w:t>Disposition</w:t>
            </w:r>
          </w:p>
        </w:tc>
        <w:tc>
          <w:tcPr>
            <w:tcW w:type="dxa" w:w="3389"/>
            <w:vAlign w:val="center"/>
          </w:tcPr>
          <w:p>
            <w:pPr>
              <w:spacing w:after="20" w:line="240" w:lineRule="auto"/>
            </w:pPr>
            <w:r>
              <w:rPr>
                <w:rFonts w:ascii="Calibri" w:hAnsi="Calibri"/>
                <w:color w:val="30383C"/>
                <w:sz w:val="16"/>
              </w:rPr>
              <w:t>Classify as verified data fault, valid extreme, process excursion, transition, or unresolved.</w:t>
            </w:r>
          </w:p>
        </w:tc>
        <w:tc>
          <w:tcPr>
            <w:tcW w:type="dxa" w:w="3389"/>
            <w:vAlign w:val="center"/>
          </w:tcPr>
          <w:p>
            <w:pPr>
              <w:spacing w:after="20" w:line="240" w:lineRule="auto"/>
            </w:pPr>
            <w:r>
              <w:rPr>
                <w:rFonts w:ascii="Calibri" w:hAnsi="Calibri"/>
                <w:color w:val="30383C"/>
                <w:sz w:val="16"/>
              </w:rPr>
              <w:t>Correct only verified entry/unit errors with an audit trail; retain raw values, flags, reason, and reviewer.</w:t>
            </w:r>
          </w:p>
        </w:tc>
      </w:tr>
    </w:tbl>
    <w:p>
      <w:pPr>
        <w:spacing w:after="20"/>
      </w:pPr>
    </w:p>
    <w:p>
      <w:r>
        <w:t>Do not winsorize before review because capping can hide an excursion. If a model needs robust clipping, learn cutoffs within training folds, retain the original measurement, and report sensitivity with and without clipping.</w:t>
      </w:r>
    </w:p>
    <w:p>
      <w:pPr>
        <w:pStyle w:val="Heading2"/>
      </w:pPr>
      <w:r>
        <w:t>4.4 Units, categories, and timestamps</w:t>
      </w:r>
    </w:p>
    <w:p>
      <w:pPr>
        <w:pStyle w:val="ListBullet"/>
        <w:spacing w:after="50"/>
      </w:pPr>
      <w:r>
        <w:t>Convert to declared canonical units using tested conversion rules, such as Celsius or SI units. Preserve raw value and raw unit beside converted value and canonical unit.</w:t>
      </w:r>
    </w:p>
    <w:p>
      <w:pPr>
        <w:pStyle w:val="ListBullet"/>
        <w:spacing w:after="50"/>
      </w:pPr>
      <w:r>
        <w:t>Validate precision, decimal separators, sign conventions, and mixed scales such as Celsius and Fahrenheit before computing trends.</w:t>
      </w:r>
    </w:p>
    <w:p>
      <w:pPr>
        <w:pStyle w:val="ListBullet"/>
        <w:spacing w:after="50"/>
      </w:pPr>
      <w:r>
        <w:t>Store unambiguous timestamps, typically UTC plus original zone/offset. Preserve the source timestamp, adjusted timestamp, and correction reason. Do not guess ambiguous daylight-saving times.</w:t>
      </w:r>
    </w:p>
    <w:p>
      <w:pPr>
        <w:pStyle w:val="ListBullet"/>
        <w:spacing w:after="50"/>
      </w:pPr>
      <w:r>
        <w:t>Standardize categories with a versioned mapping but keep original labels. Separate true categories from blanks, Unknown, Not applicable, and fault codes.</w:t>
      </w:r>
    </w:p>
    <w:p>
      <w:pPr>
        <w:pStyle w:val="ListBullet"/>
        <w:spacing w:after="50"/>
      </w:pPr>
      <w:r>
        <w:t>Check event order, valid equipment links, sample/batch alignment, and future-to-past leakage. Retain event time separately from ingestion time.</w:t>
      </w:r>
    </w:p>
    <w:p>
      <w:pPr>
        <w:pStyle w:val="Heading1"/>
      </w:pPr>
      <w:r>
        <w:t>5. Preprocessing for analysis and modeling</w:t>
      </w:r>
    </w:p>
    <w:p>
      <w:pPr>
        <w:pStyle w:val="Heading2"/>
      </w:pPr>
      <w:r>
        <w:t>5.1 Scaling and normalization</w:t>
      </w:r>
    </w:p>
    <w:p>
      <w:r>
        <w:t>Scaling is a modeling transformation, not a correction to raw data. Keep canonical physical units in the cleaned analytical layer. Create scaled features separately, fitted on training data within each cross-validation fold and applied unchanged to validation/test.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E8EEF0"/>
          </w:tcPr>
          <w:p>
            <w:pPr>
              <w:spacing w:after="20"/>
            </w:pPr>
            <w:r>
              <w:rPr>
                <w:rFonts w:ascii="Calibri" w:hAnsi="Calibri"/>
                <w:b/>
                <w:color w:val="2A4D60"/>
                <w:sz w:val="16"/>
              </w:rPr>
              <w:t>Method</w:t>
            </w:r>
          </w:p>
        </w:tc>
        <w:tc>
          <w:tcPr>
            <w:tcW w:type="dxa" w:w="3389"/>
            <w:vAlign w:val="center"/>
            <w:shd w:fill="E8EEF0"/>
          </w:tcPr>
          <w:p>
            <w:pPr>
              <w:spacing w:after="20"/>
            </w:pPr>
            <w:r>
              <w:rPr>
                <w:rFonts w:ascii="Calibri" w:hAnsi="Calibri"/>
                <w:b/>
                <w:color w:val="2A4D60"/>
                <w:sz w:val="16"/>
              </w:rPr>
              <w:t>When useful</w:t>
            </w:r>
          </w:p>
        </w:tc>
        <w:tc>
          <w:tcPr>
            <w:tcW w:type="dxa" w:w="3389"/>
            <w:vAlign w:val="center"/>
            <w:shd w:fill="E8EEF0"/>
          </w:tcPr>
          <w:p>
            <w:pPr>
              <w:spacing w:after="20"/>
            </w:pPr>
            <w:r>
              <w:rPr>
                <w:rFonts w:ascii="Calibri" w:hAnsi="Calibri"/>
                <w:b/>
                <w:color w:val="2A4D60"/>
                <w:sz w:val="16"/>
              </w:rPr>
              <w:t>Cautions</w:t>
            </w:r>
          </w:p>
        </w:tc>
      </w:tr>
      <w:tr>
        <w:tc>
          <w:tcPr>
            <w:tcW w:type="dxa" w:w="3389"/>
            <w:vAlign w:val="center"/>
          </w:tcPr>
          <w:p>
            <w:pPr>
              <w:spacing w:after="20" w:line="240" w:lineRule="auto"/>
            </w:pPr>
            <w:r>
              <w:rPr>
                <w:rFonts w:ascii="Calibri" w:hAnsi="Calibri"/>
                <w:color w:val="30383C"/>
                <w:sz w:val="16"/>
              </w:rPr>
              <w:t>Standard scaling (z-score)</w:t>
            </w:r>
          </w:p>
        </w:tc>
        <w:tc>
          <w:tcPr>
            <w:tcW w:type="dxa" w:w="3389"/>
            <w:vAlign w:val="center"/>
          </w:tcPr>
          <w:p>
            <w:pPr>
              <w:spacing w:after="20" w:line="240" w:lineRule="auto"/>
            </w:pPr>
            <w:r>
              <w:rPr>
                <w:rFonts w:ascii="Calibri" w:hAnsi="Calibri"/>
                <w:color w:val="30383C"/>
                <w:sz w:val="16"/>
              </w:rPr>
              <w:t>Linear models, PCA, and distance-based methods.</w:t>
            </w:r>
          </w:p>
        </w:tc>
        <w:tc>
          <w:tcPr>
            <w:tcW w:type="dxa" w:w="3389"/>
            <w:vAlign w:val="center"/>
          </w:tcPr>
          <w:p>
            <w:pPr>
              <w:spacing w:after="20" w:line="240" w:lineRule="auto"/>
            </w:pPr>
            <w:r>
              <w:rPr>
                <w:rFonts w:ascii="Calibri" w:hAnsi="Calibri"/>
                <w:color w:val="30383C"/>
                <w:sz w:val="16"/>
              </w:rPr>
              <w:t>Sensitive to outliers; fit on training fold after review and imputation.</w:t>
            </w:r>
          </w:p>
        </w:tc>
      </w:tr>
      <w:tr>
        <w:tc>
          <w:tcPr>
            <w:tcW w:type="dxa" w:w="3389"/>
            <w:vAlign w:val="center"/>
            <w:shd w:fill="F7F8F7"/>
          </w:tcPr>
          <w:p>
            <w:pPr>
              <w:spacing w:after="20" w:line="240" w:lineRule="auto"/>
            </w:pPr>
            <w:r>
              <w:rPr>
                <w:rFonts w:ascii="Calibri" w:hAnsi="Calibri"/>
                <w:color w:val="30383C"/>
                <w:sz w:val="16"/>
              </w:rPr>
              <w:t>Robust median/IQR scaling</w:t>
            </w:r>
          </w:p>
        </w:tc>
        <w:tc>
          <w:tcPr>
            <w:tcW w:type="dxa" w:w="3389"/>
            <w:vAlign w:val="center"/>
            <w:shd w:fill="F7F8F7"/>
          </w:tcPr>
          <w:p>
            <w:pPr>
              <w:spacing w:after="20" w:line="240" w:lineRule="auto"/>
            </w:pPr>
            <w:r>
              <w:rPr>
                <w:rFonts w:ascii="Calibri" w:hAnsi="Calibri"/>
                <w:color w:val="30383C"/>
                <w:sz w:val="16"/>
              </w:rPr>
              <w:t>Valid heavy-tailed signals after investigation.</w:t>
            </w:r>
          </w:p>
        </w:tc>
        <w:tc>
          <w:tcPr>
            <w:tcW w:type="dxa" w:w="3389"/>
            <w:vAlign w:val="center"/>
            <w:shd w:fill="F7F8F7"/>
          </w:tcPr>
          <w:p>
            <w:pPr>
              <w:spacing w:after="20" w:line="240" w:lineRule="auto"/>
            </w:pPr>
            <w:r>
              <w:rPr>
                <w:rFonts w:ascii="Calibri" w:hAnsi="Calibri"/>
                <w:color w:val="30383C"/>
                <w:sz w:val="16"/>
              </w:rPr>
              <w:t>Does not make an unsafe value acceptable; keep physical units available.</w:t>
            </w:r>
          </w:p>
        </w:tc>
      </w:tr>
      <w:tr>
        <w:tc>
          <w:tcPr>
            <w:tcW w:type="dxa" w:w="3389"/>
            <w:vAlign w:val="center"/>
          </w:tcPr>
          <w:p>
            <w:pPr>
              <w:spacing w:after="20" w:line="240" w:lineRule="auto"/>
            </w:pPr>
            <w:r>
              <w:rPr>
                <w:rFonts w:ascii="Calibri" w:hAnsi="Calibri"/>
                <w:color w:val="30383C"/>
                <w:sz w:val="16"/>
              </w:rPr>
              <w:t>Min-max scaling</w:t>
            </w:r>
          </w:p>
        </w:tc>
        <w:tc>
          <w:tcPr>
            <w:tcW w:type="dxa" w:w="3389"/>
            <w:vAlign w:val="center"/>
          </w:tcPr>
          <w:p>
            <w:pPr>
              <w:spacing w:after="20" w:line="240" w:lineRule="auto"/>
            </w:pPr>
            <w:r>
              <w:rPr>
                <w:rFonts w:ascii="Calibri" w:hAnsi="Calibri"/>
                <w:color w:val="30383C"/>
                <w:sz w:val="16"/>
              </w:rPr>
              <w:t>Algorithms needing bounded values with stable ranges.</w:t>
            </w:r>
          </w:p>
        </w:tc>
        <w:tc>
          <w:tcPr>
            <w:tcW w:type="dxa" w:w="3389"/>
            <w:vAlign w:val="center"/>
          </w:tcPr>
          <w:p>
            <w:pPr>
              <w:spacing w:after="20" w:line="240" w:lineRule="auto"/>
            </w:pPr>
            <w:r>
              <w:rPr>
                <w:rFonts w:ascii="Calibri" w:hAnsi="Calibri"/>
                <w:color w:val="30383C"/>
                <w:sz w:val="16"/>
              </w:rPr>
              <w:t>Future values may exceed fitted range; do not silently clip.</w:t>
            </w:r>
          </w:p>
        </w:tc>
      </w:tr>
      <w:tr>
        <w:tc>
          <w:tcPr>
            <w:tcW w:type="dxa" w:w="3389"/>
            <w:vAlign w:val="center"/>
            <w:shd w:fill="F7F8F7"/>
          </w:tcPr>
          <w:p>
            <w:pPr>
              <w:spacing w:after="20" w:line="240" w:lineRule="auto"/>
            </w:pPr>
            <w:r>
              <w:rPr>
                <w:rFonts w:ascii="Calibri" w:hAnsi="Calibri"/>
                <w:color w:val="30383C"/>
                <w:sz w:val="16"/>
              </w:rPr>
              <w:t>Log/power transform</w:t>
            </w:r>
          </w:p>
        </w:tc>
        <w:tc>
          <w:tcPr>
            <w:tcW w:type="dxa" w:w="3389"/>
            <w:vAlign w:val="center"/>
            <w:shd w:fill="F7F8F7"/>
          </w:tcPr>
          <w:p>
            <w:pPr>
              <w:spacing w:after="20" w:line="240" w:lineRule="auto"/>
            </w:pPr>
            <w:r>
              <w:rPr>
                <w:rFonts w:ascii="Calibri" w:hAnsi="Calibri"/>
                <w:color w:val="30383C"/>
                <w:sz w:val="16"/>
              </w:rPr>
              <w:t>Positive, strongly right-skewed concentrations when scientifically justified.</w:t>
            </w:r>
          </w:p>
        </w:tc>
        <w:tc>
          <w:tcPr>
            <w:tcW w:type="dxa" w:w="3389"/>
            <w:vAlign w:val="center"/>
            <w:shd w:fill="F7F8F7"/>
          </w:tcPr>
          <w:p>
            <w:pPr>
              <w:spacing w:after="20" w:line="240" w:lineRule="auto"/>
            </w:pPr>
            <w:r>
              <w:rPr>
                <w:rFonts w:ascii="Calibri" w:hAnsi="Calibri"/>
                <w:color w:val="30383C"/>
                <w:sz w:val="16"/>
              </w:rPr>
              <w:t>Define behavior for zero, negative, and detection-limit values; keep inverse interpretation.</w:t>
            </w:r>
          </w:p>
        </w:tc>
      </w:tr>
      <w:tr>
        <w:tc>
          <w:tcPr>
            <w:tcW w:type="dxa" w:w="3389"/>
            <w:vAlign w:val="center"/>
          </w:tcPr>
          <w:p>
            <w:pPr>
              <w:spacing w:after="20" w:line="240" w:lineRule="auto"/>
            </w:pPr>
            <w:r>
              <w:rPr>
                <w:rFonts w:ascii="Calibri" w:hAnsi="Calibri"/>
                <w:color w:val="30383C"/>
                <w:sz w:val="16"/>
              </w:rPr>
              <w:t>No scaling</w:t>
            </w:r>
          </w:p>
        </w:tc>
        <w:tc>
          <w:tcPr>
            <w:tcW w:type="dxa" w:w="3389"/>
            <w:vAlign w:val="center"/>
          </w:tcPr>
          <w:p>
            <w:pPr>
              <w:spacing w:after="20" w:line="240" w:lineRule="auto"/>
            </w:pPr>
            <w:r>
              <w:rPr>
                <w:rFonts w:ascii="Calibri" w:hAnsi="Calibri"/>
                <w:color w:val="30383C"/>
                <w:sz w:val="16"/>
              </w:rPr>
              <w:t>Tree-based models and operational reporting.</w:t>
            </w:r>
          </w:p>
        </w:tc>
        <w:tc>
          <w:tcPr>
            <w:tcW w:type="dxa" w:w="3389"/>
            <w:vAlign w:val="center"/>
          </w:tcPr>
          <w:p>
            <w:pPr>
              <w:spacing w:after="20" w:line="240" w:lineRule="auto"/>
            </w:pPr>
            <w:r>
              <w:rPr>
                <w:rFonts w:ascii="Calibri" w:hAnsi="Calibri"/>
                <w:color w:val="30383C"/>
                <w:sz w:val="16"/>
              </w:rPr>
              <w:t>Avoid scaling identifiers as if they were continuous measurements.</w:t>
            </w:r>
          </w:p>
        </w:tc>
      </w:tr>
    </w:tbl>
    <w:p>
      <w:pPr>
        <w:spacing w:after="20"/>
      </w:pPr>
    </w:p>
    <w:p>
      <w:pPr>
        <w:pStyle w:val="Heading2"/>
      </w:pPr>
      <w:r>
        <w:t>5.2 Categories, time, and feature engineering</w:t>
      </w:r>
    </w:p>
    <w:p>
      <w:pPr>
        <w:pStyle w:val="ListBullet"/>
        <w:spacing w:after="50"/>
      </w:pPr>
      <w:r>
        <w:t>Use one-hot encoding for low-cardinality nominal categories. Use ordinal encoding only for a documented order; never impose a numeric order on product, recipe, reason, or sensor IDs.</w:t>
      </w:r>
    </w:p>
    <w:p>
      <w:pPr>
        <w:pStyle w:val="ListBullet"/>
        <w:spacing w:after="50"/>
      </w:pPr>
      <w:r>
        <w:t>Use high-cardinality identifiers primarily for grouping, split design, and carefully constructed historical features. Cross-fit target/frequency encoding inside training folds.</w:t>
      </w:r>
    </w:p>
    <w:p>
      <w:pPr>
        <w:pStyle w:val="ListBullet"/>
        <w:spacing w:after="50"/>
      </w:pPr>
      <w:r>
        <w:t>Keep stable mappings and define behavior for new, retired, or unseen product, equipment, line, shift, and state categories.</w:t>
      </w:r>
    </w:p>
    <w:p>
      <w:pPr>
        <w:pStyle w:val="ListBullet"/>
        <w:spacing w:after="50"/>
      </w:pPr>
      <w:r>
        <w:t>Derive rolling, lagged, rate-of-change, and batch-summary features only from data available at the stated prediction time. Record window, aggregation, minimum coverage, and missingness.</w:t>
      </w:r>
    </w:p>
    <w:p>
      <w:pPr>
        <w:pStyle w:val="Heading2"/>
      </w:pPr>
      <w:r>
        <w:t>5.3 Feature selection and leakage control</w:t>
      </w:r>
    </w:p>
    <w:p>
      <w:pPr>
        <w:pStyle w:val="ListBullet"/>
        <w:spacing w:after="50"/>
      </w:pPr>
      <w:r>
        <w:t>Exclude post-event laboratory results, final quality disposition, inspection outcomes, and future maintenance data from pre-process prediction unless they are available at decision time.</w:t>
      </w:r>
    </w:p>
    <w:p>
      <w:pPr>
        <w:pStyle w:val="ListBullet"/>
        <w:spacing w:after="50"/>
      </w:pPr>
      <w:r>
        <w:t>Remove constant fields only after checking whether rare states are safety-critical. Do not discard a rare alarm solely for low variance.</w:t>
      </w:r>
    </w:p>
    <w:p>
      <w:pPr>
        <w:pStyle w:val="ListBullet"/>
        <w:spacing w:after="50"/>
      </w:pPr>
      <w:r>
        <w:t>Check redundant sensor groups with domain review and correlation diagnostics; use regularization or held-out permutation importance inside validation.</w:t>
      </w:r>
    </w:p>
    <w:p>
      <w:pPr>
        <w:pStyle w:val="ListBullet"/>
        <w:spacing w:after="50"/>
      </w:pPr>
      <w:r>
        <w:t>Do not select features on the full dataset or use test-label performance to choose transformations.</w:t>
      </w:r>
    </w:p>
    <w:p>
      <w:pPr>
        <w:pStyle w:val="ListBullet"/>
        <w:spacing w:after="50"/>
      </w:pPr>
      <w:r>
        <w:t>Maintain a feature register with raw field, transformation, rationale, unit, availability time, source, missingness handling, and leakage risks.</w:t>
      </w:r>
    </w:p>
    <w:p>
      <w:pPr>
        <w:pStyle w:val="Heading1"/>
      </w:pPr>
      <w:r>
        <w:t>6. Validation and release checks</w:t>
      </w:r>
    </w:p>
    <w:p>
      <w:r>
        <w:t>Run validation after every material transformation and before release. Use deterministic unit tests for conversions and joins, schema checks for every source version, and record-level assertions for invariants. A failed check must stop the pipeline or produce a documented quarantine; do not turn failures into silent defaults.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E8EEF0"/>
          </w:tcPr>
          <w:p>
            <w:pPr>
              <w:spacing w:after="20"/>
            </w:pPr>
            <w:r>
              <w:rPr>
                <w:rFonts w:ascii="Calibri" w:hAnsi="Calibri"/>
                <w:b/>
                <w:color w:val="2A4D60"/>
                <w:sz w:val="16"/>
              </w:rPr>
              <w:t>Check</w:t>
            </w:r>
          </w:p>
        </w:tc>
        <w:tc>
          <w:tcPr>
            <w:tcW w:type="dxa" w:w="3389"/>
            <w:vAlign w:val="center"/>
            <w:shd w:fill="E8EEF0"/>
          </w:tcPr>
          <w:p>
            <w:pPr>
              <w:spacing w:after="20"/>
            </w:pPr>
            <w:r>
              <w:rPr>
                <w:rFonts w:ascii="Calibri" w:hAnsi="Calibri"/>
                <w:b/>
                <w:color w:val="2A4D60"/>
                <w:sz w:val="16"/>
              </w:rPr>
              <w:t>Acceptance evidence</w:t>
            </w:r>
          </w:p>
        </w:tc>
        <w:tc>
          <w:tcPr>
            <w:tcW w:type="dxa" w:w="3389"/>
            <w:vAlign w:val="center"/>
            <w:shd w:fill="E8EEF0"/>
          </w:tcPr>
          <w:p>
            <w:pPr>
              <w:spacing w:after="20"/>
            </w:pPr>
            <w:r>
              <w:rPr>
                <w:rFonts w:ascii="Calibri" w:hAnsi="Calibri"/>
                <w:b/>
                <w:color w:val="2A4D60"/>
                <w:sz w:val="16"/>
              </w:rPr>
              <w:t>Failure response</w:t>
            </w:r>
          </w:p>
        </w:tc>
      </w:tr>
      <w:tr>
        <w:tc>
          <w:tcPr>
            <w:tcW w:type="dxa" w:w="3389"/>
            <w:vAlign w:val="center"/>
          </w:tcPr>
          <w:p>
            <w:pPr>
              <w:spacing w:after="20" w:line="240" w:lineRule="auto"/>
            </w:pPr>
            <w:r>
              <w:rPr>
                <w:rFonts w:ascii="Calibri" w:hAnsi="Calibri"/>
                <w:color w:val="30383C"/>
                <w:sz w:val="16"/>
              </w:rPr>
              <w:t>Schema and keys</w:t>
            </w:r>
          </w:p>
        </w:tc>
        <w:tc>
          <w:tcPr>
            <w:tcW w:type="dxa" w:w="3389"/>
            <w:vAlign w:val="center"/>
          </w:tcPr>
          <w:p>
            <w:pPr>
              <w:spacing w:after="20" w:line="240" w:lineRule="auto"/>
            </w:pPr>
            <w:r>
              <w:rPr>
                <w:rFonts w:ascii="Calibri" w:hAnsi="Calibri"/>
                <w:color w:val="30383C"/>
                <w:sz w:val="16"/>
              </w:rPr>
              <w:t>Required columns, declared grain, keys, and foreign-key coverage validated.</w:t>
            </w:r>
          </w:p>
        </w:tc>
        <w:tc>
          <w:tcPr>
            <w:tcW w:type="dxa" w:w="3389"/>
            <w:vAlign w:val="center"/>
          </w:tcPr>
          <w:p>
            <w:pPr>
              <w:spacing w:after="20" w:line="240" w:lineRule="auto"/>
            </w:pPr>
            <w:r>
              <w:rPr>
                <w:rFonts w:ascii="Calibri" w:hAnsi="Calibri"/>
                <w:color w:val="30383C"/>
                <w:sz w:val="16"/>
              </w:rPr>
              <w:t>Stop on unexpected schema; quarantine conflicting identities.</w:t>
            </w:r>
          </w:p>
        </w:tc>
      </w:tr>
      <w:tr>
        <w:tc>
          <w:tcPr>
            <w:tcW w:type="dxa" w:w="3389"/>
            <w:vAlign w:val="center"/>
            <w:shd w:fill="F7F8F7"/>
          </w:tcPr>
          <w:p>
            <w:pPr>
              <w:spacing w:after="20" w:line="240" w:lineRule="auto"/>
            </w:pPr>
            <w:r>
              <w:rPr>
                <w:rFonts w:ascii="Calibri" w:hAnsi="Calibri"/>
                <w:color w:val="30383C"/>
                <w:sz w:val="16"/>
              </w:rPr>
              <w:t>Units and ranges</w:t>
            </w:r>
          </w:p>
        </w:tc>
        <w:tc>
          <w:tcPr>
            <w:tcW w:type="dxa" w:w="3389"/>
            <w:vAlign w:val="center"/>
            <w:shd w:fill="F7F8F7"/>
          </w:tcPr>
          <w:p>
            <w:pPr>
              <w:spacing w:after="20" w:line="240" w:lineRule="auto"/>
            </w:pPr>
            <w:r>
              <w:rPr>
                <w:rFonts w:ascii="Calibri" w:hAnsi="Calibri"/>
                <w:color w:val="30383C"/>
                <w:sz w:val="16"/>
              </w:rPr>
              <w:t>Known compatible units and correct effective specification for each sensor.</w:t>
            </w:r>
          </w:p>
        </w:tc>
        <w:tc>
          <w:tcPr>
            <w:tcW w:type="dxa" w:w="3389"/>
            <w:vAlign w:val="center"/>
            <w:shd w:fill="F7F8F7"/>
          </w:tcPr>
          <w:p>
            <w:pPr>
              <w:spacing w:after="20" w:line="240" w:lineRule="auto"/>
            </w:pPr>
            <w:r>
              <w:rPr>
                <w:rFonts w:ascii="Calibri" w:hAnsi="Calibri"/>
                <w:color w:val="30383C"/>
                <w:sz w:val="16"/>
              </w:rPr>
              <w:t>Hold unrecognized units out of analysis; correct at source.</w:t>
            </w:r>
          </w:p>
        </w:tc>
      </w:tr>
      <w:tr>
        <w:tc>
          <w:tcPr>
            <w:tcW w:type="dxa" w:w="3389"/>
            <w:vAlign w:val="center"/>
          </w:tcPr>
          <w:p>
            <w:pPr>
              <w:spacing w:after="20" w:line="240" w:lineRule="auto"/>
            </w:pPr>
            <w:r>
              <w:rPr>
                <w:rFonts w:ascii="Calibri" w:hAnsi="Calibri"/>
                <w:color w:val="30383C"/>
                <w:sz w:val="16"/>
              </w:rPr>
              <w:t>Time integrity</w:t>
            </w:r>
          </w:p>
        </w:tc>
        <w:tc>
          <w:tcPr>
            <w:tcW w:type="dxa" w:w="3389"/>
            <w:vAlign w:val="center"/>
          </w:tcPr>
          <w:p>
            <w:pPr>
              <w:spacing w:after="20" w:line="240" w:lineRule="auto"/>
            </w:pPr>
            <w:r>
              <w:rPr>
                <w:rFonts w:ascii="Calibri" w:hAnsi="Calibri"/>
                <w:color w:val="30383C"/>
                <w:sz w:val="16"/>
              </w:rPr>
              <w:t>Timezone and event order checked; cadence/gap profile reviewed.</w:t>
            </w:r>
          </w:p>
        </w:tc>
        <w:tc>
          <w:tcPr>
            <w:tcW w:type="dxa" w:w="3389"/>
            <w:vAlign w:val="center"/>
          </w:tcPr>
          <w:p>
            <w:pPr>
              <w:spacing w:after="20" w:line="240" w:lineRule="auto"/>
            </w:pPr>
            <w:r>
              <w:rPr>
                <w:rFonts w:ascii="Calibri" w:hAnsi="Calibri"/>
                <w:color w:val="30383C"/>
                <w:sz w:val="16"/>
              </w:rPr>
              <w:t>Preserve source timestamps; flag ambiguous rows and windows.</w:t>
            </w:r>
          </w:p>
        </w:tc>
      </w:tr>
      <w:tr>
        <w:tc>
          <w:tcPr>
            <w:tcW w:type="dxa" w:w="3389"/>
            <w:vAlign w:val="center"/>
            <w:shd w:fill="F7F8F7"/>
          </w:tcPr>
          <w:p>
            <w:pPr>
              <w:spacing w:after="20" w:line="240" w:lineRule="auto"/>
            </w:pPr>
            <w:r>
              <w:rPr>
                <w:rFonts w:ascii="Calibri" w:hAnsi="Calibri"/>
                <w:color w:val="30383C"/>
                <w:sz w:val="16"/>
              </w:rPr>
              <w:t>Missingness</w:t>
            </w:r>
          </w:p>
        </w:tc>
        <w:tc>
          <w:tcPr>
            <w:tcW w:type="dxa" w:w="3389"/>
            <w:vAlign w:val="center"/>
            <w:shd w:fill="F7F8F7"/>
          </w:tcPr>
          <w:p>
            <w:pPr>
              <w:spacing w:after="20" w:line="240" w:lineRule="auto"/>
            </w:pPr>
            <w:r>
              <w:rPr>
                <w:rFonts w:ascii="Calibri" w:hAnsi="Calibri"/>
                <w:color w:val="30383C"/>
                <w:sz w:val="16"/>
              </w:rPr>
              <w:t>Coverage reported by sensor, line, product, and time; reasons classified.</w:t>
            </w:r>
          </w:p>
        </w:tc>
        <w:tc>
          <w:tcPr>
            <w:tcW w:type="dxa" w:w="3389"/>
            <w:vAlign w:val="center"/>
            <w:shd w:fill="F7F8F7"/>
          </w:tcPr>
          <w:p>
            <w:pPr>
              <w:spacing w:after="20" w:line="240" w:lineRule="auto"/>
            </w:pPr>
            <w:r>
              <w:rPr>
                <w:rFonts w:ascii="Calibri" w:hAnsi="Calibri"/>
                <w:color w:val="30383C"/>
                <w:sz w:val="16"/>
              </w:rPr>
              <w:t>Escalate critical gaps; never silently fill control values.</w:t>
            </w:r>
          </w:p>
        </w:tc>
      </w:tr>
      <w:tr>
        <w:tc>
          <w:tcPr>
            <w:tcW w:type="dxa" w:w="3389"/>
            <w:vAlign w:val="center"/>
          </w:tcPr>
          <w:p>
            <w:pPr>
              <w:spacing w:after="20" w:line="240" w:lineRule="auto"/>
            </w:pPr>
            <w:r>
              <w:rPr>
                <w:rFonts w:ascii="Calibri" w:hAnsi="Calibri"/>
                <w:color w:val="30383C"/>
                <w:sz w:val="16"/>
              </w:rPr>
              <w:t>Duplicates and joins</w:t>
            </w:r>
          </w:p>
        </w:tc>
        <w:tc>
          <w:tcPr>
            <w:tcW w:type="dxa" w:w="3389"/>
            <w:vAlign w:val="center"/>
          </w:tcPr>
          <w:p>
            <w:pPr>
              <w:spacing w:after="20" w:line="240" w:lineRule="auto"/>
            </w:pPr>
            <w:r>
              <w:rPr>
                <w:rFonts w:ascii="Calibri" w:hAnsi="Calibri"/>
                <w:color w:val="30383C"/>
                <w:sz w:val="16"/>
              </w:rPr>
              <w:t>Conflicts and row counts reconcile with declared join cardinality.</w:t>
            </w:r>
          </w:p>
        </w:tc>
        <w:tc>
          <w:tcPr>
            <w:tcW w:type="dxa" w:w="3389"/>
            <w:vAlign w:val="center"/>
          </w:tcPr>
          <w:p>
            <w:pPr>
              <w:spacing w:after="20" w:line="240" w:lineRule="auto"/>
            </w:pPr>
            <w:r>
              <w:rPr>
                <w:rFonts w:ascii="Calibri" w:hAnsi="Calibri"/>
                <w:color w:val="30383C"/>
                <w:sz w:val="16"/>
              </w:rPr>
              <w:t>Stop unexpected row multiplication and resolve conflicting keys.</w:t>
            </w:r>
          </w:p>
        </w:tc>
      </w:tr>
      <w:tr>
        <w:tc>
          <w:tcPr>
            <w:tcW w:type="dxa" w:w="3389"/>
            <w:vAlign w:val="center"/>
            <w:shd w:fill="F7F8F7"/>
          </w:tcPr>
          <w:p>
            <w:pPr>
              <w:spacing w:after="20" w:line="240" w:lineRule="auto"/>
            </w:pPr>
            <w:r>
              <w:rPr>
                <w:rFonts w:ascii="Calibri" w:hAnsi="Calibri"/>
                <w:color w:val="30383C"/>
                <w:sz w:val="16"/>
              </w:rPr>
              <w:t>Transform integrity</w:t>
            </w:r>
          </w:p>
        </w:tc>
        <w:tc>
          <w:tcPr>
            <w:tcW w:type="dxa" w:w="3389"/>
            <w:vAlign w:val="center"/>
            <w:shd w:fill="F7F8F7"/>
          </w:tcPr>
          <w:p>
            <w:pPr>
              <w:spacing w:after="20" w:line="240" w:lineRule="auto"/>
            </w:pPr>
            <w:r>
              <w:rPr>
                <w:rFonts w:ascii="Calibri" w:hAnsi="Calibri"/>
                <w:color w:val="30383C"/>
                <w:sz w:val="16"/>
              </w:rPr>
              <w:t>Conversion tests pass; fitted transforms use training folds only.</w:t>
            </w:r>
          </w:p>
        </w:tc>
        <w:tc>
          <w:tcPr>
            <w:tcW w:type="dxa" w:w="3389"/>
            <w:vAlign w:val="center"/>
            <w:shd w:fill="F7F8F7"/>
          </w:tcPr>
          <w:p>
            <w:pPr>
              <w:spacing w:after="20" w:line="240" w:lineRule="auto"/>
            </w:pPr>
            <w:r>
              <w:rPr>
                <w:rFonts w:ascii="Calibri" w:hAnsi="Calibri"/>
                <w:color w:val="30383C"/>
                <w:sz w:val="16"/>
              </w:rPr>
              <w:t>Fail on conversion error or inconsistent train/test features.</w:t>
            </w:r>
          </w:p>
        </w:tc>
      </w:tr>
      <w:tr>
        <w:tc>
          <w:tcPr>
            <w:tcW w:type="dxa" w:w="3389"/>
            <w:vAlign w:val="center"/>
          </w:tcPr>
          <w:p>
            <w:pPr>
              <w:spacing w:after="20" w:line="240" w:lineRule="auto"/>
            </w:pPr>
            <w:r>
              <w:rPr>
                <w:rFonts w:ascii="Calibri" w:hAnsi="Calibri"/>
                <w:color w:val="30383C"/>
                <w:sz w:val="16"/>
              </w:rPr>
              <w:t>Reconciliation</w:t>
            </w:r>
          </w:p>
        </w:tc>
        <w:tc>
          <w:tcPr>
            <w:tcW w:type="dxa" w:w="3389"/>
            <w:vAlign w:val="center"/>
          </w:tcPr>
          <w:p>
            <w:pPr>
              <w:spacing w:after="20" w:line="240" w:lineRule="auto"/>
            </w:pPr>
            <w:r>
              <w:rPr>
                <w:rFonts w:ascii="Calibri" w:hAnsi="Calibri"/>
                <w:color w:val="30383C"/>
                <w:sz w:val="16"/>
              </w:rPr>
              <w:t>Output count equals inputs minus logged duplicates/exclusions plus documented changes.</w:t>
            </w:r>
          </w:p>
        </w:tc>
        <w:tc>
          <w:tcPr>
            <w:tcW w:type="dxa" w:w="3389"/>
            <w:vAlign w:val="center"/>
          </w:tcPr>
          <w:p>
            <w:pPr>
              <w:spacing w:after="20" w:line="240" w:lineRule="auto"/>
            </w:pPr>
            <w:r>
              <w:rPr>
                <w:rFonts w:ascii="Calibri" w:hAnsi="Calibri"/>
                <w:color w:val="30383C"/>
                <w:sz w:val="16"/>
              </w:rPr>
              <w:t>Produce record-level exception report with disposition.</w:t>
            </w:r>
          </w:p>
        </w:tc>
      </w:tr>
      <w:tr>
        <w:tc>
          <w:tcPr>
            <w:tcW w:type="dxa" w:w="3389"/>
            <w:vAlign w:val="center"/>
            <w:shd w:fill="F7F8F7"/>
          </w:tcPr>
          <w:p>
            <w:pPr>
              <w:spacing w:after="20" w:line="240" w:lineRule="auto"/>
            </w:pPr>
            <w:r>
              <w:rPr>
                <w:rFonts w:ascii="Calibri" w:hAnsi="Calibri"/>
                <w:color w:val="30383C"/>
                <w:sz w:val="16"/>
              </w:rPr>
              <w:t>Domain approval</w:t>
            </w:r>
          </w:p>
        </w:tc>
        <w:tc>
          <w:tcPr>
            <w:tcW w:type="dxa" w:w="3389"/>
            <w:vAlign w:val="center"/>
            <w:shd w:fill="F7F8F7"/>
          </w:tcPr>
          <w:p>
            <w:pPr>
              <w:spacing w:after="20" w:line="240" w:lineRule="auto"/>
            </w:pPr>
            <w:r>
              <w:rPr>
                <w:rFonts w:ascii="Calibri" w:hAnsi="Calibri"/>
                <w:color w:val="30383C"/>
                <w:sz w:val="16"/>
              </w:rPr>
              <w:t>Quality/process owner approves limits and critical-value handling.</w:t>
            </w:r>
          </w:p>
        </w:tc>
        <w:tc>
          <w:tcPr>
            <w:tcW w:type="dxa" w:w="3389"/>
            <w:vAlign w:val="center"/>
            <w:shd w:fill="F7F8F7"/>
          </w:tcPr>
          <w:p>
            <w:pPr>
              <w:spacing w:after="20" w:line="240" w:lineRule="auto"/>
            </w:pPr>
            <w:r>
              <w:rPr>
                <w:rFonts w:ascii="Calibri" w:hAnsi="Calibri"/>
                <w:color w:val="30383C"/>
                <w:sz w:val="16"/>
              </w:rPr>
              <w:t>Do not release for safety-critical use without review.</w:t>
            </w:r>
          </w:p>
        </w:tc>
      </w:tr>
    </w:tbl>
    <w:p>
      <w:pPr>
        <w:spacing w:after="20"/>
      </w:pPr>
    </w:p>
    <w:p>
      <w:r>
        <w:t>Release only when rules are documented, critical uncertainties remain visible, record counts reconcile, unit/schema tests pass, and an independent analyst can reproduce the result. Thresholds must be approved for the specific sensor, product, line, and process version; this plan is not a replacement for a validated food-safety control plan.</w:t>
      </w:r>
    </w:p>
    <w:p>
      <w:pPr>
        <w:pStyle w:val="Heading1"/>
      </w:pPr>
      <w:r>
        <w:t>7. Documentation and reproducibility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E8EEF0"/>
          </w:tcPr>
          <w:p>
            <w:pPr>
              <w:spacing w:after="20"/>
            </w:pPr>
            <w:r>
              <w:rPr>
                <w:rFonts w:ascii="Calibri" w:hAnsi="Calibri"/>
                <w:b/>
                <w:color w:val="2A4D60"/>
                <w:sz w:val="16"/>
              </w:rPr>
              <w:t>Record</w:t>
            </w:r>
          </w:p>
        </w:tc>
        <w:tc>
          <w:tcPr>
            <w:tcW w:type="dxa" w:w="5083"/>
            <w:vAlign w:val="center"/>
            <w:shd w:fill="E8EEF0"/>
          </w:tcPr>
          <w:p>
            <w:pPr>
              <w:spacing w:after="20"/>
            </w:pPr>
            <w:r>
              <w:rPr>
                <w:rFonts w:ascii="Calibri" w:hAnsi="Calibri"/>
                <w:b/>
                <w:color w:val="2A4D60"/>
                <w:sz w:val="16"/>
              </w:rPr>
              <w:t>Required content</w:t>
            </w:r>
          </w:p>
        </w:tc>
      </w:tr>
      <w:tr>
        <w:tc>
          <w:tcPr>
            <w:tcW w:type="dxa" w:w="5083"/>
            <w:vAlign w:val="center"/>
          </w:tcPr>
          <w:p>
            <w:pPr>
              <w:spacing w:after="20" w:line="240" w:lineRule="auto"/>
            </w:pPr>
            <w:r>
              <w:rPr>
                <w:rFonts w:ascii="Calibri" w:hAnsi="Calibri"/>
                <w:color w:val="30383C"/>
                <w:sz w:val="16"/>
              </w:rPr>
              <w:t>Source manifest</w:t>
            </w:r>
          </w:p>
        </w:tc>
        <w:tc>
          <w:tcPr>
            <w:tcW w:type="dxa" w:w="5083"/>
            <w:vAlign w:val="center"/>
          </w:tcPr>
          <w:p>
            <w:pPr>
              <w:spacing w:after="20" w:line="240" w:lineRule="auto"/>
            </w:pPr>
            <w:r>
              <w:rPr>
                <w:rFonts w:ascii="Calibri" w:hAnsi="Calibri"/>
                <w:color w:val="30383C"/>
                <w:sz w:val="16"/>
              </w:rPr>
              <w:t>Owner, file/table, extraction query/date, version, checksum, access terms, row count, schema.</w:t>
            </w:r>
          </w:p>
        </w:tc>
      </w:tr>
      <w:tr>
        <w:tc>
          <w:tcPr>
            <w:tcW w:type="dxa" w:w="5083"/>
            <w:vAlign w:val="center"/>
            <w:shd w:fill="F7F8F7"/>
          </w:tcPr>
          <w:p>
            <w:pPr>
              <w:spacing w:after="20" w:line="240" w:lineRule="auto"/>
            </w:pPr>
            <w:r>
              <w:rPr>
                <w:rFonts w:ascii="Calibri" w:hAnsi="Calibri"/>
                <w:color w:val="30383C"/>
                <w:sz w:val="16"/>
              </w:rPr>
              <w:t>Data dictionary</w:t>
            </w:r>
          </w:p>
        </w:tc>
        <w:tc>
          <w:tcPr>
            <w:tcW w:type="dxa" w:w="5083"/>
            <w:vAlign w:val="center"/>
            <w:shd w:fill="F7F8F7"/>
          </w:tcPr>
          <w:p>
            <w:pPr>
              <w:spacing w:after="20" w:line="240" w:lineRule="auto"/>
            </w:pPr>
            <w:r>
              <w:rPr>
                <w:rFonts w:ascii="Calibri" w:hAnsi="Calibri"/>
                <w:color w:val="30383C"/>
                <w:sz w:val="16"/>
              </w:rPr>
              <w:t>Definition, grain, type, unit, allowed values, null meaning, keys, availability time.</w:t>
            </w:r>
          </w:p>
        </w:tc>
      </w:tr>
      <w:tr>
        <w:tc>
          <w:tcPr>
            <w:tcW w:type="dxa" w:w="5083"/>
            <w:vAlign w:val="center"/>
          </w:tcPr>
          <w:p>
            <w:pPr>
              <w:spacing w:after="20" w:line="240" w:lineRule="auto"/>
            </w:pPr>
            <w:r>
              <w:rPr>
                <w:rFonts w:ascii="Calibri" w:hAnsi="Calibri"/>
                <w:color w:val="30383C"/>
                <w:sz w:val="16"/>
              </w:rPr>
              <w:t>Transformation log</w:t>
            </w:r>
          </w:p>
        </w:tc>
        <w:tc>
          <w:tcPr>
            <w:tcW w:type="dxa" w:w="5083"/>
            <w:vAlign w:val="center"/>
          </w:tcPr>
          <w:p>
            <w:pPr>
              <w:spacing w:after="20" w:line="240" w:lineRule="auto"/>
            </w:pPr>
            <w:r>
              <w:rPr>
                <w:rFonts w:ascii="Calibri" w:hAnsi="Calibri"/>
                <w:color w:val="30383C"/>
                <w:sz w:val="16"/>
              </w:rPr>
              <w:t>Step ID, code/config version, input/output counts, rule, rationale, affected rows, approver.</w:t>
            </w:r>
          </w:p>
        </w:tc>
      </w:tr>
      <w:tr>
        <w:tc>
          <w:tcPr>
            <w:tcW w:type="dxa" w:w="5083"/>
            <w:vAlign w:val="center"/>
            <w:shd w:fill="F7F8F7"/>
          </w:tcPr>
          <w:p>
            <w:pPr>
              <w:spacing w:after="20" w:line="240" w:lineRule="auto"/>
            </w:pPr>
            <w:r>
              <w:rPr>
                <w:rFonts w:ascii="Calibri" w:hAnsi="Calibri"/>
                <w:color w:val="30383C"/>
                <w:sz w:val="16"/>
              </w:rPr>
              <w:t>Exception register</w:t>
            </w:r>
          </w:p>
        </w:tc>
        <w:tc>
          <w:tcPr>
            <w:tcW w:type="dxa" w:w="5083"/>
            <w:vAlign w:val="center"/>
            <w:shd w:fill="F7F8F7"/>
          </w:tcPr>
          <w:p>
            <w:pPr>
              <w:spacing w:after="20" w:line="240" w:lineRule="auto"/>
            </w:pPr>
            <w:r>
              <w:rPr>
                <w:rFonts w:ascii="Calibri" w:hAnsi="Calibri"/>
                <w:color w:val="30383C"/>
                <w:sz w:val="16"/>
              </w:rPr>
              <w:t>Record key, issue, raw and flagged value, disposition, reason, reviewer, status.</w:t>
            </w:r>
          </w:p>
        </w:tc>
      </w:tr>
      <w:tr>
        <w:tc>
          <w:tcPr>
            <w:tcW w:type="dxa" w:w="5083"/>
            <w:vAlign w:val="center"/>
          </w:tcPr>
          <w:p>
            <w:pPr>
              <w:spacing w:after="20" w:line="240" w:lineRule="auto"/>
            </w:pPr>
            <w:r>
              <w:rPr>
                <w:rFonts w:ascii="Calibri" w:hAnsi="Calibri"/>
                <w:color w:val="30383C"/>
                <w:sz w:val="16"/>
              </w:rPr>
              <w:t>Model preprocessing</w:t>
            </w:r>
          </w:p>
        </w:tc>
        <w:tc>
          <w:tcPr>
            <w:tcW w:type="dxa" w:w="5083"/>
            <w:vAlign w:val="center"/>
          </w:tcPr>
          <w:p>
            <w:pPr>
              <w:spacing w:after="20" w:line="240" w:lineRule="auto"/>
            </w:pPr>
            <w:r>
              <w:rPr>
                <w:rFonts w:ascii="Calibri" w:hAnsi="Calibri"/>
                <w:color w:val="30383C"/>
                <w:sz w:val="16"/>
              </w:rPr>
              <w:t>Split dates/IDs, fold-fitted parameters, feature list, package versions, random seed.</w:t>
            </w:r>
          </w:p>
        </w:tc>
      </w:tr>
      <w:tr>
        <w:tc>
          <w:tcPr>
            <w:tcW w:type="dxa" w:w="5083"/>
            <w:vAlign w:val="center"/>
            <w:shd w:fill="F7F8F7"/>
          </w:tcPr>
          <w:p>
            <w:pPr>
              <w:spacing w:after="20" w:line="240" w:lineRule="auto"/>
            </w:pPr>
            <w:r>
              <w:rPr>
                <w:rFonts w:ascii="Calibri" w:hAnsi="Calibri"/>
                <w:color w:val="30383C"/>
                <w:sz w:val="16"/>
              </w:rPr>
              <w:t>Release report</w:t>
            </w:r>
          </w:p>
        </w:tc>
        <w:tc>
          <w:tcPr>
            <w:tcW w:type="dxa" w:w="5083"/>
            <w:vAlign w:val="center"/>
            <w:shd w:fill="F7F8F7"/>
          </w:tcPr>
          <w:p>
            <w:pPr>
              <w:spacing w:after="20" w:line="240" w:lineRule="auto"/>
            </w:pPr>
            <w:r>
              <w:rPr>
                <w:rFonts w:ascii="Calibri" w:hAnsi="Calibri"/>
                <w:color w:val="30383C"/>
                <w:sz w:val="16"/>
              </w:rPr>
              <w:t>Coverage, missingness, duplicates, outlier dispositions, checks, exclusions, open risks, sign-off.</w:t>
            </w:r>
          </w:p>
        </w:tc>
      </w:tr>
    </w:tbl>
    <w:p>
      <w:pPr>
        <w:spacing w:after="20"/>
      </w:pPr>
    </w:p>
    <w:p>
      <w:r>
        <w:t>Keep immutable source data separate from intermediate and released data. Version transformation code and configuration; record package versions and random seeds; create a new dataset version for material rule changes. For corrected readings, retain raw and cleaned values together with quality flags. Restrict sensitive operator, facility, and lot data according to project policy, and do not commit credentials or restricted records.</w:t>
      </w:r>
    </w:p>
    <w:p>
      <w:pPr>
        <w:pStyle w:val="Heading1"/>
      </w:pPr>
      <w:r>
        <w:t>8. Implementation sequence and review gates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E8EEF0"/>
          </w:tcPr>
          <w:p>
            <w:pPr>
              <w:spacing w:after="20"/>
            </w:pPr>
            <w:r>
              <w:rPr>
                <w:rFonts w:ascii="Calibri" w:hAnsi="Calibri"/>
                <w:b/>
                <w:color w:val="2A4D60"/>
                <w:sz w:val="16"/>
              </w:rPr>
              <w:t>Stage</w:t>
            </w:r>
          </w:p>
        </w:tc>
        <w:tc>
          <w:tcPr>
            <w:tcW w:type="dxa" w:w="3389"/>
            <w:vAlign w:val="center"/>
            <w:shd w:fill="E8EEF0"/>
          </w:tcPr>
          <w:p>
            <w:pPr>
              <w:spacing w:after="20"/>
            </w:pPr>
            <w:r>
              <w:rPr>
                <w:rFonts w:ascii="Calibri" w:hAnsi="Calibri"/>
                <w:b/>
                <w:color w:val="2A4D60"/>
                <w:sz w:val="16"/>
              </w:rPr>
              <w:t>Work</w:t>
            </w:r>
          </w:p>
        </w:tc>
        <w:tc>
          <w:tcPr>
            <w:tcW w:type="dxa" w:w="3389"/>
            <w:vAlign w:val="center"/>
            <w:shd w:fill="E8EEF0"/>
          </w:tcPr>
          <w:p>
            <w:pPr>
              <w:spacing w:after="20"/>
            </w:pPr>
            <w:r>
              <w:rPr>
                <w:rFonts w:ascii="Calibri" w:hAnsi="Calibri"/>
                <w:b/>
                <w:color w:val="2A4D60"/>
                <w:sz w:val="16"/>
              </w:rPr>
              <w:t>Owner / gate</w:t>
            </w:r>
          </w:p>
        </w:tc>
      </w:tr>
      <w:tr>
        <w:tc>
          <w:tcPr>
            <w:tcW w:type="dxa" w:w="3389"/>
            <w:vAlign w:val="center"/>
          </w:tcPr>
          <w:p>
            <w:pPr>
              <w:spacing w:after="20" w:line="240" w:lineRule="auto"/>
            </w:pPr>
            <w:r>
              <w:rPr>
                <w:rFonts w:ascii="Calibri" w:hAnsi="Calibri"/>
                <w:color w:val="30383C"/>
                <w:sz w:val="16"/>
              </w:rPr>
              <w:t>Define</w:t>
            </w:r>
          </w:p>
        </w:tc>
        <w:tc>
          <w:tcPr>
            <w:tcW w:type="dxa" w:w="3389"/>
            <w:vAlign w:val="center"/>
          </w:tcPr>
          <w:p>
            <w:pPr>
              <w:spacing w:after="20" w:line="240" w:lineRule="auto"/>
            </w:pPr>
            <w:r>
              <w:rPr>
                <w:rFonts w:ascii="Calibri" w:hAnsi="Calibri"/>
                <w:color w:val="30383C"/>
                <w:sz w:val="16"/>
              </w:rPr>
              <w:t>Question, analysis grain, prediction time, sensors, specifications, ownership.</w:t>
            </w:r>
          </w:p>
        </w:tc>
        <w:tc>
          <w:tcPr>
            <w:tcW w:type="dxa" w:w="3389"/>
            <w:vAlign w:val="center"/>
          </w:tcPr>
          <w:p>
            <w:pPr>
              <w:spacing w:after="20" w:line="240" w:lineRule="auto"/>
            </w:pPr>
            <w:r>
              <w:rPr>
                <w:rFonts w:ascii="Calibri" w:hAnsi="Calibri"/>
                <w:color w:val="30383C"/>
                <w:sz w:val="16"/>
              </w:rPr>
              <w:t>Analyst and process/quality owner approve data contract.</w:t>
            </w:r>
          </w:p>
        </w:tc>
      </w:tr>
      <w:tr>
        <w:tc>
          <w:tcPr>
            <w:tcW w:type="dxa" w:w="3389"/>
            <w:vAlign w:val="center"/>
            <w:shd w:fill="F7F8F7"/>
          </w:tcPr>
          <w:p>
            <w:pPr>
              <w:spacing w:after="20" w:line="240" w:lineRule="auto"/>
            </w:pPr>
            <w:r>
              <w:rPr>
                <w:rFonts w:ascii="Calibri" w:hAnsi="Calibri"/>
                <w:color w:val="30383C"/>
                <w:sz w:val="16"/>
              </w:rPr>
              <w:t>Inventory</w:t>
            </w:r>
          </w:p>
        </w:tc>
        <w:tc>
          <w:tcPr>
            <w:tcW w:type="dxa" w:w="3389"/>
            <w:vAlign w:val="center"/>
            <w:shd w:fill="F7F8F7"/>
          </w:tcPr>
          <w:p>
            <w:pPr>
              <w:spacing w:after="20" w:line="240" w:lineRule="auto"/>
            </w:pPr>
            <w:r>
              <w:rPr>
                <w:rFonts w:ascii="Calibri" w:hAnsi="Calibri"/>
                <w:color w:val="30383C"/>
                <w:sz w:val="16"/>
              </w:rPr>
              <w:t>Archive sources, checksums, schema, methods, units, calibration/specification records.</w:t>
            </w:r>
          </w:p>
        </w:tc>
        <w:tc>
          <w:tcPr>
            <w:tcW w:type="dxa" w:w="3389"/>
            <w:vAlign w:val="center"/>
            <w:shd w:fill="F7F8F7"/>
          </w:tcPr>
          <w:p>
            <w:pPr>
              <w:spacing w:after="20" w:line="240" w:lineRule="auto"/>
            </w:pPr>
            <w:r>
              <w:rPr>
                <w:rFonts w:ascii="Calibri" w:hAnsi="Calibri"/>
                <w:color w:val="30383C"/>
                <w:sz w:val="16"/>
              </w:rPr>
              <w:t>Data steward confirms metadata completeness.</w:t>
            </w:r>
          </w:p>
        </w:tc>
      </w:tr>
      <w:tr>
        <w:tc>
          <w:tcPr>
            <w:tcW w:type="dxa" w:w="3389"/>
            <w:vAlign w:val="center"/>
          </w:tcPr>
          <w:p>
            <w:pPr>
              <w:spacing w:after="20" w:line="240" w:lineRule="auto"/>
            </w:pPr>
            <w:r>
              <w:rPr>
                <w:rFonts w:ascii="Calibri" w:hAnsi="Calibri"/>
                <w:color w:val="30383C"/>
                <w:sz w:val="16"/>
              </w:rPr>
              <w:t>Profile</w:t>
            </w:r>
          </w:p>
        </w:tc>
        <w:tc>
          <w:tcPr>
            <w:tcW w:type="dxa" w:w="3389"/>
            <w:vAlign w:val="center"/>
          </w:tcPr>
          <w:p>
            <w:pPr>
              <w:spacing w:after="20" w:line="240" w:lineRule="auto"/>
            </w:pPr>
            <w:r>
              <w:rPr>
                <w:rFonts w:ascii="Calibri" w:hAnsi="Calibri"/>
                <w:color w:val="30383C"/>
                <w:sz w:val="16"/>
              </w:rPr>
              <w:t>Structure, distributions, timestamps, cadence, missingness, relationships, trace plots.</w:t>
            </w:r>
          </w:p>
        </w:tc>
        <w:tc>
          <w:tcPr>
            <w:tcW w:type="dxa" w:w="3389"/>
            <w:vAlign w:val="center"/>
          </w:tcPr>
          <w:p>
            <w:pPr>
              <w:spacing w:after="20" w:line="240" w:lineRule="auto"/>
            </w:pPr>
            <w:r>
              <w:rPr>
                <w:rFonts w:ascii="Calibri" w:hAnsi="Calibri"/>
                <w:color w:val="30383C"/>
                <w:sz w:val="16"/>
              </w:rPr>
              <w:t>Resolve high-risk unknowns before transformation.</w:t>
            </w:r>
          </w:p>
        </w:tc>
      </w:tr>
      <w:tr>
        <w:tc>
          <w:tcPr>
            <w:tcW w:type="dxa" w:w="3389"/>
            <w:vAlign w:val="center"/>
            <w:shd w:fill="F7F8F7"/>
          </w:tcPr>
          <w:p>
            <w:pPr>
              <w:spacing w:after="20" w:line="240" w:lineRule="auto"/>
            </w:pPr>
            <w:r>
              <w:rPr>
                <w:rFonts w:ascii="Calibri" w:hAnsi="Calibri"/>
                <w:color w:val="30383C"/>
                <w:sz w:val="16"/>
              </w:rPr>
              <w:t>Clean</w:t>
            </w:r>
          </w:p>
        </w:tc>
        <w:tc>
          <w:tcPr>
            <w:tcW w:type="dxa" w:w="3389"/>
            <w:vAlign w:val="center"/>
            <w:shd w:fill="F7F8F7"/>
          </w:tcPr>
          <w:p>
            <w:pPr>
              <w:spacing w:after="20" w:line="240" w:lineRule="auto"/>
            </w:pPr>
            <w:r>
              <w:rPr>
                <w:rFonts w:ascii="Calibri" w:hAnsi="Calibri"/>
                <w:color w:val="30383C"/>
                <w:sz w:val="16"/>
              </w:rPr>
              <w:t>Apply approved key, duplicate, unit, timestamp, category, and flag rules.</w:t>
            </w:r>
          </w:p>
        </w:tc>
        <w:tc>
          <w:tcPr>
            <w:tcW w:type="dxa" w:w="3389"/>
            <w:vAlign w:val="center"/>
            <w:shd w:fill="F7F8F7"/>
          </w:tcPr>
          <w:p>
            <w:pPr>
              <w:spacing w:after="20" w:line="240" w:lineRule="auto"/>
            </w:pPr>
            <w:r>
              <w:rPr>
                <w:rFonts w:ascii="Calibri" w:hAnsi="Calibri"/>
                <w:color w:val="30383C"/>
                <w:sz w:val="16"/>
              </w:rPr>
              <w:t>Reconcile counts; quarantine unresolved conflicts.</w:t>
            </w:r>
          </w:p>
        </w:tc>
      </w:tr>
      <w:tr>
        <w:tc>
          <w:tcPr>
            <w:tcW w:type="dxa" w:w="3389"/>
            <w:vAlign w:val="center"/>
          </w:tcPr>
          <w:p>
            <w:pPr>
              <w:spacing w:after="20" w:line="240" w:lineRule="auto"/>
            </w:pPr>
            <w:r>
              <w:rPr>
                <w:rFonts w:ascii="Calibri" w:hAnsi="Calibri"/>
                <w:color w:val="30383C"/>
                <w:sz w:val="16"/>
              </w:rPr>
              <w:t>Review</w:t>
            </w:r>
          </w:p>
        </w:tc>
        <w:tc>
          <w:tcPr>
            <w:tcW w:type="dxa" w:w="3389"/>
            <w:vAlign w:val="center"/>
          </w:tcPr>
          <w:p>
            <w:pPr>
              <w:spacing w:after="20" w:line="240" w:lineRule="auto"/>
            </w:pPr>
            <w:r>
              <w:rPr>
                <w:rFonts w:ascii="Calibri" w:hAnsi="Calibri"/>
                <w:color w:val="30383C"/>
                <w:sz w:val="16"/>
              </w:rPr>
              <w:t>Investigate limits, statistical flags, outages, faults, transitions, event logs.</w:t>
            </w:r>
          </w:p>
        </w:tc>
        <w:tc>
          <w:tcPr>
            <w:tcW w:type="dxa" w:w="3389"/>
            <w:vAlign w:val="center"/>
          </w:tcPr>
          <w:p>
            <w:pPr>
              <w:spacing w:after="20" w:line="240" w:lineRule="auto"/>
            </w:pPr>
            <w:r>
              <w:rPr>
                <w:rFonts w:ascii="Calibri" w:hAnsi="Calibri"/>
                <w:color w:val="30383C"/>
                <w:sz w:val="16"/>
              </w:rPr>
              <w:t>Quality/process engineer signs dispositions.</w:t>
            </w:r>
          </w:p>
        </w:tc>
      </w:tr>
      <w:tr>
        <w:tc>
          <w:tcPr>
            <w:tcW w:type="dxa" w:w="3389"/>
            <w:vAlign w:val="center"/>
            <w:shd w:fill="F7F8F7"/>
          </w:tcPr>
          <w:p>
            <w:pPr>
              <w:spacing w:after="20" w:line="240" w:lineRule="auto"/>
            </w:pPr>
            <w:r>
              <w:rPr>
                <w:rFonts w:ascii="Calibri" w:hAnsi="Calibri"/>
                <w:color w:val="30383C"/>
                <w:sz w:val="16"/>
              </w:rPr>
              <w:t>Preprocess</w:t>
            </w:r>
          </w:p>
        </w:tc>
        <w:tc>
          <w:tcPr>
            <w:tcW w:type="dxa" w:w="3389"/>
            <w:vAlign w:val="center"/>
            <w:shd w:fill="F7F8F7"/>
          </w:tcPr>
          <w:p>
            <w:pPr>
              <w:spacing w:after="20" w:line="240" w:lineRule="auto"/>
            </w:pPr>
            <w:r>
              <w:rPr>
                <w:rFonts w:ascii="Calibri" w:hAnsi="Calibri"/>
                <w:color w:val="30383C"/>
                <w:sz w:val="16"/>
              </w:rPr>
              <w:t>Build fold-local imputation, scaling, encoding, windowing, feature selection.</w:t>
            </w:r>
          </w:p>
        </w:tc>
        <w:tc>
          <w:tcPr>
            <w:tcW w:type="dxa" w:w="3389"/>
            <w:vAlign w:val="center"/>
            <w:shd w:fill="F7F8F7"/>
          </w:tcPr>
          <w:p>
            <w:pPr>
              <w:spacing w:after="20" w:line="240" w:lineRule="auto"/>
            </w:pPr>
            <w:r>
              <w:rPr>
                <w:rFonts w:ascii="Calibri" w:hAnsi="Calibri"/>
                <w:color w:val="30383C"/>
                <w:sz w:val="16"/>
              </w:rPr>
              <w:t>Analyst and reviewer check leakage and split design.</w:t>
            </w:r>
          </w:p>
        </w:tc>
      </w:tr>
      <w:tr>
        <w:tc>
          <w:tcPr>
            <w:tcW w:type="dxa" w:w="3389"/>
            <w:vAlign w:val="center"/>
          </w:tcPr>
          <w:p>
            <w:pPr>
              <w:spacing w:after="20" w:line="240" w:lineRule="auto"/>
            </w:pPr>
            <w:r>
              <w:rPr>
                <w:rFonts w:ascii="Calibri" w:hAnsi="Calibri"/>
                <w:color w:val="30383C"/>
                <w:sz w:val="16"/>
              </w:rPr>
              <w:t>Validate/release</w:t>
            </w:r>
          </w:p>
        </w:tc>
        <w:tc>
          <w:tcPr>
            <w:tcW w:type="dxa" w:w="3389"/>
            <w:vAlign w:val="center"/>
          </w:tcPr>
          <w:p>
            <w:pPr>
              <w:spacing w:after="20" w:line="240" w:lineRule="auto"/>
            </w:pPr>
            <w:r>
              <w:rPr>
                <w:rFonts w:ascii="Calibri" w:hAnsi="Calibri"/>
                <w:color w:val="30383C"/>
                <w:sz w:val="16"/>
              </w:rPr>
              <w:t>Run assertions, compare before/after profiles, reproduce and approve outputs.</w:t>
            </w:r>
          </w:p>
        </w:tc>
        <w:tc>
          <w:tcPr>
            <w:tcW w:type="dxa" w:w="3389"/>
            <w:vAlign w:val="center"/>
          </w:tcPr>
          <w:p>
            <w:pPr>
              <w:spacing w:after="20" w:line="240" w:lineRule="auto"/>
            </w:pPr>
            <w:r>
              <w:rPr>
                <w:rFonts w:ascii="Calibri" w:hAnsi="Calibri"/>
                <w:color w:val="30383C"/>
                <w:sz w:val="16"/>
              </w:rPr>
              <w:t>Independent reviewer and quality owner sign release gate.</w:t>
            </w:r>
          </w:p>
        </w:tc>
      </w:tr>
    </w:tbl>
    <w:p>
      <w:pPr>
        <w:spacing w:after="20"/>
      </w:pPr>
    </w:p>
    <w:p>
      <w:r>
        <w:t>One analyst can lead a pilot, but an independent reviewer should examine specification decisions, outlier dispositions, leakage checks, and release criteria. A sensor or process engineer must provide operating context; limits must not be inferred from the observed distribution alone.</w:t>
      </w:r>
    </w:p>
    <w:p>
      <w:pPr>
        <w:pStyle w:val="Heading1"/>
      </w:pPr>
      <w:r>
        <w:t>9. Six-week schedule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E8EEF0"/>
          </w:tcPr>
          <w:p>
            <w:pPr>
              <w:spacing w:after="20"/>
            </w:pPr>
            <w:r>
              <w:rPr>
                <w:rFonts w:ascii="Calibri" w:hAnsi="Calibri"/>
                <w:b/>
                <w:color w:val="2A4D60"/>
                <w:sz w:val="16"/>
              </w:rPr>
              <w:t>Week</w:t>
            </w:r>
          </w:p>
        </w:tc>
        <w:tc>
          <w:tcPr>
            <w:tcW w:type="dxa" w:w="3389"/>
            <w:vAlign w:val="center"/>
            <w:shd w:fill="E8EEF0"/>
          </w:tcPr>
          <w:p>
            <w:pPr>
              <w:spacing w:after="20"/>
            </w:pPr>
            <w:r>
              <w:rPr>
                <w:rFonts w:ascii="Calibri" w:hAnsi="Calibri"/>
                <w:b/>
                <w:color w:val="2A4D60"/>
                <w:sz w:val="16"/>
              </w:rPr>
              <w:t>Work</w:t>
            </w:r>
          </w:p>
        </w:tc>
        <w:tc>
          <w:tcPr>
            <w:tcW w:type="dxa" w:w="3389"/>
            <w:vAlign w:val="center"/>
            <w:shd w:fill="E8EEF0"/>
          </w:tcPr>
          <w:p>
            <w:pPr>
              <w:spacing w:after="20"/>
            </w:pPr>
            <w:r>
              <w:rPr>
                <w:rFonts w:ascii="Calibri" w:hAnsi="Calibri"/>
                <w:b/>
                <w:color w:val="2A4D60"/>
                <w:sz w:val="16"/>
              </w:rPr>
              <w:t>Milestone</w:t>
            </w:r>
          </w:p>
        </w:tc>
      </w:tr>
      <w:tr>
        <w:tc>
          <w:tcPr>
            <w:tcW w:type="dxa" w:w="3389"/>
            <w:vAlign w:val="center"/>
          </w:tcPr>
          <w:p>
            <w:pPr>
              <w:spacing w:after="20" w:line="240" w:lineRule="auto"/>
            </w:pPr>
            <w:r>
              <w:rPr>
                <w:rFonts w:ascii="Calibri" w:hAnsi="Calibri"/>
                <w:color w:val="30383C"/>
                <w:sz w:val="16"/>
              </w:rPr>
              <w:t>1</w:t>
            </w:r>
          </w:p>
        </w:tc>
        <w:tc>
          <w:tcPr>
            <w:tcW w:type="dxa" w:w="3389"/>
            <w:vAlign w:val="center"/>
          </w:tcPr>
          <w:p>
            <w:pPr>
              <w:spacing w:after="20" w:line="240" w:lineRule="auto"/>
            </w:pPr>
            <w:r>
              <w:rPr>
                <w:rFonts w:ascii="Calibri" w:hAnsi="Calibri"/>
                <w:color w:val="30383C"/>
                <w:sz w:val="16"/>
              </w:rPr>
              <w:t>Agree scope and grain; obtain metadata and specification owners; archive inputs.</w:t>
            </w:r>
          </w:p>
        </w:tc>
        <w:tc>
          <w:tcPr>
            <w:tcW w:type="dxa" w:w="3389"/>
            <w:vAlign w:val="center"/>
          </w:tcPr>
          <w:p>
            <w:pPr>
              <w:spacing w:after="20" w:line="240" w:lineRule="auto"/>
            </w:pPr>
            <w:r>
              <w:rPr>
                <w:rFonts w:ascii="Calibri" w:hAnsi="Calibri"/>
                <w:color w:val="30383C"/>
                <w:sz w:val="16"/>
              </w:rPr>
              <w:t>Approved data contract and source manifest.</w:t>
            </w:r>
          </w:p>
        </w:tc>
      </w:tr>
      <w:tr>
        <w:tc>
          <w:tcPr>
            <w:tcW w:type="dxa" w:w="3389"/>
            <w:vAlign w:val="center"/>
            <w:shd w:fill="F7F8F7"/>
          </w:tcPr>
          <w:p>
            <w:pPr>
              <w:spacing w:after="20" w:line="240" w:lineRule="auto"/>
            </w:pPr>
            <w:r>
              <w:rPr>
                <w:rFonts w:ascii="Calibri" w:hAnsi="Calibri"/>
                <w:color w:val="30383C"/>
                <w:sz w:val="16"/>
              </w:rPr>
              <w:t>2</w:t>
            </w:r>
          </w:p>
        </w:tc>
        <w:tc>
          <w:tcPr>
            <w:tcW w:type="dxa" w:w="3389"/>
            <w:vAlign w:val="center"/>
            <w:shd w:fill="F7F8F7"/>
          </w:tcPr>
          <w:p>
            <w:pPr>
              <w:spacing w:after="20" w:line="240" w:lineRule="auto"/>
            </w:pPr>
            <w:r>
              <w:rPr>
                <w:rFonts w:ascii="Calibri" w:hAnsi="Calibri"/>
                <w:color w:val="30383C"/>
                <w:sz w:val="16"/>
              </w:rPr>
              <w:t>Profile structure, missingness, duplicates, units, timestamps, ranges, and cadence.</w:t>
            </w:r>
          </w:p>
        </w:tc>
        <w:tc>
          <w:tcPr>
            <w:tcW w:type="dxa" w:w="3389"/>
            <w:vAlign w:val="center"/>
            <w:shd w:fill="F7F8F7"/>
          </w:tcPr>
          <w:p>
            <w:pPr>
              <w:spacing w:after="20" w:line="240" w:lineRule="auto"/>
            </w:pPr>
            <w:r>
              <w:rPr>
                <w:rFonts w:ascii="Calibri" w:hAnsi="Calibri"/>
                <w:color w:val="30383C"/>
                <w:sz w:val="16"/>
              </w:rPr>
              <w:t>Profiling report and risk-ranked issue register.</w:t>
            </w:r>
          </w:p>
        </w:tc>
      </w:tr>
      <w:tr>
        <w:tc>
          <w:tcPr>
            <w:tcW w:type="dxa" w:w="3389"/>
            <w:vAlign w:val="center"/>
          </w:tcPr>
          <w:p>
            <w:pPr>
              <w:spacing w:after="20" w:line="240" w:lineRule="auto"/>
            </w:pPr>
            <w:r>
              <w:rPr>
                <w:rFonts w:ascii="Calibri" w:hAnsi="Calibri"/>
                <w:color w:val="30383C"/>
                <w:sz w:val="16"/>
              </w:rPr>
              <w:t>3</w:t>
            </w:r>
          </w:p>
        </w:tc>
        <w:tc>
          <w:tcPr>
            <w:tcW w:type="dxa" w:w="3389"/>
            <w:vAlign w:val="center"/>
          </w:tcPr>
          <w:p>
            <w:pPr>
              <w:spacing w:after="20" w:line="240" w:lineRule="auto"/>
            </w:pPr>
            <w:r>
              <w:rPr>
                <w:rFonts w:ascii="Calibri" w:hAnsi="Calibri"/>
                <w:color w:val="30383C"/>
                <w:sz w:val="16"/>
              </w:rPr>
              <w:t>Resolve mappings and apply reviewed duplicate, missing, and exception rules.</w:t>
            </w:r>
          </w:p>
        </w:tc>
        <w:tc>
          <w:tcPr>
            <w:tcW w:type="dxa" w:w="3389"/>
            <w:vAlign w:val="center"/>
          </w:tcPr>
          <w:p>
            <w:pPr>
              <w:spacing w:after="20" w:line="240" w:lineRule="auto"/>
            </w:pPr>
            <w:r>
              <w:rPr>
                <w:rFonts w:ascii="Calibri" w:hAnsi="Calibri"/>
                <w:color w:val="30383C"/>
                <w:sz w:val="16"/>
              </w:rPr>
              <w:t>Versioned cleaned data and transformation log.</w:t>
            </w:r>
          </w:p>
        </w:tc>
      </w:tr>
      <w:tr>
        <w:tc>
          <w:tcPr>
            <w:tcW w:type="dxa" w:w="3389"/>
            <w:vAlign w:val="center"/>
            <w:shd w:fill="F7F8F7"/>
          </w:tcPr>
          <w:p>
            <w:pPr>
              <w:spacing w:after="20" w:line="240" w:lineRule="auto"/>
            </w:pPr>
            <w:r>
              <w:rPr>
                <w:rFonts w:ascii="Calibri" w:hAnsi="Calibri"/>
                <w:color w:val="30383C"/>
                <w:sz w:val="16"/>
              </w:rPr>
              <w:t>4</w:t>
            </w:r>
          </w:p>
        </w:tc>
        <w:tc>
          <w:tcPr>
            <w:tcW w:type="dxa" w:w="3389"/>
            <w:vAlign w:val="center"/>
            <w:shd w:fill="F7F8F7"/>
          </w:tcPr>
          <w:p>
            <w:pPr>
              <w:spacing w:after="20" w:line="240" w:lineRule="auto"/>
            </w:pPr>
            <w:r>
              <w:rPr>
                <w:rFonts w:ascii="Calibri" w:hAnsi="Calibri"/>
                <w:color w:val="30383C"/>
                <w:sz w:val="16"/>
              </w:rPr>
              <w:t>Implement fold-local preprocessing, feature handling, and leakage checks.</w:t>
            </w:r>
          </w:p>
        </w:tc>
        <w:tc>
          <w:tcPr>
            <w:tcW w:type="dxa" w:w="3389"/>
            <w:vAlign w:val="center"/>
            <w:shd w:fill="F7F8F7"/>
          </w:tcPr>
          <w:p>
            <w:pPr>
              <w:spacing w:after="20" w:line="240" w:lineRule="auto"/>
            </w:pPr>
            <w:r>
              <w:rPr>
                <w:rFonts w:ascii="Calibri" w:hAnsi="Calibri"/>
                <w:color w:val="30383C"/>
                <w:sz w:val="16"/>
              </w:rPr>
              <w:t>Reproducible pipeline and split strategy.</w:t>
            </w:r>
          </w:p>
        </w:tc>
      </w:tr>
      <w:tr>
        <w:tc>
          <w:tcPr>
            <w:tcW w:type="dxa" w:w="3389"/>
            <w:vAlign w:val="center"/>
          </w:tcPr>
          <w:p>
            <w:pPr>
              <w:spacing w:after="20" w:line="240" w:lineRule="auto"/>
            </w:pPr>
            <w:r>
              <w:rPr>
                <w:rFonts w:ascii="Calibri" w:hAnsi="Calibri"/>
                <w:color w:val="30383C"/>
                <w:sz w:val="16"/>
              </w:rPr>
              <w:t>5</w:t>
            </w:r>
          </w:p>
        </w:tc>
        <w:tc>
          <w:tcPr>
            <w:tcW w:type="dxa" w:w="3389"/>
            <w:vAlign w:val="center"/>
          </w:tcPr>
          <w:p>
            <w:pPr>
              <w:spacing w:after="20" w:line="240" w:lineRule="auto"/>
            </w:pPr>
            <w:r>
              <w:rPr>
                <w:rFonts w:ascii="Calibri" w:hAnsi="Calibri"/>
                <w:color w:val="30383C"/>
                <w:sz w:val="16"/>
              </w:rPr>
              <w:t>Run acceptance tests and sensitivity checks; reconcile records and exceptions.</w:t>
            </w:r>
          </w:p>
        </w:tc>
        <w:tc>
          <w:tcPr>
            <w:tcW w:type="dxa" w:w="3389"/>
            <w:vAlign w:val="center"/>
          </w:tcPr>
          <w:p>
            <w:pPr>
              <w:spacing w:after="20" w:line="240" w:lineRule="auto"/>
            </w:pPr>
            <w:r>
              <w:rPr>
                <w:rFonts w:ascii="Calibri" w:hAnsi="Calibri"/>
                <w:color w:val="30383C"/>
                <w:sz w:val="16"/>
              </w:rPr>
              <w:t>Validation report and reviewed exception register.</w:t>
            </w:r>
          </w:p>
        </w:tc>
      </w:tr>
      <w:tr>
        <w:tc>
          <w:tcPr>
            <w:tcW w:type="dxa" w:w="3389"/>
            <w:vAlign w:val="center"/>
            <w:shd w:fill="F7F8F7"/>
          </w:tcPr>
          <w:p>
            <w:pPr>
              <w:spacing w:after="20" w:line="240" w:lineRule="auto"/>
            </w:pPr>
            <w:r>
              <w:rPr>
                <w:rFonts w:ascii="Calibri" w:hAnsi="Calibri"/>
                <w:color w:val="30383C"/>
                <w:sz w:val="16"/>
              </w:rPr>
              <w:t>6</w:t>
            </w:r>
          </w:p>
        </w:tc>
        <w:tc>
          <w:tcPr>
            <w:tcW w:type="dxa" w:w="3389"/>
            <w:vAlign w:val="center"/>
            <w:shd w:fill="F7F8F7"/>
          </w:tcPr>
          <w:p>
            <w:pPr>
              <w:spacing w:after="20" w:line="240" w:lineRule="auto"/>
            </w:pPr>
            <w:r>
              <w:rPr>
                <w:rFonts w:ascii="Calibri" w:hAnsi="Calibri"/>
                <w:color w:val="30383C"/>
                <w:sz w:val="16"/>
              </w:rPr>
              <w:t>Independent reproduction, quality-owner approval, and versioned handoff.</w:t>
            </w:r>
          </w:p>
        </w:tc>
        <w:tc>
          <w:tcPr>
            <w:tcW w:type="dxa" w:w="3389"/>
            <w:vAlign w:val="center"/>
            <w:shd w:fill="F7F8F7"/>
          </w:tcPr>
          <w:p>
            <w:pPr>
              <w:spacing w:after="20" w:line="240" w:lineRule="auto"/>
            </w:pPr>
            <w:r>
              <w:rPr>
                <w:rFonts w:ascii="Calibri" w:hAnsi="Calibri"/>
                <w:color w:val="30383C"/>
                <w:sz w:val="16"/>
              </w:rPr>
              <w:t>Released dataset, code/configuration, documentation, and limitations.</w:t>
            </w:r>
          </w:p>
        </w:tc>
      </w:tr>
    </w:tbl>
    <w:p>
      <w:pPr>
        <w:spacing w:after="20"/>
      </w:pPr>
    </w:p>
    <w:p>
      <w:pPr>
        <w:pStyle w:val="Heading1"/>
      </w:pPr>
      <w:r>
        <w:t>10. Application to the Week 1 dataset</w:t>
      </w:r>
    </w:p>
    <w:p>
      <w:r>
        <w:t>The supplied Week 1 archive supports demonstrations of schema and type checks, duplicate-ID checks, missing Type and SectionViolations values, invalid dates, repeated FacilityID values, categorical consistency, class imbalance, and train/test overlap. Preserve the source values, document any correction, and investigate potential duplicate inspection records against the event ID and source-system rules before removal.</w:t>
      </w:r>
    </w:p>
    <w:p>
      <w:r>
        <w:t>It does not include time-stamped temperature, pressure, flow, pH, moisture, viscosity, Brix, or other production sensor observations; nor calibration certificates, batch-state events, or validated process specifications. Sensor imputation, drift detection, excursion treatment, and scaling cannot be demonstrated on these files. Those tasks require an authorized sensor dataset and its metadata. The Week 1 inspection classifier must not be described as a processed-food quality or production-control model.</w:t>
      </w:r>
    </w:p>
    <w:p>
      <w:pPr>
        <w:pStyle w:val="Heading1"/>
      </w:pPr>
      <w:r>
        <w:t>Conclusion</w:t>
      </w:r>
    </w:p>
    <w:p>
      <w:r>
        <w:t>A reliable cleaning workflow for food-processing data begins with the measurement context, not with a generic rule to fill blanks, remove extremes, or scale every number. Production records may combine sensor streams, batch events, laboratory tests, product specifications, and administrative fields, each with different units, timing, and quality risks. The plan therefore starts by defining the analytical grain, prediction time, source provenance, sensor metadata, canonical units, process states, and ownership of validated limits. Profiling then quantifies structural issues, missingness, cadence gaps, duplicate keys, category drift, and unusual distributions before any transformation is selected. Missing values are handled according to their cause and duration; sensor outages and critical control gaps remain visible rather than being hidden by imputation. Duplicate readings are removed only when their identity and conflict resolution rules are clear. Outlier methods combine engineering limits with robust statistical and time-series screens, and every flagged value is reviewed as a possible data fault, genuine process excursion, or expected transition. Scaling, encoding, imputation, and feature selection belong in a reproducible modeling pipeline fitted within training folds, while canonical units and raw measurements remain available for operational interpretation. Validation checks reconcile records, test conversions and joins, monitor coverage, and stop release when critical assumptions fail. Every decision is recorded with provenance, code/configuration version, affected records, rationale, reviewer, and quality flags so another analyst can reproduce the output. For the supplied Week 1 archive, this blueprint supports tabular profiling but cannot validate production sensor readings because the archive contains inspection outcomes rather than sensor or process data. The next responsible step is to obtain an authorized sensor dataset with a data dictionary, calibration history, batch/state events, and approved specifications, then apply this workflow with quality-engineer review. Until that evidence is available, this document is a practical preprocessing plan, not a claim that sensor data have already been cleaned or certified.</w:t>
      </w:r>
    </w:p>
    <w:p>
      <w:pPr>
        <w:pStyle w:val="Heading1"/>
      </w:pPr>
      <w:r>
        <w:t>References and guidance</w:t>
      </w:r>
    </w:p>
    <w:p>
      <w:pPr>
        <w:spacing w:after="60"/>
      </w:pPr>
      <w:r>
        <w:t>NIST/SEMATECH. e-Handbook of Statistical Methods. https://www.itl.nist.gov/div898/handbook/</w:t>
      </w:r>
    </w:p>
    <w:p>
      <w:pPr>
        <w:spacing w:after="60"/>
      </w:pPr>
      <w:r>
        <w:t>City of Chicago. Food Inspections portal, potential context for the Week 1 records; exact archive provenance remains unverified. https://data.cityofchicago.org/Health-Human-Services/Food-Inspections/4ijn-s7e5</w:t>
      </w:r>
    </w:p>
    <w:p>
      <w:r>
        <w:t>Access date: 19 October 2026. Verify current revisions and organizational requirements before using guidance to set operating limits or controls.</w:t>
      </w:r>
    </w:p>
    <w:sectPr w:rsidR="00FC693F" w:rsidRPr="0006063C" w:rsidSect="00034616">
      <w:headerReference w:type="default" r:id="rId9"/>
      <w:footerReference w:type="default" r:id="rId10"/>
      <w:pgSz w:w="12240" w:h="15840"/>
      <w:pgMar w:top="965" w:right="1037" w:bottom="965"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C6D"/>
        <w:sz w:val="16"/>
      </w:rPr>
      <w:t xml:space="preserve">Data cleaning and preprocessing plan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C6D"/>
        <w:sz w:val="16"/>
      </w:rPr>
      <w:t>WEEK 2  |  FOOD PROCESSING DATA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3038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2A4D6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A4D6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2A4D6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A4D6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3636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Food Processing Data Cleaning and Preprocessing Plan</dc:title>
  <dc:subject>Missing data, outliers, scaling, validation, and reproducibility for food-process sensor data</dc:subject>
  <dc:creator/>
  <cp:keywords>food processing, sensor data, data cleaning, preprocessing, validation</cp:keywords>
  <dc:description>generated by python-docx</dc:description>
  <cp:lastModifiedBy/>
  <cp:revision>1</cp:revision>
  <dcterms:created xsi:type="dcterms:W3CDTF">2013-12-23T23:15:00Z</dcterms:created>
  <dcterms:modified xsi:type="dcterms:W3CDTF">2013-12-23T23:15:00Z</dcterms:modified>
  <cp:category/>
</cp:coreProperties>
</file>